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840"/>
        <w:gridCol w:w="4840"/>
      </w:tblGrid>
      <w:tr w:rsidR="008E6BFA" w:rsidTr="008E6BFA">
        <w:trPr>
          <w:trHeight w:val="300"/>
        </w:trPr>
        <w:tc>
          <w:tcPr>
            <w:tcW w:w="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BFA" w:rsidRDefault="008E6BFA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BFA" w:rsidRDefault="00516602" w:rsidP="0051660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Generic GSR </w:t>
            </w:r>
            <w:proofErr w:type="spellStart"/>
            <w:r>
              <w:rPr>
                <w:color w:val="000000"/>
                <w:lang w:eastAsia="en-GB"/>
              </w:rPr>
              <w:t>cutoff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r w:rsidR="008E6BFA">
              <w:rPr>
                <w:color w:val="000000"/>
                <w:lang w:eastAsia="en-GB"/>
              </w:rPr>
              <w:t xml:space="preserve">Flow Chart 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BFA" w:rsidRDefault="008E6BFA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WWU process</w:t>
            </w:r>
          </w:p>
        </w:tc>
      </w:tr>
      <w:tr w:rsidR="008E6BFA" w:rsidTr="008E6BFA">
        <w:trPr>
          <w:trHeight w:val="900"/>
        </w:trPr>
        <w:tc>
          <w:tcPr>
            <w:tcW w:w="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BFA" w:rsidRDefault="008E6BFA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</w:t>
            </w:r>
          </w:p>
        </w:tc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BFA" w:rsidRDefault="008E6BF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Weekly data received from </w:t>
            </w:r>
            <w:proofErr w:type="spellStart"/>
            <w:r>
              <w:rPr>
                <w:color w:val="000000"/>
                <w:lang w:eastAsia="en-GB"/>
              </w:rPr>
              <w:t>Xoserve</w:t>
            </w:r>
            <w:proofErr w:type="spellEnd"/>
            <w:r>
              <w:rPr>
                <w:color w:val="000000"/>
                <w:lang w:eastAsia="en-GB"/>
              </w:rPr>
              <w:t xml:space="preserve"> (8 days of data) 9 months after Shipper notification of meter removal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BFA" w:rsidRDefault="008E6BFA" w:rsidP="0051660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</w:t>
            </w:r>
            <w:r w:rsidR="00516602">
              <w:rPr>
                <w:color w:val="000000"/>
                <w:lang w:eastAsia="en-GB"/>
              </w:rPr>
              <w:t>WU</w:t>
            </w:r>
            <w:r>
              <w:rPr>
                <w:color w:val="000000"/>
                <w:lang w:eastAsia="en-GB"/>
              </w:rPr>
              <w:t xml:space="preserve"> trigger GSR extracts on</w:t>
            </w:r>
            <w:proofErr w:type="gramStart"/>
            <w:r>
              <w:rPr>
                <w:color w:val="000000"/>
                <w:lang w:eastAsia="en-GB"/>
              </w:rPr>
              <w:t>  a</w:t>
            </w:r>
            <w:proofErr w:type="gramEnd"/>
            <w:r>
              <w:rPr>
                <w:color w:val="000000"/>
                <w:lang w:eastAsia="en-GB"/>
              </w:rPr>
              <w:t xml:space="preserve"> monthly basis. We trigger a report from UKLINK for all meter removals 9 months prior</w:t>
            </w:r>
          </w:p>
        </w:tc>
      </w:tr>
      <w:tr w:rsidR="008E6BFA" w:rsidTr="008E6BFA">
        <w:trPr>
          <w:trHeight w:val="1800"/>
        </w:trPr>
        <w:tc>
          <w:tcPr>
            <w:tcW w:w="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BFA" w:rsidRDefault="008E6BFA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</w:t>
            </w:r>
          </w:p>
        </w:tc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BFA" w:rsidRDefault="008E6BF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Desktop checks carried out&gt; Information to suggest property is already demolished?&gt; Yes&gt; No further Action required.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BFA" w:rsidRDefault="00516602" w:rsidP="00516602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WWU</w:t>
            </w:r>
            <w:r w:rsidR="008E6BFA">
              <w:rPr>
                <w:color w:val="000000"/>
                <w:lang w:eastAsia="en-GB"/>
              </w:rPr>
              <w:t xml:space="preserve"> cleanse by checking for and recent service disconnects, meter installations </w:t>
            </w:r>
            <w:r>
              <w:rPr>
                <w:color w:val="000000"/>
                <w:lang w:eastAsia="en-GB"/>
              </w:rPr>
              <w:t>done for MAMS</w:t>
            </w:r>
            <w:r w:rsidR="008E6BFA">
              <w:rPr>
                <w:color w:val="000000"/>
                <w:lang w:eastAsia="en-GB"/>
              </w:rPr>
              <w:t xml:space="preserve"> after the meter removal etc. Any </w:t>
            </w:r>
            <w:r>
              <w:rPr>
                <w:color w:val="000000"/>
                <w:lang w:eastAsia="en-GB"/>
              </w:rPr>
              <w:t>demolition</w:t>
            </w:r>
            <w:r w:rsidR="008E6BFA">
              <w:rPr>
                <w:color w:val="000000"/>
                <w:lang w:eastAsia="en-GB"/>
              </w:rPr>
              <w:t xml:space="preserve"> with no evidence of a formal service disconnect will be visited at least for </w:t>
            </w:r>
            <w:r>
              <w:rPr>
                <w:color w:val="000000"/>
                <w:lang w:eastAsia="en-GB"/>
              </w:rPr>
              <w:t>inspection.</w:t>
            </w:r>
            <w:r w:rsidR="008E6BFA">
              <w:rPr>
                <w:color w:val="000000"/>
                <w:lang w:eastAsia="en-GB"/>
              </w:rPr>
              <w:t xml:space="preserve"> </w:t>
            </w:r>
          </w:p>
        </w:tc>
      </w:tr>
      <w:tr w:rsidR="008E6BFA" w:rsidTr="008E6BFA">
        <w:trPr>
          <w:trHeight w:val="2400"/>
        </w:trPr>
        <w:tc>
          <w:tcPr>
            <w:tcW w:w="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BFA" w:rsidRDefault="008E6BFA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</w:t>
            </w:r>
          </w:p>
        </w:tc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BFA" w:rsidRDefault="008E6BF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Internal meter (point) with </w:t>
            </w:r>
            <w:proofErr w:type="spellStart"/>
            <w:r>
              <w:rPr>
                <w:color w:val="000000"/>
                <w:lang w:eastAsia="en-GB"/>
              </w:rPr>
              <w:t>pe</w:t>
            </w:r>
            <w:proofErr w:type="spellEnd"/>
            <w:r>
              <w:rPr>
                <w:color w:val="000000"/>
                <w:lang w:eastAsia="en-GB"/>
              </w:rPr>
              <w:t xml:space="preserve"> service?&gt; Yes&gt; External valve available?&gt; No&gt; Send disconnection letter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6BFA" w:rsidRDefault="008E6BFA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WWU Connections Instruction 85-</w:t>
            </w:r>
            <w:proofErr w:type="gramStart"/>
            <w:r>
              <w:rPr>
                <w:color w:val="000000"/>
                <w:lang w:eastAsia="en-GB"/>
              </w:rPr>
              <w:t>  "</w:t>
            </w:r>
            <w:proofErr w:type="gramEnd"/>
            <w:r>
              <w:rPr>
                <w:color w:val="000000"/>
                <w:lang w:eastAsia="en-GB"/>
              </w:rPr>
              <w:t xml:space="preserve">PE service inserted in a steel pipe by live or dead insertion and the annulus between the pipes is grouted" are deemed to be safe and no further action is required.  WWU will visit to </w:t>
            </w:r>
            <w:proofErr w:type="spellStart"/>
            <w:r>
              <w:rPr>
                <w:color w:val="000000"/>
                <w:lang w:eastAsia="en-GB"/>
              </w:rPr>
              <w:t>inpect</w:t>
            </w:r>
            <w:proofErr w:type="spellEnd"/>
            <w:r>
              <w:rPr>
                <w:color w:val="000000"/>
                <w:lang w:eastAsia="en-GB"/>
              </w:rPr>
              <w:t xml:space="preserve"> and if service has the appropriate fittings to indicate it is correctly inserted, it will be </w:t>
            </w:r>
            <w:proofErr w:type="spellStart"/>
            <w:r>
              <w:rPr>
                <w:color w:val="000000"/>
                <w:lang w:eastAsia="en-GB"/>
              </w:rPr>
              <w:t>udpated</w:t>
            </w:r>
            <w:proofErr w:type="spellEnd"/>
            <w:r>
              <w:rPr>
                <w:color w:val="000000"/>
                <w:lang w:eastAsia="en-GB"/>
              </w:rPr>
              <w:t xml:space="preserve"> as CA on XOSERVE.</w:t>
            </w:r>
            <w:bookmarkStart w:id="0" w:name="_GoBack"/>
            <w:bookmarkEnd w:id="0"/>
          </w:p>
        </w:tc>
      </w:tr>
    </w:tbl>
    <w:p w:rsidR="00932D08" w:rsidRDefault="00516602"/>
    <w:sectPr w:rsidR="00932D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FA"/>
    <w:rsid w:val="00474D90"/>
    <w:rsid w:val="00516602"/>
    <w:rsid w:val="008E6BFA"/>
    <w:rsid w:val="00A3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F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F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Wales &amp; West Utilities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Pomroy</dc:creator>
  <cp:lastModifiedBy>Richard Pomroy</cp:lastModifiedBy>
  <cp:revision>1</cp:revision>
  <dcterms:created xsi:type="dcterms:W3CDTF">2018-03-16T14:16:00Z</dcterms:created>
  <dcterms:modified xsi:type="dcterms:W3CDTF">2018-03-16T14:53:00Z</dcterms:modified>
</cp:coreProperties>
</file>