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A32953">
        <w:rPr>
          <w:rFonts w:cs="Arial"/>
          <w:b/>
          <w:color w:val="3E5AA8" w:themeColor="accent1"/>
          <w:sz w:val="22"/>
          <w:szCs w:val="22"/>
        </w:rPr>
        <w:t>4658</w:t>
      </w:r>
    </w:p>
    <w:p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5B001E" w:rsidP="00BB5A00">
            <w:pPr>
              <w:rPr>
                <w:rFonts w:ascii="Arial" w:hAnsi="Arial" w:cs="Arial"/>
                <w:sz w:val="20"/>
                <w:szCs w:val="16"/>
              </w:rPr>
            </w:pPr>
            <w:r>
              <w:rPr>
                <w:rFonts w:ascii="Arial" w:hAnsi="Arial" w:cs="Arial"/>
                <w:sz w:val="20"/>
                <w:szCs w:val="16"/>
              </w:rPr>
              <w:t xml:space="preserve">Read validation – increasing outer tolerance value for </w:t>
            </w:r>
            <w:r w:rsidR="007B3A63">
              <w:rPr>
                <w:rFonts w:ascii="Arial" w:hAnsi="Arial" w:cs="Arial"/>
                <w:sz w:val="20"/>
                <w:szCs w:val="16"/>
              </w:rPr>
              <w:t xml:space="preserve">specific AQ bands for </w:t>
            </w:r>
            <w:r>
              <w:rPr>
                <w:rFonts w:ascii="Arial" w:hAnsi="Arial" w:cs="Arial"/>
                <w:sz w:val="20"/>
                <w:szCs w:val="16"/>
              </w:rPr>
              <w:t>Class 3 &amp; 4 Meter Points</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5B001E" w:rsidP="00BB5A00">
            <w:pPr>
              <w:rPr>
                <w:rFonts w:ascii="Arial" w:hAnsi="Arial" w:cs="Arial"/>
                <w:sz w:val="20"/>
                <w:szCs w:val="16"/>
              </w:rPr>
            </w:pPr>
            <w:r>
              <w:rPr>
                <w:rFonts w:ascii="Arial" w:hAnsi="Arial" w:cs="Arial"/>
                <w:sz w:val="20"/>
                <w:szCs w:val="16"/>
              </w:rPr>
              <w:t>23</w:t>
            </w:r>
            <w:r w:rsidRPr="005B001E">
              <w:rPr>
                <w:rFonts w:ascii="Arial" w:hAnsi="Arial" w:cs="Arial"/>
                <w:sz w:val="20"/>
                <w:szCs w:val="16"/>
                <w:vertAlign w:val="superscript"/>
              </w:rPr>
              <w:t>rd</w:t>
            </w:r>
            <w:r>
              <w:rPr>
                <w:rFonts w:ascii="Arial" w:hAnsi="Arial" w:cs="Arial"/>
                <w:sz w:val="20"/>
                <w:szCs w:val="16"/>
              </w:rPr>
              <w:t xml:space="preserve"> April 2018</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5B001E" w:rsidP="00BB5A00">
            <w:pPr>
              <w:rPr>
                <w:rFonts w:ascii="Arial" w:hAnsi="Arial" w:cs="Arial"/>
                <w:sz w:val="20"/>
                <w:szCs w:val="16"/>
              </w:rPr>
            </w:pPr>
            <w:r>
              <w:rPr>
                <w:rFonts w:ascii="Arial" w:hAnsi="Arial" w:cs="Arial"/>
                <w:sz w:val="20"/>
                <w:szCs w:val="16"/>
              </w:rPr>
              <w:t>Gazprom</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Steve Mulinganie</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3C36EC" w:rsidRDefault="003C36EC" w:rsidP="00BB5A00">
            <w:pPr>
              <w:rPr>
                <w:rFonts w:asciiTheme="majorHAnsi" w:hAnsiTheme="majorHAnsi" w:cstheme="majorHAnsi"/>
                <w:sz w:val="20"/>
                <w:szCs w:val="16"/>
              </w:rPr>
            </w:pPr>
            <w:r w:rsidRPr="003C36EC">
              <w:rPr>
                <w:rFonts w:asciiTheme="majorHAnsi" w:hAnsiTheme="majorHAnsi" w:cstheme="majorHAnsi"/>
                <w:sz w:val="20"/>
                <w:szCs w:val="20"/>
              </w:rPr>
              <w:t>0799 097 2568</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David Addison</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0748 559800</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5B001E">
              <w:rPr>
                <w:rFonts w:ascii="Arial" w:hAnsi="Arial" w:cs="Arial"/>
                <w:b/>
                <w:sz w:val="20"/>
                <w:szCs w:val="16"/>
                <w:u w:val="single"/>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683A0C" w:rsidRDefault="005B001E" w:rsidP="00BB5A00">
            <w:pPr>
              <w:rPr>
                <w:rFonts w:ascii="Arial" w:hAnsi="Arial" w:cs="Arial"/>
                <w:sz w:val="20"/>
                <w:szCs w:val="16"/>
              </w:rPr>
            </w:pPr>
            <w:r w:rsidRPr="005B001E">
              <w:rPr>
                <w:rFonts w:ascii="MS Gothic" w:eastAsia="MS Gothic" w:hAnsi="MS Gothic" w:cs="MS Gothic"/>
                <w:b/>
                <w:sz w:val="20"/>
                <w:szCs w:val="16"/>
              </w:rPr>
              <w:t>X</w:t>
            </w:r>
            <w:r w:rsidR="006A724E"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Default="006A724E" w:rsidP="00BB5A00">
            <w:pPr>
              <w:rPr>
                <w:rFonts w:ascii="Arial" w:hAnsi="Arial" w:cs="Arial"/>
                <w:sz w:val="20"/>
                <w:szCs w:val="16"/>
              </w:rPr>
            </w:pPr>
          </w:p>
          <w:p w:rsidR="0040611A" w:rsidRDefault="0040611A" w:rsidP="00BB5A00">
            <w:pPr>
              <w:rPr>
                <w:rFonts w:ascii="Arial" w:hAnsi="Arial" w:cs="Arial"/>
                <w:sz w:val="20"/>
                <w:szCs w:val="16"/>
              </w:rPr>
            </w:pPr>
            <w:r>
              <w:rPr>
                <w:rFonts w:ascii="Arial" w:hAnsi="Arial" w:cs="Arial"/>
                <w:sz w:val="20"/>
                <w:szCs w:val="16"/>
              </w:rPr>
              <w:t xml:space="preserve">Gazprom have undertaken some analysis on the number of reads failing the market breaker </w:t>
            </w:r>
            <w:r w:rsidR="0085035B">
              <w:rPr>
                <w:rFonts w:ascii="Arial" w:hAnsi="Arial" w:cs="Arial"/>
                <w:sz w:val="20"/>
                <w:szCs w:val="16"/>
              </w:rPr>
              <w:t xml:space="preserve">(Outer Tolerance Range (OTR)) </w:t>
            </w:r>
            <w:r>
              <w:rPr>
                <w:rFonts w:ascii="Arial" w:hAnsi="Arial" w:cs="Arial"/>
                <w:sz w:val="20"/>
                <w:szCs w:val="16"/>
              </w:rPr>
              <w:t xml:space="preserve">tolerance, and how many </w:t>
            </w:r>
            <w:r w:rsidR="0085035B">
              <w:rPr>
                <w:rFonts w:ascii="Arial" w:hAnsi="Arial" w:cs="Arial"/>
                <w:sz w:val="20"/>
                <w:szCs w:val="16"/>
              </w:rPr>
              <w:t xml:space="preserve">of these </w:t>
            </w:r>
            <w:r>
              <w:rPr>
                <w:rFonts w:ascii="Arial" w:hAnsi="Arial" w:cs="Arial"/>
                <w:sz w:val="20"/>
                <w:szCs w:val="16"/>
              </w:rPr>
              <w:t xml:space="preserve">readings </w:t>
            </w:r>
            <w:r w:rsidR="0085035B">
              <w:rPr>
                <w:rFonts w:ascii="Arial" w:hAnsi="Arial" w:cs="Arial"/>
                <w:sz w:val="20"/>
                <w:szCs w:val="16"/>
              </w:rPr>
              <w:t xml:space="preserve">that have failed the OTR </w:t>
            </w:r>
            <w:r>
              <w:rPr>
                <w:rFonts w:ascii="Arial" w:hAnsi="Arial" w:cs="Arial"/>
                <w:sz w:val="20"/>
                <w:szCs w:val="16"/>
              </w:rPr>
              <w:t>are ‘valid’ reads. It is felt that if the current Market Breaker tolerance were amended a greater number of ‘valid’ meter reads would be accepted.</w:t>
            </w:r>
          </w:p>
          <w:p w:rsidR="003C36EC" w:rsidRDefault="003C36EC" w:rsidP="00BB5A00">
            <w:pPr>
              <w:rPr>
                <w:rFonts w:ascii="Arial" w:hAnsi="Arial" w:cs="Arial"/>
                <w:sz w:val="20"/>
                <w:szCs w:val="16"/>
              </w:rPr>
            </w:pPr>
            <w:r>
              <w:rPr>
                <w:rFonts w:ascii="Arial" w:hAnsi="Arial" w:cs="Arial"/>
                <w:sz w:val="20"/>
                <w:szCs w:val="16"/>
              </w:rPr>
              <w:t xml:space="preserve">Requirement to increase the number of valid reads being accepted that are currently failing the outer market breaker tolerance, increasing the </w:t>
            </w:r>
            <w:r w:rsidR="0040611A">
              <w:rPr>
                <w:rFonts w:ascii="Arial" w:hAnsi="Arial" w:cs="Arial"/>
                <w:sz w:val="20"/>
                <w:szCs w:val="16"/>
              </w:rPr>
              <w:t>market breaker</w:t>
            </w:r>
            <w:r>
              <w:rPr>
                <w:rFonts w:ascii="Arial" w:hAnsi="Arial" w:cs="Arial"/>
                <w:sz w:val="20"/>
                <w:szCs w:val="16"/>
              </w:rPr>
              <w:t xml:space="preserve"> tolerance will require an increase </w:t>
            </w:r>
            <w:r w:rsidR="0040611A">
              <w:rPr>
                <w:rFonts w:ascii="Arial" w:hAnsi="Arial" w:cs="Arial"/>
                <w:sz w:val="20"/>
                <w:szCs w:val="16"/>
              </w:rPr>
              <w:t xml:space="preserve">to </w:t>
            </w:r>
            <w:r>
              <w:rPr>
                <w:rFonts w:ascii="Arial" w:hAnsi="Arial" w:cs="Arial"/>
                <w:sz w:val="20"/>
                <w:szCs w:val="16"/>
              </w:rPr>
              <w:t xml:space="preserve">the upper </w:t>
            </w:r>
            <w:r w:rsidR="0040611A">
              <w:rPr>
                <w:rFonts w:ascii="Arial" w:hAnsi="Arial" w:cs="Arial"/>
                <w:sz w:val="20"/>
                <w:szCs w:val="16"/>
              </w:rPr>
              <w:t xml:space="preserve">inner </w:t>
            </w:r>
            <w:r>
              <w:rPr>
                <w:rFonts w:ascii="Arial" w:hAnsi="Arial" w:cs="Arial"/>
                <w:sz w:val="20"/>
                <w:szCs w:val="16"/>
              </w:rPr>
              <w:t>tolerance value also.  The change is proposed for Class 3 and 4 meter reads only.</w:t>
            </w:r>
          </w:p>
          <w:p w:rsidR="003C36EC" w:rsidRDefault="003C36EC" w:rsidP="00BB5A00">
            <w:pPr>
              <w:rPr>
                <w:rFonts w:ascii="Arial" w:hAnsi="Arial" w:cs="Arial"/>
                <w:sz w:val="20"/>
                <w:szCs w:val="16"/>
              </w:rPr>
            </w:pPr>
            <w:r>
              <w:rPr>
                <w:rFonts w:ascii="Arial" w:hAnsi="Arial" w:cs="Arial"/>
                <w:sz w:val="20"/>
                <w:szCs w:val="16"/>
              </w:rPr>
              <w:t>Attached it table shows the existing Market Breaker Tolerance value and the new proposed values, also captures some alternative values that ha</w:t>
            </w:r>
            <w:r w:rsidR="0040611A">
              <w:rPr>
                <w:rFonts w:ascii="Arial" w:hAnsi="Arial" w:cs="Arial"/>
                <w:sz w:val="20"/>
                <w:szCs w:val="16"/>
              </w:rPr>
              <w:t xml:space="preserve">ve been suggested by </w:t>
            </w:r>
            <w:r w:rsidR="0085035B">
              <w:rPr>
                <w:rFonts w:ascii="Arial" w:hAnsi="Arial" w:cs="Arial"/>
                <w:sz w:val="20"/>
                <w:szCs w:val="16"/>
              </w:rPr>
              <w:t>Gazprom as alternative values</w:t>
            </w:r>
            <w:r>
              <w:rPr>
                <w:rFonts w:ascii="Arial" w:hAnsi="Arial" w:cs="Arial"/>
                <w:sz w:val="20"/>
                <w:szCs w:val="16"/>
              </w:rPr>
              <w:t>.</w:t>
            </w:r>
          </w:p>
          <w:p w:rsidR="003C36EC" w:rsidRPr="00683A0C" w:rsidRDefault="003C36EC" w:rsidP="00BB5A00">
            <w:pPr>
              <w:rPr>
                <w:rFonts w:ascii="Arial" w:hAnsi="Arial" w:cs="Arial"/>
                <w:sz w:val="20"/>
                <w:szCs w:val="16"/>
              </w:rPr>
            </w:pPr>
          </w:p>
          <w:p w:rsidR="006A724E" w:rsidRDefault="005109A8" w:rsidP="00BB5A00">
            <w:pPr>
              <w:rPr>
                <w:rFonts w:ascii="Arial" w:hAnsi="Arial" w:cs="Arial"/>
                <w:sz w:val="20"/>
                <w:szCs w:val="16"/>
              </w:rPr>
            </w:pPr>
            <w:r>
              <w:rPr>
                <w:rFonts w:ascii="Arial" w:eastAsiaTheme="minorHAnsi" w:hAnsi="Arial"/>
                <w:noProof/>
                <w:sz w:val="20"/>
                <w:szCs w:val="20"/>
                <w:lang w:eastAsia="en-US"/>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61pt;mso-width-percent:0;mso-height-percent:0;mso-width-percent:0;mso-height-percent:0" o:ole="">
                  <v:imagedata r:id="rId11" o:title=""/>
                </v:shape>
                <o:OLEObject Type="Embed" ProgID="Outlook.FileAttach" ShapeID="_x0000_i1025" DrawAspect="Icon" ObjectID="_1586866720" r:id="rId12"/>
              </w:object>
            </w:r>
          </w:p>
          <w:p w:rsidR="003C36EC" w:rsidRPr="00683A0C" w:rsidRDefault="003C36EC" w:rsidP="00BB5A00">
            <w:pPr>
              <w:rPr>
                <w:rFonts w:ascii="Arial" w:hAnsi="Arial" w:cs="Arial"/>
                <w:sz w:val="20"/>
                <w:szCs w:val="16"/>
              </w:rPr>
            </w:pPr>
          </w:p>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rsidR="006A724E" w:rsidRPr="00683A0C" w:rsidRDefault="005B001E" w:rsidP="005B001E">
            <w:pPr>
              <w:rPr>
                <w:rFonts w:ascii="Arial" w:hAnsi="Arial" w:cs="Arial"/>
                <w:b/>
                <w:sz w:val="20"/>
                <w:szCs w:val="16"/>
              </w:rPr>
            </w:pPr>
            <w:r>
              <w:rPr>
                <w:rFonts w:ascii="Arial" w:hAnsi="Arial" w:cs="Arial"/>
                <w:b/>
                <w:sz w:val="20"/>
                <w:szCs w:val="16"/>
              </w:rPr>
              <w:t>R - Minor</w:t>
            </w:r>
            <w:r w:rsidR="006A724E" w:rsidRPr="00683A0C">
              <w:rPr>
                <w:rFonts w:ascii="Arial" w:hAnsi="Arial" w:cs="Arial"/>
                <w:b/>
                <w:sz w:val="20"/>
                <w:szCs w:val="16"/>
              </w:rPr>
              <w:t xml:space="preserve">  </w:t>
            </w:r>
            <w:r>
              <w:rPr>
                <w:rFonts w:ascii="Arial" w:hAnsi="Arial" w:cs="Arial"/>
                <w:b/>
                <w:sz w:val="20"/>
                <w:szCs w:val="16"/>
              </w:rPr>
              <w:t>06</w:t>
            </w:r>
            <w:r w:rsidR="006A724E" w:rsidRPr="00683A0C">
              <w:rPr>
                <w:rFonts w:ascii="Arial" w:hAnsi="Arial" w:cs="Arial"/>
                <w:b/>
                <w:sz w:val="20"/>
                <w:szCs w:val="16"/>
              </w:rPr>
              <w:t>/</w:t>
            </w:r>
            <w:r>
              <w:rPr>
                <w:rFonts w:ascii="Arial" w:hAnsi="Arial" w:cs="Arial"/>
                <w:b/>
                <w:sz w:val="20"/>
                <w:szCs w:val="16"/>
              </w:rPr>
              <w:t>2018</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683A0C" w:rsidRDefault="006A724E" w:rsidP="005B001E">
            <w:pPr>
              <w:rPr>
                <w:rFonts w:ascii="Arial" w:hAnsi="Arial" w:cs="Arial"/>
                <w:b/>
                <w:sz w:val="20"/>
                <w:szCs w:val="16"/>
              </w:rPr>
            </w:pPr>
            <w:r w:rsidRPr="005B001E">
              <w:rPr>
                <w:rFonts w:ascii="Arial" w:hAnsi="Arial" w:cs="Arial"/>
                <w:sz w:val="20"/>
                <w:szCs w:val="16"/>
              </w:rPr>
              <w:t>10WD / 30WD /</w:t>
            </w:r>
            <w:r w:rsidRPr="00683A0C">
              <w:rPr>
                <w:rFonts w:ascii="Arial" w:hAnsi="Arial" w:cs="Arial"/>
                <w:b/>
                <w:sz w:val="20"/>
                <w:szCs w:val="16"/>
              </w:rPr>
              <w:t xml:space="preserve"> </w:t>
            </w:r>
            <w:r w:rsidR="005B001E" w:rsidRPr="005B001E">
              <w:rPr>
                <w:rFonts w:ascii="Arial" w:hAnsi="Arial" w:cs="Arial"/>
                <w:b/>
                <w:sz w:val="20"/>
                <w:szCs w:val="16"/>
                <w:u w:val="single"/>
              </w:rPr>
              <w:t xml:space="preserve">5 </w:t>
            </w:r>
            <w:r w:rsidRPr="005B001E">
              <w:rPr>
                <w:rFonts w:ascii="Arial" w:hAnsi="Arial" w:cs="Arial"/>
                <w:b/>
                <w:sz w:val="20"/>
                <w:szCs w:val="16"/>
                <w:u w:val="single"/>
              </w:rPr>
              <w:t>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6A724E" w:rsidRDefault="006A724E" w:rsidP="00BB5A00">
            <w:pPr>
              <w:rPr>
                <w:rFonts w:ascii="Arial" w:hAnsi="Arial" w:cs="Arial"/>
                <w:sz w:val="20"/>
                <w:szCs w:val="16"/>
              </w:rPr>
            </w:pPr>
          </w:p>
          <w:p w:rsidR="003425D1" w:rsidRDefault="003C36EC" w:rsidP="00BB5A00">
            <w:pPr>
              <w:rPr>
                <w:rFonts w:ascii="Arial" w:hAnsi="Arial" w:cs="Arial"/>
                <w:sz w:val="20"/>
                <w:szCs w:val="16"/>
              </w:rPr>
            </w:pPr>
            <w:r>
              <w:rPr>
                <w:rFonts w:ascii="Arial" w:hAnsi="Arial" w:cs="Arial"/>
                <w:sz w:val="20"/>
                <w:szCs w:val="16"/>
              </w:rPr>
              <w:t xml:space="preserve">To </w:t>
            </w:r>
            <w:r w:rsidR="003425D1">
              <w:rPr>
                <w:rFonts w:ascii="Arial" w:hAnsi="Arial" w:cs="Arial"/>
                <w:sz w:val="20"/>
                <w:szCs w:val="16"/>
              </w:rPr>
              <w:t xml:space="preserve">enable Shippers opportunity to provide readings that they have assessed as valid.  </w:t>
            </w:r>
          </w:p>
          <w:p w:rsidR="003425D1" w:rsidRDefault="003425D1" w:rsidP="00BB5A00">
            <w:pPr>
              <w:rPr>
                <w:rFonts w:ascii="Arial" w:hAnsi="Arial" w:cs="Arial"/>
                <w:sz w:val="20"/>
                <w:szCs w:val="16"/>
              </w:rPr>
            </w:pPr>
          </w:p>
          <w:p w:rsidR="003425D1" w:rsidRDefault="003425D1" w:rsidP="00BB5A00">
            <w:pPr>
              <w:rPr>
                <w:rFonts w:ascii="Arial" w:hAnsi="Arial" w:cs="Arial"/>
                <w:sz w:val="20"/>
                <w:szCs w:val="16"/>
              </w:rPr>
            </w:pPr>
            <w:r>
              <w:rPr>
                <w:rFonts w:ascii="Arial" w:hAnsi="Arial" w:cs="Arial"/>
                <w:sz w:val="20"/>
                <w:szCs w:val="16"/>
              </w:rPr>
              <w:t xml:space="preserve">This will be achieved by increasing </w:t>
            </w:r>
            <w:r w:rsidR="003C36EC">
              <w:rPr>
                <w:rFonts w:ascii="Arial" w:hAnsi="Arial" w:cs="Arial"/>
                <w:sz w:val="20"/>
                <w:szCs w:val="16"/>
              </w:rPr>
              <w:t xml:space="preserve">the inner upper tolerance value and the </w:t>
            </w:r>
            <w:r>
              <w:rPr>
                <w:rFonts w:ascii="Arial" w:hAnsi="Arial" w:cs="Arial"/>
                <w:sz w:val="20"/>
                <w:szCs w:val="16"/>
              </w:rPr>
              <w:t xml:space="preserve">Market breaker outer tolerance.  </w:t>
            </w:r>
            <w:r w:rsidR="003C36EC">
              <w:rPr>
                <w:rFonts w:ascii="Arial" w:hAnsi="Arial" w:cs="Arial"/>
                <w:sz w:val="20"/>
                <w:szCs w:val="16"/>
              </w:rPr>
              <w:t>A number of reads which are valid readings are failing the market breaker tolerance and therefore are rejected and not recorded on the register.  Increasing the Market Breaker tolerance will see these reads being accepted</w:t>
            </w:r>
            <w:r>
              <w:rPr>
                <w:rFonts w:ascii="Arial" w:hAnsi="Arial" w:cs="Arial"/>
                <w:sz w:val="20"/>
                <w:szCs w:val="16"/>
              </w:rPr>
              <w:t xml:space="preserve"> provided that the Shipper flags that they have failed the upper inner tolerance.</w:t>
            </w:r>
          </w:p>
          <w:p w:rsidR="003C36EC" w:rsidRDefault="003C36EC" w:rsidP="00BB5A00">
            <w:pPr>
              <w:rPr>
                <w:rFonts w:ascii="Arial" w:hAnsi="Arial" w:cs="Arial"/>
                <w:sz w:val="20"/>
                <w:szCs w:val="16"/>
              </w:rPr>
            </w:pPr>
            <w:r>
              <w:rPr>
                <w:rFonts w:ascii="Arial" w:hAnsi="Arial" w:cs="Arial"/>
                <w:sz w:val="20"/>
                <w:szCs w:val="16"/>
              </w:rPr>
              <w:t>.</w:t>
            </w:r>
          </w:p>
          <w:p w:rsidR="006A724E" w:rsidRPr="00683A0C" w:rsidRDefault="003C36EC" w:rsidP="00BB5A00">
            <w:pPr>
              <w:rPr>
                <w:rFonts w:ascii="Arial" w:hAnsi="Arial" w:cs="Arial"/>
                <w:b/>
                <w:sz w:val="20"/>
                <w:szCs w:val="16"/>
              </w:rPr>
            </w:pPr>
            <w:r>
              <w:rPr>
                <w:rFonts w:ascii="Arial" w:hAnsi="Arial" w:cs="Arial"/>
                <w:sz w:val="20"/>
                <w:szCs w:val="16"/>
              </w:rPr>
              <w:t xml:space="preserve">As this is considered to be a change to configurable values and gain benefit from the change as early </w:t>
            </w:r>
            <w:r w:rsidR="003425D1">
              <w:rPr>
                <w:rFonts w:ascii="Arial" w:hAnsi="Arial" w:cs="Arial"/>
                <w:sz w:val="20"/>
                <w:szCs w:val="16"/>
              </w:rPr>
              <w:lastRenderedPageBreak/>
              <w:t>as possible, the proposer</w:t>
            </w:r>
            <w:r>
              <w:rPr>
                <w:rFonts w:ascii="Arial" w:hAnsi="Arial" w:cs="Arial"/>
                <w:sz w:val="20"/>
                <w:szCs w:val="16"/>
              </w:rPr>
              <w:t xml:space="preserve"> would like to see this change delivered via a minor release or included within release 3.</w:t>
            </w:r>
            <w:r w:rsidR="003425D1">
              <w:rPr>
                <w:rFonts w:ascii="Arial" w:hAnsi="Arial" w:cs="Arial"/>
                <w:sz w:val="20"/>
                <w:szCs w:val="16"/>
              </w:rPr>
              <w:t xml:space="preserve">  This implementation approach will be ratified with DSC Change Management Committee.</w:t>
            </w: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3425D1" w:rsidP="00BB5A00">
            <w:pPr>
              <w:rPr>
                <w:rFonts w:ascii="Arial" w:hAnsi="Arial" w:cs="Arial"/>
                <w:b/>
                <w:sz w:val="20"/>
                <w:szCs w:val="16"/>
              </w:rPr>
            </w:pPr>
            <w:r>
              <w:rPr>
                <w:rFonts w:ascii="Arial" w:hAnsi="Arial" w:cs="Arial"/>
                <w:b/>
                <w:sz w:val="20"/>
                <w:szCs w:val="16"/>
              </w:rPr>
              <w:t>23/04 – preliminary discussion at</w:t>
            </w:r>
            <w:r w:rsidR="0040611A">
              <w:rPr>
                <w:rFonts w:ascii="Arial" w:hAnsi="Arial" w:cs="Arial"/>
                <w:b/>
                <w:sz w:val="20"/>
                <w:szCs w:val="16"/>
              </w:rPr>
              <w:t xml:space="preserve"> DSG, members to report back on initial views at 1</w:t>
            </w:r>
            <w:r w:rsidR="0040611A" w:rsidRPr="0040611A">
              <w:rPr>
                <w:rFonts w:ascii="Arial" w:hAnsi="Arial" w:cs="Arial"/>
                <w:b/>
                <w:sz w:val="20"/>
                <w:szCs w:val="16"/>
                <w:vertAlign w:val="superscript"/>
              </w:rPr>
              <w:t>st</w:t>
            </w:r>
            <w:r w:rsidR="0040611A">
              <w:rPr>
                <w:rFonts w:ascii="Arial" w:hAnsi="Arial" w:cs="Arial"/>
                <w:b/>
                <w:sz w:val="20"/>
                <w:szCs w:val="16"/>
              </w:rPr>
              <w:t xml:space="preserve"> May DSG meeting</w:t>
            </w: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Recommended 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40611A">
              <w:rPr>
                <w:rFonts w:ascii="Arial" w:hAnsi="Arial" w:cs="Arial"/>
                <w:b/>
                <w:sz w:val="20"/>
                <w:szCs w:val="16"/>
              </w:rPr>
              <w:t>Yes</w:t>
            </w:r>
            <w:r w:rsidRPr="00683A0C">
              <w:rPr>
                <w:rFonts w:ascii="Arial" w:hAnsi="Arial" w:cs="Arial"/>
                <w:sz w:val="20"/>
                <w:szCs w:val="16"/>
              </w:rPr>
              <w:t xml:space="preserve">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rsidP="006A724E"/>
    <w:p w:rsidR="00214089" w:rsidRDefault="005D3A53" w:rsidP="006A724E">
      <w:pPr>
        <w:rPr>
          <w:b/>
          <w:sz w:val="28"/>
          <w:szCs w:val="28"/>
        </w:rPr>
      </w:pPr>
      <w:r>
        <w:rPr>
          <w:b/>
          <w:sz w:val="28"/>
          <w:szCs w:val="28"/>
        </w:rPr>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3425D1" w:rsidP="00BB5A00">
            <w:pPr>
              <w:jc w:val="center"/>
              <w:rPr>
                <w:rFonts w:ascii="Arial" w:hAnsi="Arial" w:cs="Arial"/>
                <w:sz w:val="20"/>
                <w:szCs w:val="20"/>
              </w:rPr>
            </w:pPr>
            <w:r>
              <w:rPr>
                <w:rFonts w:ascii="Arial" w:hAnsi="Arial" w:cs="Arial"/>
                <w:sz w:val="20"/>
                <w:szCs w:val="20"/>
              </w:rPr>
              <w:t>For Approval</w:t>
            </w:r>
          </w:p>
        </w:tc>
        <w:tc>
          <w:tcPr>
            <w:tcW w:w="614" w:type="pct"/>
          </w:tcPr>
          <w:p w:rsidR="005D3A53" w:rsidRPr="007B4360" w:rsidRDefault="003425D1" w:rsidP="00BB5A00">
            <w:pPr>
              <w:jc w:val="center"/>
              <w:rPr>
                <w:rFonts w:ascii="Arial" w:hAnsi="Arial" w:cs="Arial"/>
                <w:sz w:val="20"/>
                <w:szCs w:val="20"/>
              </w:rPr>
            </w:pPr>
            <w:r>
              <w:rPr>
                <w:rFonts w:ascii="Arial" w:hAnsi="Arial" w:cs="Arial"/>
                <w:sz w:val="20"/>
                <w:szCs w:val="20"/>
              </w:rPr>
              <w:t>25/04</w:t>
            </w:r>
            <w:r w:rsidR="007B4360">
              <w:rPr>
                <w:rFonts w:ascii="Arial" w:hAnsi="Arial" w:cs="Arial"/>
                <w:sz w:val="20"/>
                <w:szCs w:val="20"/>
              </w:rPr>
              <w:t xml:space="preserve">/18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4"/>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A8" w:rsidRDefault="005109A8" w:rsidP="00913EF2">
      <w:pPr>
        <w:spacing w:after="0" w:line="240" w:lineRule="auto"/>
      </w:pPr>
      <w:r>
        <w:separator/>
      </w:r>
    </w:p>
  </w:endnote>
  <w:endnote w:type="continuationSeparator" w:id="0">
    <w:p w:rsidR="005109A8" w:rsidRDefault="005109A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A8" w:rsidRDefault="005109A8" w:rsidP="00913EF2">
      <w:pPr>
        <w:spacing w:after="0" w:line="240" w:lineRule="auto"/>
      </w:pPr>
      <w:r>
        <w:separator/>
      </w:r>
    </w:p>
  </w:footnote>
  <w:footnote w:type="continuationSeparator" w:id="0">
    <w:p w:rsidR="005109A8" w:rsidRDefault="005109A8"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5B" w:rsidRDefault="005109A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5B" w:rsidRDefault="005109A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5B" w:rsidRDefault="005109A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615F3"/>
    <w:rsid w:val="00146769"/>
    <w:rsid w:val="00160739"/>
    <w:rsid w:val="00186FB8"/>
    <w:rsid w:val="001F5B5B"/>
    <w:rsid w:val="00214089"/>
    <w:rsid w:val="002427E0"/>
    <w:rsid w:val="002E2C40"/>
    <w:rsid w:val="003425D1"/>
    <w:rsid w:val="003C36EC"/>
    <w:rsid w:val="003D4B81"/>
    <w:rsid w:val="0040611A"/>
    <w:rsid w:val="00455546"/>
    <w:rsid w:val="004D41F9"/>
    <w:rsid w:val="005109A8"/>
    <w:rsid w:val="00590A4B"/>
    <w:rsid w:val="005B001E"/>
    <w:rsid w:val="005B61A9"/>
    <w:rsid w:val="005D3A53"/>
    <w:rsid w:val="006349F1"/>
    <w:rsid w:val="006A724E"/>
    <w:rsid w:val="007B3A63"/>
    <w:rsid w:val="007B4360"/>
    <w:rsid w:val="00816C17"/>
    <w:rsid w:val="0085035B"/>
    <w:rsid w:val="00883321"/>
    <w:rsid w:val="00913EF2"/>
    <w:rsid w:val="009B0C30"/>
    <w:rsid w:val="00A20C75"/>
    <w:rsid w:val="00A32953"/>
    <w:rsid w:val="00AC5A48"/>
    <w:rsid w:val="00B13E7C"/>
    <w:rsid w:val="00B70333"/>
    <w:rsid w:val="00B72A9D"/>
    <w:rsid w:val="00BB5A00"/>
    <w:rsid w:val="00C07FCB"/>
    <w:rsid w:val="00D22D52"/>
    <w:rsid w:val="00D5333F"/>
    <w:rsid w:val="00DB7640"/>
    <w:rsid w:val="00E15034"/>
    <w:rsid w:val="00E67E4D"/>
    <w:rsid w:val="00ED63F4"/>
    <w:rsid w:val="00F0543D"/>
    <w:rsid w:val="00F65733"/>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F31FC2-37E5-E443-980B-1B44685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C36019-C0DB-E74B-BCCF-431FC58D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2018-03-20T14:46:00Z</cp:lastPrinted>
  <dcterms:created xsi:type="dcterms:W3CDTF">2018-05-03T14:32:00Z</dcterms:created>
  <dcterms:modified xsi:type="dcterms:W3CDTF">2018-05-03T14:32:00Z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-369466036</vt:i4>
  </property>
  <property fmtid="{D5CDD505-2E9C-101B-9397-08002B2CF9AE}" pid="4" name="_NewReviewCycle">
    <vt:lpwstr/>
  </property>
  <property fmtid="{D5CDD505-2E9C-101B-9397-08002B2CF9AE}" pid="5" name="_EmailSubject">
    <vt:lpwstr>Action: Xoserve branded</vt:lpwstr>
  </property>
  <property fmtid="{D5CDD505-2E9C-101B-9397-08002B2CF9AE}" pid="6" name="_AuthorEmail">
    <vt:lpwstr>Anesu.Chivenga@xoserve.com</vt:lpwstr>
  </property>
  <property fmtid="{D5CDD505-2E9C-101B-9397-08002B2CF9AE}" pid="7" name="_AuthorEmailDisplayName">
    <vt:lpwstr>Chivenga, Anesu</vt:lpwstr>
  </property>
  <property fmtid="{D5CDD505-2E9C-101B-9397-08002B2CF9AE}" pid="8" name="_PreviousAdHocReviewCycleID">
    <vt:i4>-2027156235</vt:i4>
  </property>
  <property fmtid="{D5CDD505-2E9C-101B-9397-08002B2CF9AE}" pid="9" name="_ReviewingToolsShownOnce">
    <vt:lpwstr/>
  </property>
</Properties>
</file>