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1D5AF0" w:rsidRPr="005C3797" w:rsidRDefault="001D5AF0" w:rsidP="001D5AF0">
      <w:pPr>
        <w:keepNext/>
        <w:keepLines/>
        <w:jc w:val="center"/>
        <w:rPr>
          <w:rFonts w:cs="Arial"/>
          <w:color w:val="0066FF"/>
          <w:sz w:val="32"/>
          <w:szCs w:val="32"/>
        </w:rPr>
      </w:pPr>
      <w:bookmarkStart w:id="0" w:name="_GoBack"/>
      <w:r w:rsidRPr="005C3797">
        <w:rPr>
          <w:rFonts w:cs="Arial"/>
          <w:color w:val="0066FF"/>
          <w:sz w:val="32"/>
          <w:szCs w:val="32"/>
        </w:rPr>
        <w:t>Class 4 Transfer Reads not visible to shippers in DES</w:t>
      </w:r>
      <w:bookmarkEnd w:id="0"/>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1D5AF0">
        <w:rPr>
          <w:rFonts w:cs="Arial"/>
          <w:b/>
          <w:bCs/>
          <w:color w:val="000000" w:themeColor="text1"/>
          <w:sz w:val="36"/>
        </w:rPr>
        <w:t>XRN4576</w:t>
      </w:r>
      <w:r w:rsidR="001D5AF0" w:rsidRPr="001D5AF0">
        <w:t xml:space="preserve"> </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1D5AF0" w:rsidTr="00C2627B">
        <w:tc>
          <w:tcPr>
            <w:tcW w:w="2996" w:type="dxa"/>
            <w:shd w:val="clear" w:color="auto" w:fill="B8CCE4" w:themeFill="accent1" w:themeFillTint="66"/>
          </w:tcPr>
          <w:p w:rsidR="001D5AF0" w:rsidRDefault="001D5AF0">
            <w:r>
              <w:t>ROM Request / Change Proposal</w:t>
            </w:r>
          </w:p>
        </w:tc>
        <w:tc>
          <w:tcPr>
            <w:tcW w:w="1260" w:type="dxa"/>
          </w:tcPr>
          <w:p w:rsidR="001D5AF0" w:rsidRDefault="001D5AF0" w:rsidP="001A3D51">
            <w:r>
              <w:t>0.1</w:t>
            </w:r>
          </w:p>
        </w:tc>
        <w:tc>
          <w:tcPr>
            <w:tcW w:w="1307" w:type="dxa"/>
          </w:tcPr>
          <w:p w:rsidR="001D5AF0" w:rsidRDefault="001D5AF0" w:rsidP="001A3D51">
            <w:r>
              <w:t>09/01/2018</w:t>
            </w:r>
          </w:p>
        </w:tc>
        <w:tc>
          <w:tcPr>
            <w:tcW w:w="2140" w:type="dxa"/>
          </w:tcPr>
          <w:p w:rsidR="001D5AF0" w:rsidRDefault="001D5AF0" w:rsidP="001A3D51">
            <w:r w:rsidRPr="00D470A8">
              <w:t>Alison Cross</w:t>
            </w:r>
          </w:p>
        </w:tc>
        <w:sdt>
          <w:sdtPr>
            <w:alias w:val="Document Status"/>
            <w:tag w:val="Document Status"/>
            <w:id w:val="448975349"/>
            <w:placeholder>
              <w:docPart w:val="64E93932C7854747B1F45BACE83751BA"/>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1D5AF0" w:rsidRDefault="00E25331" w:rsidP="001A3D51">
                <w:r>
                  <w:t>Submitted to Change Committee</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E25331" w:rsidP="00310CC7">
            <w:r>
              <w:t>1.0</w:t>
            </w:r>
          </w:p>
        </w:tc>
        <w:tc>
          <w:tcPr>
            <w:tcW w:w="1307" w:type="dxa"/>
          </w:tcPr>
          <w:p w:rsidR="00A96501" w:rsidRDefault="00E25331" w:rsidP="00310CC7">
            <w:r>
              <w:t>07/03/2018</w:t>
            </w:r>
          </w:p>
        </w:tc>
        <w:tc>
          <w:tcPr>
            <w:tcW w:w="2140" w:type="dxa"/>
          </w:tcPr>
          <w:p w:rsidR="00A96501" w:rsidRDefault="00E25331" w:rsidP="00310CC7">
            <w:r>
              <w:t>Xoserve</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E25331" w:rsidP="00310CC7">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DC720A" w:rsidP="001A3D51">
            <w:r>
              <w:t>1.0</w:t>
            </w:r>
          </w:p>
        </w:tc>
        <w:tc>
          <w:tcPr>
            <w:tcW w:w="1307" w:type="dxa"/>
          </w:tcPr>
          <w:p w:rsidR="00A96501" w:rsidRDefault="00DC720A" w:rsidP="001A3D51">
            <w:r>
              <w:t>02/05/18</w:t>
            </w:r>
          </w:p>
        </w:tc>
        <w:tc>
          <w:tcPr>
            <w:tcW w:w="2140" w:type="dxa"/>
          </w:tcPr>
          <w:p w:rsidR="00A96501" w:rsidRDefault="00DC720A" w:rsidP="001A3D51">
            <w:r>
              <w:t>Xoserve</w:t>
            </w:r>
          </w:p>
        </w:tc>
        <w:sdt>
          <w:sdtPr>
            <w:alias w:val="Document Status"/>
            <w:tag w:val="Document Status"/>
            <w:id w:val="531074658"/>
            <w:placeholder>
              <w:docPart w:val="FF9C172D3FF944A8A78BB2CABC0121B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DC720A" w:rsidP="001A3D51">
                <w:r>
                  <w:t>Draft</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3"/>
        <w:gridCol w:w="1398"/>
        <w:gridCol w:w="1351"/>
        <w:gridCol w:w="2241"/>
        <w:gridCol w:w="2954"/>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1D5AF0" w:rsidP="005864A3">
            <w:r>
              <w:t>Shipper Representatives at Defect and Release Group (via Alison Cross)</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1D5AF0" w:rsidP="001D5AF0">
            <w:pPr>
              <w:jc w:val="center"/>
            </w:pPr>
            <w:r>
              <w:t>0121 623 2198</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1D5AF0" w:rsidP="005864A3">
            <w:r>
              <w:t>Alison.cross@xoserve.com</w:t>
            </w:r>
          </w:p>
        </w:tc>
      </w:tr>
      <w:tr w:rsidR="001D5AF0" w:rsidTr="005864A3">
        <w:tc>
          <w:tcPr>
            <w:tcW w:w="1809" w:type="dxa"/>
            <w:vMerge w:val="restart"/>
            <w:shd w:val="clear" w:color="auto" w:fill="B8CCE4" w:themeFill="accent1" w:themeFillTint="66"/>
          </w:tcPr>
          <w:p w:rsidR="001D5AF0" w:rsidRPr="009A2985" w:rsidRDefault="001D5AF0" w:rsidP="005864A3">
            <w:pPr>
              <w:rPr>
                <w:b/>
              </w:rPr>
            </w:pPr>
            <w:r w:rsidRPr="009A2985">
              <w:rPr>
                <w:b/>
              </w:rPr>
              <w:t>Customer Representative</w:t>
            </w:r>
          </w:p>
        </w:tc>
        <w:tc>
          <w:tcPr>
            <w:tcW w:w="2811" w:type="dxa"/>
            <w:gridSpan w:val="2"/>
            <w:vMerge w:val="restart"/>
          </w:tcPr>
          <w:p w:rsidR="001D5AF0" w:rsidRDefault="001D5AF0" w:rsidP="005864A3">
            <w:r>
              <w:t>Alison Cross</w:t>
            </w:r>
          </w:p>
        </w:tc>
        <w:tc>
          <w:tcPr>
            <w:tcW w:w="2311" w:type="dxa"/>
            <w:shd w:val="clear" w:color="auto" w:fill="B8CCE4" w:themeFill="accent1" w:themeFillTint="66"/>
          </w:tcPr>
          <w:p w:rsidR="001D5AF0" w:rsidRPr="009A2985" w:rsidRDefault="001D5AF0" w:rsidP="005864A3">
            <w:pPr>
              <w:rPr>
                <w:b/>
              </w:rPr>
            </w:pPr>
            <w:r w:rsidRPr="009A2985">
              <w:rPr>
                <w:b/>
              </w:rPr>
              <w:t>Contact Number</w:t>
            </w:r>
          </w:p>
        </w:tc>
        <w:tc>
          <w:tcPr>
            <w:tcW w:w="2816" w:type="dxa"/>
          </w:tcPr>
          <w:p w:rsidR="001D5AF0" w:rsidRDefault="001D5AF0" w:rsidP="005864A3">
            <w:r>
              <w:t>0121 623 2198</w:t>
            </w:r>
          </w:p>
        </w:tc>
      </w:tr>
      <w:tr w:rsidR="001D5AF0" w:rsidTr="005864A3">
        <w:tc>
          <w:tcPr>
            <w:tcW w:w="1809" w:type="dxa"/>
            <w:vMerge/>
            <w:shd w:val="clear" w:color="auto" w:fill="B8CCE4" w:themeFill="accent1" w:themeFillTint="66"/>
          </w:tcPr>
          <w:p w:rsidR="001D5AF0" w:rsidRPr="009A2985" w:rsidRDefault="001D5AF0" w:rsidP="005864A3">
            <w:pPr>
              <w:rPr>
                <w:b/>
              </w:rPr>
            </w:pPr>
          </w:p>
        </w:tc>
        <w:tc>
          <w:tcPr>
            <w:tcW w:w="2811" w:type="dxa"/>
            <w:gridSpan w:val="2"/>
            <w:vMerge/>
          </w:tcPr>
          <w:p w:rsidR="001D5AF0" w:rsidRDefault="001D5AF0" w:rsidP="005864A3"/>
        </w:tc>
        <w:tc>
          <w:tcPr>
            <w:tcW w:w="2311" w:type="dxa"/>
            <w:shd w:val="clear" w:color="auto" w:fill="B8CCE4" w:themeFill="accent1" w:themeFillTint="66"/>
          </w:tcPr>
          <w:p w:rsidR="001D5AF0" w:rsidRPr="009A2985" w:rsidRDefault="001D5AF0" w:rsidP="005864A3">
            <w:pPr>
              <w:rPr>
                <w:b/>
              </w:rPr>
            </w:pPr>
            <w:r w:rsidRPr="009A2985">
              <w:rPr>
                <w:b/>
              </w:rPr>
              <w:t>Email Address</w:t>
            </w:r>
          </w:p>
        </w:tc>
        <w:tc>
          <w:tcPr>
            <w:tcW w:w="2816" w:type="dxa"/>
          </w:tcPr>
          <w:p w:rsidR="001D5AF0" w:rsidRDefault="001D5AF0" w:rsidP="005864A3">
            <w:r>
              <w:t>Alison.cross@xoserve.com</w:t>
            </w:r>
          </w:p>
        </w:tc>
      </w:tr>
      <w:tr w:rsidR="001D5AF0" w:rsidTr="001D5AF0">
        <w:tc>
          <w:tcPr>
            <w:tcW w:w="1809" w:type="dxa"/>
            <w:vMerge w:val="restart"/>
            <w:shd w:val="clear" w:color="auto" w:fill="B8CCE4" w:themeFill="accent1" w:themeFillTint="66"/>
          </w:tcPr>
          <w:p w:rsidR="001D5AF0" w:rsidRPr="009A2985" w:rsidRDefault="001D5AF0" w:rsidP="005864A3">
            <w:pPr>
              <w:rPr>
                <w:b/>
              </w:rPr>
            </w:pPr>
            <w:r w:rsidRPr="009A2985">
              <w:rPr>
                <w:b/>
              </w:rPr>
              <w:t>Subject Matter Expert/Network Lead</w:t>
            </w:r>
          </w:p>
        </w:tc>
        <w:tc>
          <w:tcPr>
            <w:tcW w:w="2811" w:type="dxa"/>
            <w:gridSpan w:val="2"/>
            <w:vMerge w:val="restart"/>
          </w:tcPr>
          <w:p w:rsidR="001D5AF0" w:rsidRDefault="001D5AF0" w:rsidP="001D5AF0">
            <w:r>
              <w:t xml:space="preserve">Karen </w:t>
            </w:r>
            <w:proofErr w:type="spellStart"/>
            <w:r>
              <w:t>Marklew</w:t>
            </w:r>
            <w:proofErr w:type="spellEnd"/>
            <w:r>
              <w:t xml:space="preserve"> - Xoserve</w:t>
            </w:r>
          </w:p>
        </w:tc>
        <w:tc>
          <w:tcPr>
            <w:tcW w:w="2311" w:type="dxa"/>
            <w:shd w:val="clear" w:color="auto" w:fill="B8CCE4" w:themeFill="accent1" w:themeFillTint="66"/>
          </w:tcPr>
          <w:p w:rsidR="001D5AF0" w:rsidRPr="009A2985" w:rsidRDefault="001D5AF0" w:rsidP="005864A3">
            <w:pPr>
              <w:rPr>
                <w:b/>
              </w:rPr>
            </w:pPr>
            <w:r w:rsidRPr="009A2985">
              <w:rPr>
                <w:b/>
              </w:rPr>
              <w:t>Contact Number</w:t>
            </w:r>
          </w:p>
        </w:tc>
        <w:tc>
          <w:tcPr>
            <w:tcW w:w="2816" w:type="dxa"/>
          </w:tcPr>
          <w:p w:rsidR="001D5AF0" w:rsidRDefault="001D5AF0" w:rsidP="005864A3">
            <w:r>
              <w:t xml:space="preserve">0121 623 </w:t>
            </w:r>
            <w:r w:rsidRPr="005C3797">
              <w:t>2860</w:t>
            </w:r>
            <w:r>
              <w:tab/>
            </w:r>
          </w:p>
        </w:tc>
      </w:tr>
      <w:tr w:rsidR="001D5AF0" w:rsidTr="005864A3">
        <w:tc>
          <w:tcPr>
            <w:tcW w:w="1809" w:type="dxa"/>
            <w:vMerge/>
            <w:shd w:val="clear" w:color="auto" w:fill="B8CCE4" w:themeFill="accent1" w:themeFillTint="66"/>
          </w:tcPr>
          <w:p w:rsidR="001D5AF0" w:rsidRDefault="001D5AF0" w:rsidP="005864A3"/>
        </w:tc>
        <w:tc>
          <w:tcPr>
            <w:tcW w:w="2811" w:type="dxa"/>
            <w:gridSpan w:val="2"/>
            <w:vMerge/>
          </w:tcPr>
          <w:p w:rsidR="001D5AF0" w:rsidRDefault="001D5AF0" w:rsidP="005864A3"/>
        </w:tc>
        <w:tc>
          <w:tcPr>
            <w:tcW w:w="2311" w:type="dxa"/>
            <w:shd w:val="clear" w:color="auto" w:fill="B8CCE4" w:themeFill="accent1" w:themeFillTint="66"/>
          </w:tcPr>
          <w:p w:rsidR="001D5AF0" w:rsidRPr="009A2985" w:rsidRDefault="001D5AF0" w:rsidP="005864A3">
            <w:pPr>
              <w:rPr>
                <w:b/>
              </w:rPr>
            </w:pPr>
            <w:r w:rsidRPr="009A2985">
              <w:rPr>
                <w:b/>
              </w:rPr>
              <w:t>Email Address</w:t>
            </w:r>
          </w:p>
        </w:tc>
        <w:tc>
          <w:tcPr>
            <w:tcW w:w="2816" w:type="dxa"/>
          </w:tcPr>
          <w:p w:rsidR="001D5AF0" w:rsidRDefault="001D5AF0" w:rsidP="005864A3">
            <w:r w:rsidRPr="005C3797">
              <w:t>karen.j.marklew@xoserve.com</w:t>
            </w:r>
          </w:p>
        </w:tc>
      </w:tr>
      <w:tr w:rsidR="001D5AF0" w:rsidTr="005864A3">
        <w:tc>
          <w:tcPr>
            <w:tcW w:w="3227" w:type="dxa"/>
            <w:gridSpan w:val="2"/>
            <w:shd w:val="clear" w:color="auto" w:fill="B8CCE4" w:themeFill="accent1" w:themeFillTint="66"/>
          </w:tcPr>
          <w:p w:rsidR="001D5AF0" w:rsidRPr="009A2985" w:rsidRDefault="001D5AF0" w:rsidP="005864A3">
            <w:pPr>
              <w:rPr>
                <w:b/>
              </w:rPr>
            </w:pPr>
            <w:r w:rsidRPr="009A2985">
              <w:rPr>
                <w:b/>
              </w:rPr>
              <w:t>Customer Class</w:t>
            </w:r>
          </w:p>
        </w:tc>
        <w:tc>
          <w:tcPr>
            <w:tcW w:w="6520" w:type="dxa"/>
            <w:gridSpan w:val="3"/>
          </w:tcPr>
          <w:p w:rsidR="001D5AF0" w:rsidRDefault="006D6C91" w:rsidP="005864A3">
            <w:sdt>
              <w:sdtPr>
                <w:id w:val="-2140862440"/>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Shipper</w:t>
            </w:r>
          </w:p>
          <w:p w:rsidR="001D5AF0" w:rsidRDefault="006D6C91" w:rsidP="005864A3">
            <w:sdt>
              <w:sdtPr>
                <w:id w:val="-2017535920"/>
                <w14:checkbox>
                  <w14:checked w14:val="0"/>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National Grid Transmission</w:t>
            </w:r>
          </w:p>
          <w:p w:rsidR="001D5AF0" w:rsidRDefault="006D6C91" w:rsidP="005864A3">
            <w:sdt>
              <w:sdtPr>
                <w:id w:val="-262224899"/>
                <w14:checkbox>
                  <w14:checked w14:val="0"/>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Distribution Network Operator</w:t>
            </w:r>
          </w:p>
          <w:p w:rsidR="001D5AF0" w:rsidRDefault="006D6C91" w:rsidP="005864A3">
            <w:sdt>
              <w:sdtPr>
                <w:id w:val="1927376572"/>
                <w14:checkbox>
                  <w14:checked w14:val="0"/>
                  <w14:checkedState w14:val="2612" w14:font="MS Gothic"/>
                  <w14:uncheckedState w14:val="2610" w14:font="MS Gothic"/>
                </w14:checkbox>
              </w:sdtPr>
              <w:sdtEndPr/>
              <w:sdtContent>
                <w:r w:rsidR="001D5AF0">
                  <w:rPr>
                    <w:rFonts w:ascii="MS Gothic" w:eastAsia="MS Gothic" w:hAnsi="MS Gothic" w:hint="eastAsia"/>
                  </w:rPr>
                  <w:t>☐</w:t>
                </w:r>
              </w:sdtContent>
            </w:sdt>
            <w:r w:rsidR="001D5AF0">
              <w:t xml:space="preserve"> iGT</w:t>
            </w:r>
          </w:p>
        </w:tc>
      </w:tr>
      <w:tr w:rsidR="001D5AF0" w:rsidTr="00B174A5">
        <w:tc>
          <w:tcPr>
            <w:tcW w:w="9747" w:type="dxa"/>
            <w:gridSpan w:val="5"/>
            <w:shd w:val="clear" w:color="auto" w:fill="B8CCE4" w:themeFill="accent1" w:themeFillTint="66"/>
          </w:tcPr>
          <w:p w:rsidR="001D5AF0" w:rsidRDefault="001D5AF0" w:rsidP="00C2627B">
            <w:pPr>
              <w:jc w:val="center"/>
              <w:rPr>
                <w:rFonts w:ascii="MS Gothic" w:eastAsia="MS Gothic" w:hAnsi="MS Gothic"/>
              </w:rPr>
            </w:pPr>
            <w:r>
              <w:rPr>
                <w:b/>
              </w:rPr>
              <w:t>Overview of</w:t>
            </w:r>
            <w:r w:rsidRPr="00C2627B">
              <w:rPr>
                <w:b/>
              </w:rPr>
              <w:t xml:space="preserve"> proposed change</w:t>
            </w:r>
          </w:p>
        </w:tc>
      </w:tr>
      <w:tr w:rsidR="001D5AF0" w:rsidTr="005864A3">
        <w:tc>
          <w:tcPr>
            <w:tcW w:w="3227" w:type="dxa"/>
            <w:gridSpan w:val="2"/>
            <w:shd w:val="clear" w:color="auto" w:fill="B8CCE4" w:themeFill="accent1" w:themeFillTint="66"/>
          </w:tcPr>
          <w:p w:rsidR="001D5AF0" w:rsidRPr="009A2985" w:rsidRDefault="001D5AF0">
            <w:pPr>
              <w:rPr>
                <w:b/>
              </w:rPr>
            </w:pPr>
            <w:r>
              <w:rPr>
                <w:b/>
              </w:rPr>
              <w:t>Change Details</w:t>
            </w:r>
          </w:p>
        </w:tc>
        <w:tc>
          <w:tcPr>
            <w:tcW w:w="6520" w:type="dxa"/>
            <w:gridSpan w:val="3"/>
          </w:tcPr>
          <w:p w:rsidR="00E15538" w:rsidRDefault="00E15538" w:rsidP="00E15538">
            <w:pPr>
              <w:rPr>
                <w:rFonts w:cs="Arial"/>
                <w:bCs/>
                <w:color w:val="0000FF"/>
              </w:rPr>
            </w:pPr>
            <w:r>
              <w:rPr>
                <w:rFonts w:cs="Arial"/>
                <w:bCs/>
                <w:color w:val="0000FF"/>
              </w:rPr>
              <w:t xml:space="preserve">Originally logged as Defect 573 on HPQC – Defect now closed. </w:t>
            </w:r>
          </w:p>
          <w:p w:rsidR="00E15538" w:rsidRDefault="00E15538" w:rsidP="00E15538">
            <w:pPr>
              <w:rPr>
                <w:rFonts w:cs="Arial"/>
                <w:bCs/>
                <w:color w:val="0000FF"/>
              </w:rPr>
            </w:pPr>
          </w:p>
          <w:p w:rsidR="00E15538" w:rsidRDefault="00E15538" w:rsidP="00E15538">
            <w:pPr>
              <w:rPr>
                <w:rFonts w:cs="Arial"/>
                <w:sz w:val="22"/>
                <w:szCs w:val="22"/>
              </w:rPr>
            </w:pPr>
            <w:r>
              <w:rPr>
                <w:rFonts w:cs="Arial"/>
                <w:b/>
                <w:bCs/>
                <w:color w:val="365F91"/>
                <w:sz w:val="22"/>
                <w:szCs w:val="22"/>
                <w:u w:val="single"/>
              </w:rPr>
              <w:t>Issue Statement</w:t>
            </w:r>
          </w:p>
          <w:p w:rsidR="00E15538" w:rsidRDefault="00E15538" w:rsidP="00E15538">
            <w:pPr>
              <w:rPr>
                <w:rFonts w:cs="Arial"/>
                <w:color w:val="365F91"/>
                <w:sz w:val="22"/>
                <w:szCs w:val="22"/>
              </w:rPr>
            </w:pPr>
            <w:r>
              <w:rPr>
                <w:rFonts w:cs="Arial"/>
                <w:color w:val="365F91"/>
                <w:sz w:val="22"/>
                <w:szCs w:val="22"/>
              </w:rPr>
              <w:t>Per the Nexus rules, Xoserve currently accept reads from D-5 to D+5 as the transfer read for the transfer date D. But if the read date is spanning from D-5 to D-1, this read is not visible to the incoming shipper via Data Enquiry Service (DES) as this period is not in its ownership, and vice versa, if it is D+1 to D+5 the outgoing shipper cannot see the read.</w:t>
            </w:r>
          </w:p>
          <w:p w:rsidR="00E15538" w:rsidRDefault="00E15538" w:rsidP="00E15538">
            <w:pPr>
              <w:rPr>
                <w:rFonts w:cs="Arial"/>
                <w:sz w:val="22"/>
                <w:szCs w:val="22"/>
              </w:rPr>
            </w:pPr>
            <w:r>
              <w:rPr>
                <w:rFonts w:cs="Arial"/>
                <w:color w:val="365F91"/>
                <w:sz w:val="22"/>
                <w:szCs w:val="22"/>
              </w:rPr>
              <w:t>In SAP IS-U Xoserve store the read against the transfer date in the read screen.</w:t>
            </w:r>
          </w:p>
          <w:p w:rsidR="00E15538" w:rsidRDefault="00E15538" w:rsidP="00E15538">
            <w:pPr>
              <w:rPr>
                <w:rFonts w:cs="Arial"/>
                <w:sz w:val="22"/>
                <w:szCs w:val="22"/>
              </w:rPr>
            </w:pPr>
            <w:r>
              <w:rPr>
                <w:rFonts w:cs="Arial"/>
                <w:color w:val="365F91"/>
                <w:sz w:val="22"/>
                <w:szCs w:val="22"/>
              </w:rPr>
              <w:t xml:space="preserve"> There is no issue with billing; reconciliation is using correct dates etc. Supporting information displays the actual read date and the transfer date is reflected in the variance date.  </w:t>
            </w:r>
          </w:p>
          <w:p w:rsidR="00E15538" w:rsidRDefault="00E15538" w:rsidP="00E15538">
            <w:pPr>
              <w:rPr>
                <w:rFonts w:cs="Arial"/>
                <w:color w:val="365F91"/>
                <w:sz w:val="22"/>
                <w:szCs w:val="22"/>
              </w:rPr>
            </w:pPr>
            <w:r>
              <w:rPr>
                <w:rFonts w:cs="Arial"/>
                <w:color w:val="365F91"/>
                <w:sz w:val="22"/>
                <w:szCs w:val="22"/>
              </w:rPr>
              <w:t>The issue is purely a presentation in DES and supporting information.</w:t>
            </w:r>
          </w:p>
          <w:p w:rsidR="00E15538" w:rsidRPr="00F464DC" w:rsidRDefault="00E15538" w:rsidP="00E15538">
            <w:pPr>
              <w:rPr>
                <w:rFonts w:cs="Arial"/>
                <w:b/>
                <w:sz w:val="22"/>
                <w:szCs w:val="22"/>
                <w:u w:val="single"/>
              </w:rPr>
            </w:pPr>
            <w:r w:rsidRPr="00F464DC">
              <w:rPr>
                <w:rFonts w:cs="Arial"/>
                <w:b/>
                <w:color w:val="365F91"/>
                <w:sz w:val="22"/>
                <w:szCs w:val="22"/>
                <w:u w:val="single"/>
              </w:rPr>
              <w:t>Current process</w:t>
            </w:r>
          </w:p>
          <w:p w:rsidR="00E15538" w:rsidRDefault="00E15538" w:rsidP="00E15538">
            <w:pPr>
              <w:rPr>
                <w:color w:val="1F497D"/>
              </w:rPr>
            </w:pPr>
            <w:r>
              <w:rPr>
                <w:color w:val="1F497D"/>
              </w:rPr>
              <w:t xml:space="preserve">Shipper obligation to provide reading and where accepted the read is issued to both parties on the URN file, where a reading is not provided an estimated read will be generated and issued on the MBR file. </w:t>
            </w:r>
          </w:p>
          <w:p w:rsidR="00E15538" w:rsidRDefault="00E15538" w:rsidP="00E15538">
            <w:pPr>
              <w:rPr>
                <w:rFonts w:cs="Arial"/>
                <w:sz w:val="22"/>
                <w:szCs w:val="22"/>
              </w:rPr>
            </w:pPr>
          </w:p>
          <w:p w:rsidR="00E15538" w:rsidRDefault="00E15538" w:rsidP="00E15538">
            <w:pPr>
              <w:rPr>
                <w:rFonts w:cs="Arial"/>
                <w:sz w:val="22"/>
                <w:szCs w:val="22"/>
              </w:rPr>
            </w:pPr>
            <w:r>
              <w:rPr>
                <w:rFonts w:cs="Arial"/>
                <w:b/>
                <w:bCs/>
                <w:color w:val="365F91"/>
                <w:sz w:val="22"/>
                <w:szCs w:val="22"/>
                <w:u w:val="single"/>
              </w:rPr>
              <w:t>DRG Decision</w:t>
            </w:r>
          </w:p>
          <w:p w:rsidR="00E15538" w:rsidRDefault="00E15538" w:rsidP="00E15538">
            <w:pPr>
              <w:rPr>
                <w:rFonts w:cs="Arial"/>
                <w:color w:val="365F91"/>
                <w:sz w:val="22"/>
                <w:szCs w:val="22"/>
              </w:rPr>
            </w:pPr>
            <w:r>
              <w:rPr>
                <w:rFonts w:cs="Arial"/>
                <w:color w:val="365F91"/>
                <w:sz w:val="22"/>
                <w:szCs w:val="22"/>
              </w:rPr>
              <w:t xml:space="preserve">At DRG in Dec 2017 Xoserve proposed making the workarounds (below) enduring and closing Defect 573. This was not agreed by shipper representatives and the below feedback provided: </w:t>
            </w:r>
          </w:p>
          <w:p w:rsidR="00E15538" w:rsidRDefault="00E15538" w:rsidP="00624099">
            <w:pPr>
              <w:pStyle w:val="ListParagraph"/>
              <w:numPr>
                <w:ilvl w:val="0"/>
                <w:numId w:val="9"/>
              </w:numPr>
              <w:spacing w:before="0" w:after="0"/>
              <w:contextualSpacing w:val="0"/>
            </w:pPr>
            <w:r>
              <w:lastRenderedPageBreak/>
              <w:t>Shippers would not support any file format changes.</w:t>
            </w:r>
          </w:p>
          <w:p w:rsidR="00E15538" w:rsidRDefault="00E15538" w:rsidP="00624099">
            <w:pPr>
              <w:pStyle w:val="ListParagraph"/>
              <w:numPr>
                <w:ilvl w:val="0"/>
                <w:numId w:val="9"/>
              </w:numPr>
              <w:spacing w:before="0" w:after="0"/>
              <w:contextualSpacing w:val="0"/>
            </w:pPr>
            <w:r>
              <w:t xml:space="preserve">Shippers would not support the workarounds being enduring. </w:t>
            </w:r>
          </w:p>
          <w:p w:rsidR="00E15538" w:rsidRDefault="00E15538" w:rsidP="00624099">
            <w:pPr>
              <w:pStyle w:val="ListParagraph"/>
              <w:numPr>
                <w:ilvl w:val="0"/>
                <w:numId w:val="9"/>
              </w:numPr>
              <w:spacing w:before="0" w:after="0"/>
              <w:contextualSpacing w:val="0"/>
            </w:pPr>
            <w:r>
              <w:t>Shippers would still like ability to view the D-5 – D+5 reads in DES</w:t>
            </w:r>
          </w:p>
          <w:p w:rsidR="00E15538" w:rsidRDefault="00E15538" w:rsidP="00E15538">
            <w:pPr>
              <w:rPr>
                <w:rFonts w:cs="Arial"/>
                <w:sz w:val="22"/>
                <w:szCs w:val="22"/>
              </w:rPr>
            </w:pPr>
            <w:r w:rsidRPr="00B32A6F">
              <w:rPr>
                <w:rFonts w:cs="Arial"/>
                <w:color w:val="365F91"/>
                <w:sz w:val="22"/>
                <w:szCs w:val="22"/>
              </w:rPr>
              <w:t xml:space="preserve">As this is not actually a defect (the process is working correctly/ this functionality in DES was not available in Legacy) the defect </w:t>
            </w:r>
            <w:r>
              <w:rPr>
                <w:rFonts w:cs="Arial"/>
                <w:color w:val="365F91"/>
                <w:sz w:val="22"/>
                <w:szCs w:val="22"/>
              </w:rPr>
              <w:t>was</w:t>
            </w:r>
            <w:r w:rsidRPr="00B32A6F">
              <w:rPr>
                <w:rFonts w:cs="Arial"/>
                <w:color w:val="365F91"/>
                <w:sz w:val="22"/>
                <w:szCs w:val="22"/>
              </w:rPr>
              <w:t xml:space="preserve"> closed </w:t>
            </w:r>
            <w:r>
              <w:rPr>
                <w:rFonts w:cs="Arial"/>
                <w:color w:val="365F91"/>
                <w:sz w:val="22"/>
                <w:szCs w:val="22"/>
              </w:rPr>
              <w:t>and this Change proposal has been</w:t>
            </w:r>
            <w:r w:rsidRPr="00B32A6F">
              <w:rPr>
                <w:rFonts w:cs="Arial"/>
                <w:color w:val="365F91"/>
                <w:sz w:val="22"/>
                <w:szCs w:val="22"/>
              </w:rPr>
              <w:t xml:space="preserve"> raised to look at the options to provide the visibility of the reads without incurring file format changes. The CR will follow the DSC Change management process.</w:t>
            </w:r>
          </w:p>
          <w:p w:rsidR="00E15538" w:rsidRDefault="00E15538" w:rsidP="00E15538">
            <w:pPr>
              <w:rPr>
                <w:rFonts w:cs="Arial"/>
                <w:sz w:val="22"/>
                <w:szCs w:val="22"/>
              </w:rPr>
            </w:pPr>
            <w:r>
              <w:rPr>
                <w:rFonts w:cs="Arial"/>
                <w:b/>
                <w:bCs/>
                <w:color w:val="365F91"/>
                <w:sz w:val="22"/>
                <w:szCs w:val="22"/>
                <w:u w:val="single"/>
              </w:rPr>
              <w:t>For information: Workarounds</w:t>
            </w:r>
          </w:p>
          <w:p w:rsidR="00E15538" w:rsidRDefault="00E15538" w:rsidP="00E15538">
            <w:pPr>
              <w:rPr>
                <w:rFonts w:cs="Arial"/>
                <w:sz w:val="22"/>
                <w:szCs w:val="22"/>
              </w:rPr>
            </w:pPr>
            <w:r>
              <w:rPr>
                <w:rFonts w:cs="Arial"/>
                <w:color w:val="365F91"/>
                <w:sz w:val="22"/>
                <w:szCs w:val="22"/>
              </w:rPr>
              <w:t>There are already 2 workaround options, both of which have been available since the defect was raised in July.</w:t>
            </w:r>
          </w:p>
          <w:p w:rsidR="00E15538" w:rsidRDefault="00E15538" w:rsidP="00E15538">
            <w:pPr>
              <w:rPr>
                <w:rFonts w:cs="Arial"/>
                <w:sz w:val="22"/>
                <w:szCs w:val="22"/>
              </w:rPr>
            </w:pPr>
            <w:r>
              <w:rPr>
                <w:rFonts w:cs="Arial"/>
                <w:color w:val="365F91"/>
                <w:sz w:val="22"/>
                <w:szCs w:val="22"/>
              </w:rPr>
              <w:t>First is to call the Contact Centre to request the read detail.</w:t>
            </w:r>
          </w:p>
          <w:p w:rsidR="00E15538" w:rsidRDefault="00E15538" w:rsidP="00E15538">
            <w:pPr>
              <w:rPr>
                <w:rFonts w:cs="Arial"/>
                <w:sz w:val="22"/>
                <w:szCs w:val="22"/>
              </w:rPr>
            </w:pPr>
            <w:r>
              <w:rPr>
                <w:rFonts w:cs="Arial"/>
                <w:color w:val="365F91"/>
                <w:sz w:val="22"/>
                <w:szCs w:val="22"/>
              </w:rPr>
              <w:t xml:space="preserve">Second is to refer to reports already available, which includes the Historic Supply Meter Point Asset and Read information report. </w:t>
            </w:r>
          </w:p>
          <w:p w:rsidR="001D5AF0" w:rsidRPr="001D5AF0" w:rsidRDefault="001D5AF0">
            <w:pPr>
              <w:rPr>
                <w:rFonts w:ascii="MS Gothic" w:eastAsia="MS Gothic" w:hAnsi="MS Gothic"/>
                <w:color w:val="FF0000"/>
              </w:rPr>
            </w:pPr>
          </w:p>
        </w:tc>
      </w:tr>
      <w:tr w:rsidR="001D5AF0" w:rsidTr="005864A3">
        <w:tc>
          <w:tcPr>
            <w:tcW w:w="3227" w:type="dxa"/>
            <w:gridSpan w:val="2"/>
            <w:shd w:val="clear" w:color="auto" w:fill="B8CCE4" w:themeFill="accent1" w:themeFillTint="66"/>
          </w:tcPr>
          <w:p w:rsidR="001D5AF0" w:rsidRDefault="001D5AF0" w:rsidP="005864A3">
            <w:pPr>
              <w:rPr>
                <w:b/>
              </w:rPr>
            </w:pPr>
            <w:r>
              <w:rPr>
                <w:b/>
              </w:rPr>
              <w:lastRenderedPageBreak/>
              <w:t>Reason(s) for proposed service change</w:t>
            </w:r>
          </w:p>
          <w:p w:rsidR="001D5AF0" w:rsidRPr="00C2627B" w:rsidRDefault="001D5AF0" w:rsidP="005864A3"/>
        </w:tc>
        <w:tc>
          <w:tcPr>
            <w:tcW w:w="6520" w:type="dxa"/>
            <w:gridSpan w:val="3"/>
          </w:tcPr>
          <w:p w:rsidR="001D5AF0" w:rsidRPr="001D5AF0" w:rsidRDefault="00E15538" w:rsidP="005864A3">
            <w:pPr>
              <w:rPr>
                <w:rFonts w:ascii="MS Gothic" w:eastAsia="MS Gothic" w:hAnsi="MS Gothic"/>
                <w:color w:val="FF0000"/>
              </w:rPr>
            </w:pPr>
            <w:r>
              <w:rPr>
                <w:rFonts w:cs="Arial"/>
                <w:color w:val="0000FF"/>
              </w:rPr>
              <w:t>To allow shippers to view transfer reads on DES.</w:t>
            </w:r>
          </w:p>
        </w:tc>
      </w:tr>
      <w:tr w:rsidR="001D5AF0" w:rsidTr="005864A3">
        <w:tc>
          <w:tcPr>
            <w:tcW w:w="3227" w:type="dxa"/>
            <w:gridSpan w:val="2"/>
            <w:shd w:val="clear" w:color="auto" w:fill="B8CCE4" w:themeFill="accent1" w:themeFillTint="66"/>
          </w:tcPr>
          <w:p w:rsidR="001D5AF0" w:rsidRDefault="001D5AF0" w:rsidP="005864A3">
            <w:pPr>
              <w:rPr>
                <w:b/>
              </w:rPr>
            </w:pPr>
            <w:r w:rsidRPr="00B008C3">
              <w:rPr>
                <w:b/>
              </w:rPr>
              <w:t>Status of related UNC Mod</w:t>
            </w:r>
          </w:p>
        </w:tc>
        <w:tc>
          <w:tcPr>
            <w:tcW w:w="6520" w:type="dxa"/>
            <w:gridSpan w:val="3"/>
          </w:tcPr>
          <w:p w:rsidR="001D5AF0" w:rsidRPr="00E15538" w:rsidRDefault="00E15538" w:rsidP="005864A3">
            <w:pPr>
              <w:rPr>
                <w:rFonts w:cs="Arial"/>
              </w:rPr>
            </w:pPr>
            <w:r w:rsidRPr="00E15538">
              <w:rPr>
                <w:rFonts w:cs="Arial"/>
              </w:rPr>
              <w:t>NA</w:t>
            </w:r>
          </w:p>
        </w:tc>
      </w:tr>
      <w:tr w:rsidR="001D5AF0" w:rsidTr="005864A3">
        <w:tc>
          <w:tcPr>
            <w:tcW w:w="3227" w:type="dxa"/>
            <w:gridSpan w:val="2"/>
            <w:shd w:val="clear" w:color="auto" w:fill="B8CCE4" w:themeFill="accent1" w:themeFillTint="66"/>
          </w:tcPr>
          <w:p w:rsidR="001D5AF0" w:rsidRPr="00B008C3" w:rsidRDefault="001D5AF0" w:rsidP="005864A3">
            <w:pPr>
              <w:rPr>
                <w:b/>
              </w:rPr>
            </w:pPr>
            <w:r>
              <w:rPr>
                <w:b/>
              </w:rPr>
              <w:t>Full title of related UNC Mod</w:t>
            </w:r>
          </w:p>
        </w:tc>
        <w:tc>
          <w:tcPr>
            <w:tcW w:w="6520" w:type="dxa"/>
            <w:gridSpan w:val="3"/>
          </w:tcPr>
          <w:p w:rsidR="001D5AF0" w:rsidRPr="00E15538" w:rsidRDefault="00E15538" w:rsidP="005864A3">
            <w:pPr>
              <w:rPr>
                <w:rFonts w:cs="Arial"/>
              </w:rPr>
            </w:pPr>
            <w:r w:rsidRPr="00E15538">
              <w:rPr>
                <w:rFonts w:cs="Arial"/>
              </w:rPr>
              <w:t>NA</w:t>
            </w:r>
          </w:p>
        </w:tc>
      </w:tr>
      <w:tr w:rsidR="001D5AF0" w:rsidTr="005864A3">
        <w:tc>
          <w:tcPr>
            <w:tcW w:w="3227" w:type="dxa"/>
            <w:gridSpan w:val="2"/>
            <w:shd w:val="clear" w:color="auto" w:fill="B8CCE4" w:themeFill="accent1" w:themeFillTint="66"/>
          </w:tcPr>
          <w:p w:rsidR="001D5AF0" w:rsidRDefault="001D5AF0" w:rsidP="005864A3">
            <w:pPr>
              <w:rPr>
                <w:b/>
              </w:rPr>
            </w:pPr>
            <w:r>
              <w:rPr>
                <w:b/>
              </w:rPr>
              <w:t>Benefits of change</w:t>
            </w:r>
          </w:p>
        </w:tc>
        <w:tc>
          <w:tcPr>
            <w:tcW w:w="6520" w:type="dxa"/>
            <w:gridSpan w:val="3"/>
          </w:tcPr>
          <w:p w:rsidR="001D5AF0" w:rsidRPr="00E15538" w:rsidRDefault="00E15538" w:rsidP="00C2627B">
            <w:pPr>
              <w:spacing w:before="60" w:after="60"/>
              <w:rPr>
                <w:rFonts w:ascii="MS Gothic" w:eastAsia="MS Gothic" w:hAnsi="MS Gothic"/>
              </w:rPr>
            </w:pPr>
            <w:r>
              <w:rPr>
                <w:rFonts w:cs="Arial"/>
                <w:bCs/>
                <w:color w:val="0000FF"/>
              </w:rPr>
              <w:t>To remove need for workarounds to be used by Shippers when trying to find out transfer reads.</w:t>
            </w:r>
          </w:p>
        </w:tc>
      </w:tr>
      <w:tr w:rsidR="001D5AF0" w:rsidTr="005864A3">
        <w:tc>
          <w:tcPr>
            <w:tcW w:w="3227" w:type="dxa"/>
            <w:gridSpan w:val="2"/>
            <w:shd w:val="clear" w:color="auto" w:fill="B8CCE4" w:themeFill="accent1" w:themeFillTint="66"/>
          </w:tcPr>
          <w:p w:rsidR="001D5AF0" w:rsidRDefault="001D5AF0" w:rsidP="005864A3">
            <w:pPr>
              <w:rPr>
                <w:b/>
              </w:rPr>
            </w:pPr>
            <w:r>
              <w:rPr>
                <w:b/>
              </w:rPr>
              <w:t>Required Change Implementation Date</w:t>
            </w:r>
          </w:p>
        </w:tc>
        <w:tc>
          <w:tcPr>
            <w:tcW w:w="6520" w:type="dxa"/>
            <w:gridSpan w:val="3"/>
          </w:tcPr>
          <w:p w:rsidR="001D5AF0" w:rsidRPr="001D5AF0" w:rsidRDefault="00E15538" w:rsidP="005864A3">
            <w:pPr>
              <w:rPr>
                <w:rFonts w:ascii="MS Gothic" w:eastAsia="MS Gothic" w:hAnsi="MS Gothic"/>
                <w:color w:val="FF0000"/>
              </w:rPr>
            </w:pPr>
            <w:r w:rsidRPr="00E15538">
              <w:rPr>
                <w:rFonts w:ascii="MS Gothic" w:eastAsia="MS Gothic" w:hAnsi="MS Gothic"/>
              </w:rPr>
              <w:t>TBC</w:t>
            </w:r>
          </w:p>
        </w:tc>
      </w:tr>
      <w:tr w:rsidR="001D5AF0" w:rsidTr="005864A3">
        <w:tc>
          <w:tcPr>
            <w:tcW w:w="3227" w:type="dxa"/>
            <w:gridSpan w:val="2"/>
            <w:shd w:val="clear" w:color="auto" w:fill="B8CCE4" w:themeFill="accent1" w:themeFillTint="66"/>
          </w:tcPr>
          <w:p w:rsidR="001D5AF0" w:rsidRDefault="001D5AF0"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1D5AF0" w:rsidRPr="007F5E6F" w:rsidRDefault="006D6C91" w:rsidP="004363D0">
            <w:pPr>
              <w:rPr>
                <w:rFonts w:cs="Arial"/>
              </w:rPr>
            </w:pPr>
            <w:sdt>
              <w:sdtPr>
                <w:id w:val="-1452088850"/>
                <w14:checkbox>
                  <w14:checked w14:val="0"/>
                  <w14:checkedState w14:val="2612" w14:font="MS Gothic"/>
                  <w14:uncheckedState w14:val="2610" w14:font="MS Gothic"/>
                </w14:checkbox>
              </w:sdtPr>
              <w:sdtEndPr/>
              <w:sdtContent>
                <w:r w:rsidR="001D5AF0" w:rsidRPr="007F5E6F">
                  <w:rPr>
                    <w:rFonts w:ascii="MS Gothic" w:eastAsia="MS Gothic" w:hAnsi="MS Gothic" w:hint="eastAsia"/>
                  </w:rPr>
                  <w:t>☐</w:t>
                </w:r>
              </w:sdtContent>
            </w:sdt>
            <w:r w:rsidR="001D5AF0" w:rsidRPr="007F5E6F">
              <w:t>High</w:t>
            </w:r>
          </w:p>
          <w:p w:rsidR="001D5AF0" w:rsidRPr="007F5E6F" w:rsidRDefault="006D6C91" w:rsidP="004363D0">
            <w:sdt>
              <w:sdtPr>
                <w:id w:val="-918560144"/>
                <w14:checkbox>
                  <w14:checked w14:val="1"/>
                  <w14:checkedState w14:val="2612" w14:font="MS Gothic"/>
                  <w14:uncheckedState w14:val="2610" w14:font="MS Gothic"/>
                </w14:checkbox>
              </w:sdtPr>
              <w:sdtEndPr/>
              <w:sdtContent>
                <w:r w:rsidR="007F5E6F" w:rsidRPr="007F5E6F">
                  <w:rPr>
                    <w:rFonts w:ascii="MS Gothic" w:eastAsia="MS Gothic" w:hAnsi="MS Gothic" w:hint="eastAsia"/>
                  </w:rPr>
                  <w:t>☒</w:t>
                </w:r>
              </w:sdtContent>
            </w:sdt>
            <w:r w:rsidR="001D5AF0" w:rsidRPr="007F5E6F">
              <w:t>Medium</w:t>
            </w:r>
          </w:p>
          <w:p w:rsidR="001D5AF0" w:rsidRPr="007F5E6F" w:rsidRDefault="006D6C91" w:rsidP="004363D0">
            <w:sdt>
              <w:sdtPr>
                <w:id w:val="1202048263"/>
                <w14:checkbox>
                  <w14:checked w14:val="0"/>
                  <w14:checkedState w14:val="2612" w14:font="MS Gothic"/>
                  <w14:uncheckedState w14:val="2610" w14:font="MS Gothic"/>
                </w14:checkbox>
              </w:sdtPr>
              <w:sdtEndPr/>
              <w:sdtContent>
                <w:r w:rsidR="001D5AF0" w:rsidRPr="007F5E6F">
                  <w:rPr>
                    <w:rFonts w:ascii="MS Gothic" w:eastAsia="MS Gothic" w:hAnsi="MS Gothic" w:hint="eastAsia"/>
                  </w:rPr>
                  <w:t>☐</w:t>
                </w:r>
              </w:sdtContent>
            </w:sdt>
            <w:r w:rsidR="001D5AF0" w:rsidRPr="007F5E6F">
              <w:rPr>
                <w:rFonts w:cs="Arial"/>
              </w:rPr>
              <w:t>Low</w:t>
            </w:r>
          </w:p>
          <w:p w:rsidR="001D5AF0" w:rsidRPr="001D5AF0" w:rsidRDefault="001D5AF0" w:rsidP="005864A3">
            <w:pPr>
              <w:rPr>
                <w:rFonts w:ascii="MS Gothic" w:eastAsia="MS Gothic" w:hAnsi="MS Gothic"/>
                <w:color w:val="FF0000"/>
              </w:rPr>
            </w:pPr>
            <w:r w:rsidRPr="007F5E6F">
              <w:t>Rationale for assessment:</w:t>
            </w:r>
            <w:r w:rsidR="007F5E6F">
              <w:t xml:space="preserve"> allow the incumbent or new registered user to view the transfer reading when the transfer reading for the Class </w:t>
            </w:r>
            <w:proofErr w:type="gramStart"/>
            <w:r w:rsidR="007F5E6F">
              <w:t>4 meter</w:t>
            </w:r>
            <w:proofErr w:type="gramEnd"/>
            <w:r w:rsidR="007F5E6F">
              <w:t xml:space="preserve"> point is recorded for a day other than the transfer day (d-5 to D+5), at present this is only viewable to the user that was registered on the read date.</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E25331" w:rsidRDefault="00C22C88" w:rsidP="004363D0">
            <w:pPr>
              <w:rPr>
                <w:b/>
              </w:rPr>
            </w:pPr>
            <w:r w:rsidRPr="00E25331">
              <w:rPr>
                <w:b/>
              </w:rPr>
              <w:t>Service Level of Quote/Estimate Robustness Requested</w:t>
            </w:r>
          </w:p>
          <w:p w:rsidR="00C22C88" w:rsidRPr="00E25331" w:rsidRDefault="00C22C88" w:rsidP="004363D0">
            <w:pPr>
              <w:rPr>
                <w:b/>
              </w:rPr>
            </w:pPr>
          </w:p>
          <w:p w:rsidR="00C22C88" w:rsidRPr="001D5AF0" w:rsidRDefault="00C22C88" w:rsidP="004363D0">
            <w:pPr>
              <w:rPr>
                <w:b/>
                <w:color w:val="FF0000"/>
              </w:rPr>
            </w:pPr>
          </w:p>
        </w:tc>
        <w:tc>
          <w:tcPr>
            <w:tcW w:w="6520" w:type="dxa"/>
          </w:tcPr>
          <w:p w:rsidR="00C22C88" w:rsidRPr="00E15538" w:rsidRDefault="00C22C88" w:rsidP="004363D0">
            <w:pPr>
              <w:rPr>
                <w:b/>
              </w:rPr>
            </w:pPr>
            <w:r w:rsidRPr="00E15538">
              <w:rPr>
                <w:b/>
              </w:rPr>
              <w:t>Evaluation Services</w:t>
            </w:r>
          </w:p>
          <w:p w:rsidR="00E6438A" w:rsidRPr="00E15538" w:rsidRDefault="006D6C91" w:rsidP="004363D0">
            <w:sdt>
              <w:sdtPr>
                <w:id w:val="-686213400"/>
                <w14:checkbox>
                  <w14:checked w14:val="0"/>
                  <w14:checkedState w14:val="2612" w14:font="MS Gothic"/>
                  <w14:uncheckedState w14:val="2610" w14:font="MS Gothic"/>
                </w14:checkbox>
              </w:sdtPr>
              <w:sdtEndPr/>
              <w:sdtContent>
                <w:r w:rsidR="00C22C88" w:rsidRPr="00E15538">
                  <w:rPr>
                    <w:rFonts w:ascii="MS Gothic" w:eastAsia="MS Gothic" w:hAnsi="MS Gothic" w:hint="eastAsia"/>
                  </w:rPr>
                  <w:t>☐</w:t>
                </w:r>
              </w:sdtContent>
            </w:sdt>
            <w:r w:rsidR="00E6438A" w:rsidRPr="00E15538">
              <w:t>Initial Assessment</w:t>
            </w:r>
            <w:r w:rsidR="00CB0C1B" w:rsidRPr="00E15538">
              <w:t xml:space="preserve"> </w:t>
            </w:r>
            <w:r w:rsidR="00CB0C1B" w:rsidRPr="00E15538">
              <w:rPr>
                <w:i/>
              </w:rPr>
              <w:t>(Mod related changes only)</w:t>
            </w:r>
          </w:p>
          <w:p w:rsidR="00C22C88" w:rsidRPr="00E15538" w:rsidRDefault="006D6C91" w:rsidP="004363D0">
            <w:sdt>
              <w:sdtPr>
                <w:id w:val="1331867645"/>
                <w14:checkbox>
                  <w14:checked w14:val="0"/>
                  <w14:checkedState w14:val="2612" w14:font="MS Gothic"/>
                  <w14:uncheckedState w14:val="2610" w14:font="MS Gothic"/>
                </w14:checkbox>
              </w:sdtPr>
              <w:sdtEndPr/>
              <w:sdtContent>
                <w:r w:rsidR="00E6438A" w:rsidRPr="00E15538">
                  <w:rPr>
                    <w:rFonts w:ascii="MS Gothic" w:eastAsia="MS Gothic" w:hAnsi="MS Gothic" w:hint="eastAsia"/>
                  </w:rPr>
                  <w:t>☐</w:t>
                </w:r>
              </w:sdtContent>
            </w:sdt>
            <w:r w:rsidR="00E6438A" w:rsidRPr="00E15538">
              <w:t>ROM estimate for Analysis and Delivery</w:t>
            </w:r>
          </w:p>
          <w:p w:rsidR="00C22C88" w:rsidRPr="00E15538" w:rsidRDefault="00C22C88" w:rsidP="004363D0">
            <w:pPr>
              <w:rPr>
                <w:b/>
              </w:rPr>
            </w:pPr>
            <w:r w:rsidRPr="00E15538">
              <w:rPr>
                <w:b/>
              </w:rPr>
              <w:t>CDSP Change Services</w:t>
            </w:r>
          </w:p>
          <w:p w:rsidR="00C22C88" w:rsidRPr="00E15538" w:rsidRDefault="006D6C91" w:rsidP="004363D0">
            <w:sdt>
              <w:sdtPr>
                <w:id w:val="851376898"/>
                <w14:checkbox>
                  <w14:checked w14:val="0"/>
                  <w14:checkedState w14:val="2612" w14:font="MS Gothic"/>
                  <w14:uncheckedState w14:val="2610" w14:font="MS Gothic"/>
                </w14:checkbox>
              </w:sdtPr>
              <w:sdtEndPr/>
              <w:sdtContent>
                <w:r w:rsidR="00C22C88" w:rsidRPr="00E15538">
                  <w:rPr>
                    <w:rFonts w:ascii="MS Gothic" w:eastAsia="MS Gothic" w:hAnsi="MS Gothic" w:hint="eastAsia"/>
                  </w:rPr>
                  <w:t>☐</w:t>
                </w:r>
              </w:sdtContent>
            </w:sdt>
            <w:r w:rsidR="00C22C88" w:rsidRPr="00E15538">
              <w:t>Firm Quote for Analysis</w:t>
            </w:r>
          </w:p>
          <w:p w:rsidR="00C22C88" w:rsidRPr="001D5AF0" w:rsidRDefault="006D6C91" w:rsidP="004363D0">
            <w:pPr>
              <w:rPr>
                <w:color w:val="FF0000"/>
              </w:rPr>
            </w:pPr>
            <w:sdt>
              <w:sdtPr>
                <w:id w:val="-58095995"/>
                <w14:checkbox>
                  <w14:checked w14:val="1"/>
                  <w14:checkedState w14:val="2612" w14:font="MS Gothic"/>
                  <w14:uncheckedState w14:val="2610" w14:font="MS Gothic"/>
                </w14:checkbox>
              </w:sdtPr>
              <w:sdtEndPr/>
              <w:sdtContent>
                <w:r w:rsidR="00E15538">
                  <w:rPr>
                    <w:rFonts w:ascii="MS Gothic" w:eastAsia="MS Gothic" w:hAnsi="MS Gothic" w:hint="eastAsia"/>
                  </w:rPr>
                  <w:t>☒</w:t>
                </w:r>
              </w:sdtContent>
            </w:sdt>
            <w:r w:rsidR="00C22C88" w:rsidRPr="00E15538">
              <w:t xml:space="preserve">Firm Quote for both Analysis and Delivery </w:t>
            </w:r>
          </w:p>
        </w:tc>
      </w:tr>
      <w:tr w:rsidR="00B718F1" w:rsidRPr="005633E5" w:rsidTr="00C22C88">
        <w:tc>
          <w:tcPr>
            <w:tcW w:w="3227" w:type="dxa"/>
            <w:shd w:val="clear" w:color="auto" w:fill="B8CCE4" w:themeFill="accent1" w:themeFillTint="66"/>
          </w:tcPr>
          <w:p w:rsidR="00B718F1" w:rsidRPr="00E25331" w:rsidRDefault="005C3C06">
            <w:pPr>
              <w:rPr>
                <w:rFonts w:cs="Arial"/>
                <w:b/>
                <w:bCs/>
              </w:rPr>
            </w:pPr>
            <w:r w:rsidRPr="00E25331">
              <w:rPr>
                <w:rFonts w:cs="Arial"/>
                <w:b/>
                <w:bCs/>
              </w:rPr>
              <w:t>Has any</w:t>
            </w:r>
            <w:r w:rsidR="00B718F1" w:rsidRPr="00E25331">
              <w:rPr>
                <w:rFonts w:cs="Arial"/>
                <w:b/>
                <w:bCs/>
              </w:rPr>
              <w:t xml:space="preserve"> initial assessment been performed in support of this change?</w:t>
            </w:r>
          </w:p>
        </w:tc>
        <w:tc>
          <w:tcPr>
            <w:tcW w:w="6520" w:type="dxa"/>
          </w:tcPr>
          <w:p w:rsidR="00B718F1" w:rsidRPr="00E15538" w:rsidRDefault="006D6C91" w:rsidP="004363D0">
            <w:sdt>
              <w:sdtPr>
                <w:id w:val="1696040279"/>
                <w14:checkbox>
                  <w14:checked w14:val="0"/>
                  <w14:checkedState w14:val="2612" w14:font="MS Gothic"/>
                  <w14:uncheckedState w14:val="2610" w14:font="MS Gothic"/>
                </w14:checkbox>
              </w:sdtPr>
              <w:sdtEndPr/>
              <w:sdtContent>
                <w:r w:rsidR="00E15538">
                  <w:rPr>
                    <w:rFonts w:ascii="MS Gothic" w:eastAsia="MS Gothic" w:hAnsi="MS Gothic" w:hint="eastAsia"/>
                  </w:rPr>
                  <w:t>☐</w:t>
                </w:r>
              </w:sdtContent>
            </w:sdt>
            <w:r w:rsidR="00B718F1" w:rsidRPr="00E15538">
              <w:t>Yes</w:t>
            </w:r>
          </w:p>
          <w:p w:rsidR="00B718F1" w:rsidRPr="001D5AF0" w:rsidRDefault="006D6C91" w:rsidP="004363D0">
            <w:pPr>
              <w:rPr>
                <w:b/>
                <w:color w:val="FF0000"/>
              </w:rPr>
            </w:pPr>
            <w:sdt>
              <w:sdtPr>
                <w:id w:val="-1390867403"/>
                <w14:checkbox>
                  <w14:checked w14:val="1"/>
                  <w14:checkedState w14:val="2612" w14:font="MS Gothic"/>
                  <w14:uncheckedState w14:val="2610" w14:font="MS Gothic"/>
                </w14:checkbox>
              </w:sdtPr>
              <w:sdtEndPr/>
              <w:sdtContent>
                <w:r w:rsidR="00E15538">
                  <w:rPr>
                    <w:rFonts w:ascii="MS Gothic" w:eastAsia="MS Gothic" w:hAnsi="MS Gothic" w:hint="eastAsia"/>
                  </w:rPr>
                  <w:t>☒</w:t>
                </w:r>
              </w:sdtContent>
            </w:sdt>
            <w:r w:rsidR="00B718F1" w:rsidRPr="00E15538">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6D6C91"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6D6C91"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6D6C91"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6D6C91" w:rsidP="00B174A5">
            <w:pPr>
              <w:rPr>
                <w:rFonts w:cs="Arial"/>
              </w:rPr>
            </w:pPr>
            <w:sdt>
              <w:sdtPr>
                <w:id w:val="-1112436449"/>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6D6C91"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rsidR="000B0E56" w:rsidRDefault="000B0E56" w:rsidP="00B174A5">
            <w:r>
              <w:t>--------------------------------------------------------</w:t>
            </w:r>
            <w:r w:rsidR="009E710C">
              <w:t>---------------------</w:t>
            </w:r>
          </w:p>
          <w:p w:rsidR="000B0E56" w:rsidRPr="00E15538" w:rsidRDefault="006D6C91" w:rsidP="00B174A5">
            <w:pPr>
              <w:rPr>
                <w:rFonts w:cs="Arial"/>
              </w:rPr>
            </w:pPr>
            <w:sdt>
              <w:sdtPr>
                <w:id w:val="-1657831250"/>
                <w14:checkbox>
                  <w14:checked w14:val="1"/>
                  <w14:checkedState w14:val="2612" w14:font="MS Gothic"/>
                  <w14:uncheckedState w14:val="2610" w14:font="MS Gothic"/>
                </w14:checkbox>
              </w:sdtPr>
              <w:sdtEndPr/>
              <w:sdtContent>
                <w:r w:rsidR="00E15538">
                  <w:rPr>
                    <w:rFonts w:ascii="MS Gothic" w:eastAsia="MS Gothic" w:hAnsi="MS Gothic" w:hint="eastAsia"/>
                  </w:rPr>
                  <w:t>☒</w:t>
                </w:r>
              </w:sdtContent>
            </w:sdt>
            <w:r w:rsidR="000B0E56" w:rsidRPr="00E15538">
              <w:rPr>
                <w:rFonts w:cs="Arial"/>
              </w:rPr>
              <w:t>Shippers</w:t>
            </w:r>
          </w:p>
          <w:p w:rsidR="000B0E56" w:rsidRPr="00E15538" w:rsidRDefault="006D6C91" w:rsidP="00B174A5">
            <w:pPr>
              <w:rPr>
                <w:rFonts w:cs="Arial"/>
              </w:rPr>
            </w:pPr>
            <w:sdt>
              <w:sdtPr>
                <w:id w:val="-87461523"/>
                <w14:checkbox>
                  <w14:checked w14:val="0"/>
                  <w14:checkedState w14:val="2612" w14:font="MS Gothic"/>
                  <w14:uncheckedState w14:val="2610" w14:font="MS Gothic"/>
                </w14:checkbox>
              </w:sdtPr>
              <w:sdtEndPr/>
              <w:sdtContent>
                <w:r w:rsidR="000B0E56" w:rsidRPr="00E15538">
                  <w:rPr>
                    <w:rFonts w:ascii="MS Gothic" w:eastAsia="MS Gothic" w:hAnsi="MS Gothic"/>
                  </w:rPr>
                  <w:t>☐</w:t>
                </w:r>
              </w:sdtContent>
            </w:sdt>
            <w:r w:rsidR="000B0E56" w:rsidRPr="00E15538">
              <w:t>National Grid Transmission</w:t>
            </w:r>
          </w:p>
          <w:p w:rsidR="000B0E56" w:rsidRPr="00E15538" w:rsidRDefault="006D6C91"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E15538">
                  <w:rPr>
                    <w:rFonts w:ascii="MS Gothic" w:eastAsia="MS Gothic" w:hAnsi="MS Gothic"/>
                  </w:rPr>
                  <w:t>☐</w:t>
                </w:r>
              </w:sdtContent>
            </w:sdt>
            <w:r w:rsidR="00D01653" w:rsidRPr="00E15538">
              <w:rPr>
                <w:rFonts w:cs="Arial"/>
                <w:bCs/>
                <w:szCs w:val="20"/>
              </w:rPr>
              <w:t>Distribution Network Operators</w:t>
            </w:r>
          </w:p>
          <w:p w:rsidR="00D01653" w:rsidRDefault="006D6C91" w:rsidP="000B0E56">
            <w:sdt>
              <w:sdtPr>
                <w:id w:val="719947979"/>
                <w14:checkbox>
                  <w14:checked w14:val="0"/>
                  <w14:checkedState w14:val="2612" w14:font="MS Gothic"/>
                  <w14:uncheckedState w14:val="2610" w14:font="MS Gothic"/>
                </w14:checkbox>
              </w:sdtPr>
              <w:sdtEndPr/>
              <w:sdtContent>
                <w:r w:rsidR="00D01653" w:rsidRPr="00E15538">
                  <w:rPr>
                    <w:rFonts w:ascii="MS Gothic" w:eastAsia="MS Gothic" w:hAnsi="MS Gothic"/>
                  </w:rPr>
                  <w:t>☐</w:t>
                </w:r>
              </w:sdtContent>
            </w:sdt>
            <w:proofErr w:type="spellStart"/>
            <w:r w:rsidR="00D01653" w:rsidRPr="00E15538">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6D6C91"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6D6C91" w:rsidP="00B174A5">
            <w:pPr>
              <w:rPr>
                <w:rFonts w:cs="Arial"/>
              </w:rPr>
            </w:pPr>
            <w:sdt>
              <w:sdtPr>
                <w:id w:val="1923596732"/>
                <w14:checkbox>
                  <w14:checked w14:val="1"/>
                  <w14:checkedState w14:val="2612" w14:font="MS Gothic"/>
                  <w14:uncheckedState w14:val="2610" w14:font="MS Gothic"/>
                </w14:checkbox>
              </w:sdtPr>
              <w:sdtEndPr/>
              <w:sdtContent>
                <w:r w:rsidR="001D5AF0">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624099">
            <w:pPr>
              <w:pStyle w:val="ListParagraph"/>
              <w:numPr>
                <w:ilvl w:val="0"/>
                <w:numId w:val="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1D5AF0" w:rsidP="00B174A5">
            <w:pPr>
              <w:rPr>
                <w:rFonts w:ascii="MS Gothic" w:eastAsia="MS Gothic" w:hAnsi="MS Gothic"/>
              </w:rPr>
            </w:pPr>
            <w:r>
              <w:rPr>
                <w:rFonts w:ascii="MS Gothic" w:eastAsia="MS Gothic" w:hAnsi="MS Gothic"/>
              </w:rPr>
              <w:t>unknown</w:t>
            </w:r>
          </w:p>
        </w:tc>
      </w:tr>
      <w:tr w:rsidR="008E51D1" w:rsidTr="00C2627B">
        <w:tc>
          <w:tcPr>
            <w:tcW w:w="9747" w:type="dxa"/>
            <w:gridSpan w:val="2"/>
            <w:shd w:val="clear" w:color="auto" w:fill="B8CCE4" w:themeFill="accent1" w:themeFillTint="66"/>
          </w:tcPr>
          <w:p w:rsidR="008E51D1" w:rsidRPr="00C2627B" w:rsidRDefault="008E51D1" w:rsidP="00624099">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1D5AF0" w:rsidP="00B174A5">
            <w:pPr>
              <w:rPr>
                <w:rFonts w:ascii="MS Gothic" w:eastAsia="MS Gothic" w:hAnsi="MS Gothic"/>
              </w:rPr>
            </w:pPr>
            <w:r>
              <w:rPr>
                <w:rFonts w:ascii="MS Gothic" w:eastAsia="MS Gothic" w:hAnsi="MS Gothic"/>
              </w:rPr>
              <w:lastRenderedPageBreak/>
              <w:t>NA</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1D5AF0" w:rsidP="00B174A5">
            <w:pPr>
              <w:rPr>
                <w:rFonts w:cs="Arial"/>
                <w:szCs w:val="20"/>
              </w:rPr>
            </w:pPr>
            <w:r>
              <w:rPr>
                <w:rFonts w:cs="Arial"/>
                <w:szCs w:val="20"/>
              </w:rPr>
              <w:t>Shippers will fund this change</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E25331">
              <w:rPr>
                <w:rFonts w:cs="Arial"/>
                <w:szCs w:val="20"/>
              </w:rPr>
              <w:t>Please detail the proposed basis (that is, Charging Measure and Charging Period) for determining Specific Service Change Charges in respect of the Specific Service.</w:t>
            </w:r>
          </w:p>
        </w:tc>
      </w:tr>
      <w:tr w:rsidR="00C15A8F" w:rsidTr="00C2627B">
        <w:tc>
          <w:tcPr>
            <w:tcW w:w="9747" w:type="dxa"/>
            <w:gridSpan w:val="2"/>
            <w:shd w:val="clear" w:color="auto" w:fill="FFFFFF" w:themeFill="background1"/>
          </w:tcPr>
          <w:p w:rsidR="00C15A8F" w:rsidRPr="007F5E6F"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7F5E6F" w:rsidRDefault="00C15A8F" w:rsidP="00C15A8F">
            <w:pPr>
              <w:spacing w:before="60" w:after="60"/>
              <w:rPr>
                <w:rFonts w:cs="Arial"/>
              </w:rPr>
            </w:pPr>
            <w:r w:rsidRPr="007F5E6F">
              <w:rPr>
                <w:rFonts w:cs="Arial"/>
              </w:rPr>
              <w:t>Please mention if there are any expected impacts to UK Link Systems/File Formats. Any changes to it will need UK Link Committee approval</w:t>
            </w:r>
          </w:p>
          <w:p w:rsidR="00C15A8F" w:rsidRPr="007F5E6F" w:rsidRDefault="00C15A8F" w:rsidP="00C15A8F">
            <w:pPr>
              <w:spacing w:before="60" w:after="60"/>
              <w:rPr>
                <w:rFonts w:cs="Arial"/>
              </w:rPr>
            </w:pPr>
            <w:r w:rsidRPr="007F5E6F">
              <w:rPr>
                <w:rFonts w:cs="Arial"/>
              </w:rPr>
              <w:t>If it has already been through UK Link committee then please mention the date it was taken to the committee and detail the outcome</w:t>
            </w:r>
          </w:p>
        </w:tc>
      </w:tr>
      <w:tr w:rsidR="00C15A8F" w:rsidTr="00C2627B">
        <w:tc>
          <w:tcPr>
            <w:tcW w:w="9747" w:type="dxa"/>
            <w:gridSpan w:val="2"/>
            <w:shd w:val="clear" w:color="auto" w:fill="B8CCE4" w:themeFill="accent1" w:themeFillTint="66"/>
          </w:tcPr>
          <w:p w:rsidR="00C15A8F" w:rsidRPr="007F5E6F" w:rsidRDefault="00C15A8F" w:rsidP="00C2627B">
            <w:pPr>
              <w:spacing w:before="0" w:after="0"/>
              <w:rPr>
                <w:rFonts w:ascii="MS Gothic" w:eastAsia="MS Gothic" w:hAnsi="MS Gothic"/>
              </w:rPr>
            </w:pPr>
            <w:r w:rsidRPr="007F5E6F">
              <w:t>Impacts UKL Manual Appendix 5b</w:t>
            </w:r>
          </w:p>
        </w:tc>
      </w:tr>
      <w:tr w:rsidR="00C15A8F" w:rsidTr="00C2627B">
        <w:tc>
          <w:tcPr>
            <w:tcW w:w="9747" w:type="dxa"/>
            <w:gridSpan w:val="2"/>
            <w:shd w:val="clear" w:color="auto" w:fill="auto"/>
          </w:tcPr>
          <w:p w:rsidR="00C15A8F" w:rsidRPr="007F5E6F" w:rsidRDefault="00C15A8F" w:rsidP="00B174A5">
            <w:pPr>
              <w:rPr>
                <w:rFonts w:cs="Arial"/>
              </w:rPr>
            </w:pPr>
            <w:r w:rsidRPr="007F5E6F">
              <w:rPr>
                <w:rFonts w:cs="Arial"/>
              </w:rPr>
              <w:t>Mention the updates to be captured in the Appendix 5B of the UK Link Manual due to this Change</w:t>
            </w:r>
          </w:p>
        </w:tc>
      </w:tr>
      <w:tr w:rsidR="00C15A8F" w:rsidTr="00C2627B">
        <w:tc>
          <w:tcPr>
            <w:tcW w:w="9747" w:type="dxa"/>
            <w:gridSpan w:val="2"/>
            <w:shd w:val="clear" w:color="auto" w:fill="B8CCE4" w:themeFill="accent1" w:themeFillTint="66"/>
          </w:tcPr>
          <w:p w:rsidR="00C15A8F" w:rsidRPr="007F5E6F" w:rsidRDefault="00C15A8F" w:rsidP="00C2627B">
            <w:pPr>
              <w:spacing w:before="0" w:after="0"/>
              <w:rPr>
                <w:rFonts w:ascii="MS Gothic" w:eastAsia="MS Gothic" w:hAnsi="MS Gothic"/>
              </w:rPr>
            </w:pPr>
            <w:r w:rsidRPr="007F5E6F">
              <w:t>Impacts to Gemini System</w:t>
            </w:r>
          </w:p>
        </w:tc>
      </w:tr>
      <w:tr w:rsidR="00C15A8F" w:rsidTr="00C2627B">
        <w:trPr>
          <w:trHeight w:val="1046"/>
        </w:trPr>
        <w:tc>
          <w:tcPr>
            <w:tcW w:w="9747" w:type="dxa"/>
            <w:gridSpan w:val="2"/>
            <w:shd w:val="clear" w:color="auto" w:fill="auto"/>
          </w:tcPr>
          <w:p w:rsidR="00C15A8F" w:rsidRPr="007F5E6F" w:rsidRDefault="007F5E6F" w:rsidP="004363D0">
            <w:pPr>
              <w:spacing w:before="0" w:after="0"/>
              <w:rPr>
                <w:b/>
              </w:rPr>
            </w:pPr>
            <w:r w:rsidRPr="007F5E6F">
              <w:rPr>
                <w:b/>
              </w:rPr>
              <w:t>N/a</w:t>
            </w:r>
          </w:p>
        </w:tc>
      </w:tr>
      <w:tr w:rsidR="00C15A8F" w:rsidTr="00C2627B">
        <w:tc>
          <w:tcPr>
            <w:tcW w:w="9747" w:type="dxa"/>
            <w:gridSpan w:val="2"/>
            <w:shd w:val="clear" w:color="auto" w:fill="B8CCE4" w:themeFill="accent1" w:themeFillTint="66"/>
          </w:tcPr>
          <w:p w:rsidR="00C15A8F" w:rsidRPr="00E25331" w:rsidRDefault="00C15A8F" w:rsidP="00C2627B">
            <w:pPr>
              <w:rPr>
                <w:rFonts w:cs="Arial"/>
                <w:color w:val="FF0000"/>
              </w:rPr>
            </w:pPr>
            <w:r w:rsidRPr="00E25331">
              <w:rPr>
                <w:rFonts w:cs="Arial"/>
              </w:rPr>
              <w:t>Please give any other relevant information.</w:t>
            </w:r>
          </w:p>
        </w:tc>
      </w:tr>
      <w:tr w:rsidR="00C15A8F" w:rsidTr="00C2627B">
        <w:tc>
          <w:tcPr>
            <w:tcW w:w="9747" w:type="dxa"/>
            <w:gridSpan w:val="2"/>
            <w:shd w:val="clear" w:color="auto" w:fill="auto"/>
          </w:tcPr>
          <w:p w:rsidR="00C15A8F" w:rsidRPr="001D5AF0" w:rsidRDefault="007F5E6F" w:rsidP="00C2627B">
            <w:pPr>
              <w:rPr>
                <w:rFonts w:cs="Arial"/>
                <w:color w:val="FF0000"/>
              </w:rPr>
            </w:pPr>
            <w:r>
              <w:rPr>
                <w:rFonts w:cs="Arial"/>
                <w:color w:val="FF0000"/>
              </w:rPr>
              <w:t>N/A</w:t>
            </w: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1C4A3A">
            <w:pPr>
              <w:spacing w:before="0" w:after="0"/>
              <w:rPr>
                <w:rFonts w:cs="Arial"/>
              </w:rPr>
            </w:pP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6D6C91"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6D6C91"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624099">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D01653" w:rsidRPr="00C2627B" w:rsidRDefault="00D459F0" w:rsidP="00624099">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D459F0" w:rsidRPr="00C2627B" w:rsidRDefault="00D459F0" w:rsidP="00624099">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E25331">
            <w:pPr>
              <w:pStyle w:val="TOC2"/>
            </w:pPr>
            <w:r>
              <w:t>Yes</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E25331">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E25331">
            <w:pPr>
              <w:pStyle w:val="TOC2"/>
            </w:pPr>
            <w:r>
              <w:t>NA</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E25331">
            <w:pPr>
              <w:pStyle w:val="TOC2"/>
            </w:pPr>
            <w:r>
              <w:t>NA</w:t>
            </w: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E25331">
            <w:pPr>
              <w:pStyle w:val="TOC2"/>
            </w:pPr>
            <w:r>
              <w:t>NA</w:t>
            </w: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624099">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624099">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proofErr w:type="gramStart"/>
            <w:r w:rsidRPr="00C2627B">
              <w:rPr>
                <w:rFonts w:cs="Arial"/>
                <w:i/>
                <w:color w:val="7030A0"/>
              </w:rPr>
              <w:t>xx,xxx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6D6C91"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6D6C91"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6D6C91"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6D6C91"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6D6C91"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6D6C91"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6D6C91"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6D6C91"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6D6C91"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6D6C91"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624099">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6D6C91"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6D6C91"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624099">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624099">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624099">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DC720A" w:rsidP="00C2627B">
            <w:pPr>
              <w:pStyle w:val="TOC2"/>
            </w:pPr>
            <w:r>
              <w:t>N/A – No changes are required to the CDSP Service Description</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DC720A" w:rsidP="00C2627B">
            <w:pPr>
              <w:pStyle w:val="TOC2"/>
            </w:pPr>
            <w:r>
              <w:t>N/A – No modification is required to UK-Link code</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DC720A" w:rsidP="00C2627B">
            <w:pPr>
              <w:pStyle w:val="TOC2"/>
            </w:pPr>
            <w:r>
              <w:t>N/A – This change is not Mod driven</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DC720A" w:rsidP="00C2627B">
            <w:pPr>
              <w:pStyle w:val="TOC2"/>
            </w:pPr>
            <w:r>
              <w:t>No impact to operating procedures or CDSP resources</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DC720A" w:rsidP="00C2627B">
            <w:pPr>
              <w:pStyle w:val="TOC2"/>
            </w:pPr>
            <w:r>
              <w:t>Proposed circa September 2018</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DC720A" w:rsidP="00C2627B">
            <w:pPr>
              <w:pStyle w:val="TOC2"/>
            </w:pPr>
            <w:r>
              <w:t>£27,236.00</w:t>
            </w: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DC720A">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DC720A" w:rsidP="00C2627B">
            <w:pPr>
              <w:pStyle w:val="TOC2"/>
            </w:pPr>
            <w:r>
              <w:t>N/A – No impact to service charges as a result of this change</w:t>
            </w: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DC720A" w:rsidP="00C2627B">
            <w:pPr>
              <w:pStyle w:val="TOC2"/>
            </w:pPr>
            <w:r>
              <w:t>None currently identified</w:t>
            </w: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DC720A" w:rsidRDefault="00DC720A" w:rsidP="00DC720A">
            <w:pPr>
              <w:pStyle w:val="ListParagraph"/>
              <w:spacing w:before="240" w:after="240"/>
              <w:ind w:left="357"/>
              <w:rPr>
                <w:rFonts w:eastAsia="Calibri" w:cs="Arial"/>
              </w:rPr>
            </w:pPr>
            <w:r>
              <w:lastRenderedPageBreak/>
              <w:t xml:space="preserve">One solution option has been identified to deliver a </w:t>
            </w:r>
            <w:r>
              <w:rPr>
                <w:rFonts w:eastAsia="Calibri" w:cs="Arial"/>
              </w:rPr>
              <w:t xml:space="preserve">new read screen in DES portal where users will have the ability to search by MPRN and view its corresponding read history/details along with missing transfer reads and additional details such as read reason and timestamps.  </w:t>
            </w:r>
          </w:p>
          <w:p w:rsidR="00DC720A" w:rsidRDefault="00DC720A" w:rsidP="00DC720A">
            <w:pPr>
              <w:pStyle w:val="ListParagraph"/>
              <w:spacing w:before="240" w:after="240"/>
              <w:ind w:left="357"/>
              <w:rPr>
                <w:rFonts w:eastAsia="Calibri" w:cs="Arial"/>
              </w:rPr>
            </w:pPr>
          </w:p>
          <w:p w:rsidR="00DC720A" w:rsidRDefault="00DC720A" w:rsidP="00DC720A">
            <w:pPr>
              <w:pStyle w:val="ListParagraph"/>
              <w:spacing w:before="240" w:after="240"/>
              <w:ind w:left="357"/>
              <w:rPr>
                <w:rFonts w:eastAsia="Calibri" w:cs="Arial"/>
              </w:rPr>
            </w:pPr>
            <w:r>
              <w:rPr>
                <w:rFonts w:eastAsia="Calibri" w:cs="Arial"/>
              </w:rPr>
              <w:t>As it would be an additional/new screen, there won’t be any impact to existing setup or webservices.</w:t>
            </w:r>
          </w:p>
          <w:p w:rsidR="00DC720A" w:rsidRDefault="00DC720A" w:rsidP="00DC720A">
            <w:pPr>
              <w:pStyle w:val="ListParagraph"/>
              <w:spacing w:before="240" w:after="240"/>
              <w:ind w:left="357"/>
              <w:rPr>
                <w:rFonts w:eastAsia="Calibri" w:cs="Arial"/>
              </w:rPr>
            </w:pPr>
          </w:p>
          <w:p w:rsidR="00DC720A" w:rsidRDefault="00DC720A" w:rsidP="00DC720A">
            <w:pPr>
              <w:pStyle w:val="ListParagraph"/>
              <w:spacing w:before="240" w:after="240"/>
              <w:ind w:left="357"/>
              <w:rPr>
                <w:rFonts w:eastAsia="Calibri" w:cs="Arial"/>
              </w:rPr>
            </w:pPr>
            <w:r>
              <w:rPr>
                <w:rFonts w:eastAsia="Calibri" w:cs="Arial"/>
              </w:rPr>
              <w:t>Additionally a read date can be added as a search parameter on the proposed new screen should a user be interested in a specific days read. Otherwise it will display 40 reads going back last three years (depend on availability)</w:t>
            </w:r>
          </w:p>
          <w:p w:rsidR="00DC720A" w:rsidRDefault="00DC720A" w:rsidP="00DC720A">
            <w:pPr>
              <w:pStyle w:val="ListParagraph"/>
              <w:spacing w:before="240" w:after="240"/>
              <w:ind w:left="357"/>
              <w:rPr>
                <w:rFonts w:eastAsia="Calibri" w:cs="Arial"/>
              </w:rPr>
            </w:pPr>
          </w:p>
          <w:p w:rsidR="00DC720A" w:rsidRDefault="00DC720A" w:rsidP="00DC720A">
            <w:pPr>
              <w:pStyle w:val="ListParagraph"/>
              <w:spacing w:before="240" w:after="240"/>
              <w:ind w:left="357"/>
              <w:rPr>
                <w:rFonts w:eastAsia="Calibri" w:cs="Arial"/>
              </w:rPr>
            </w:pPr>
            <w:r>
              <w:rPr>
                <w:rFonts w:eastAsia="Calibri" w:cs="Arial"/>
              </w:rPr>
              <w:t>The proposed new screen would be enabled for external shipper login only.</w:t>
            </w:r>
          </w:p>
          <w:p w:rsidR="00DC720A" w:rsidRDefault="00DC720A" w:rsidP="00DC720A">
            <w:pPr>
              <w:pStyle w:val="ListParagraph"/>
              <w:spacing w:before="240" w:after="240"/>
              <w:ind w:left="357"/>
              <w:rPr>
                <w:rFonts w:eastAsia="Calibri" w:cs="Arial"/>
              </w:rPr>
            </w:pPr>
          </w:p>
          <w:p w:rsidR="00DC720A" w:rsidRDefault="00DC720A" w:rsidP="00DC720A">
            <w:pPr>
              <w:pStyle w:val="ListParagraph"/>
              <w:spacing w:before="240" w:after="240"/>
              <w:ind w:left="357"/>
              <w:rPr>
                <w:rFonts w:eastAsia="Calibri" w:cs="Arial"/>
              </w:rPr>
            </w:pPr>
            <w:r>
              <w:rPr>
                <w:rFonts w:eastAsia="Calibri" w:cs="Arial"/>
              </w:rPr>
              <w:t>This additional screen will contain the fields captured below;</w:t>
            </w:r>
          </w:p>
          <w:p w:rsidR="00DC720A" w:rsidRDefault="00DC720A" w:rsidP="00DC720A">
            <w:pPr>
              <w:pStyle w:val="ListParagraph"/>
              <w:spacing w:before="240" w:after="240"/>
              <w:ind w:left="357"/>
              <w:rPr>
                <w:rFonts w:eastAsia="Calibri" w:cs="Arial"/>
              </w:rPr>
            </w:pPr>
            <w:r>
              <w:rPr>
                <w:rFonts w:eastAsia="Calibri" w:cs="Arial"/>
              </w:rPr>
              <w:t xml:space="preserve"> </w:t>
            </w:r>
          </w:p>
          <w:p w:rsidR="00DC720A" w:rsidRPr="00DC720A" w:rsidRDefault="00DC720A" w:rsidP="00DC720A">
            <w:pPr>
              <w:pStyle w:val="ListParagraph"/>
              <w:spacing w:before="240" w:after="240"/>
              <w:ind w:left="357"/>
              <w:rPr>
                <w:rFonts w:eastAsia="Calibri" w:cs="Arial"/>
                <w:b/>
                <w:u w:val="single"/>
              </w:rPr>
            </w:pPr>
            <w:r w:rsidRPr="00DC720A">
              <w:rPr>
                <w:rFonts w:eastAsia="Calibri" w:cs="Arial"/>
              </w:rPr>
              <w:t xml:space="preserve">  </w:t>
            </w:r>
            <w:r w:rsidRPr="00DC720A">
              <w:rPr>
                <w:rFonts w:eastAsia="Calibri" w:cs="Arial"/>
                <w:b/>
                <w:u w:val="single"/>
              </w:rPr>
              <w:t>Input</w:t>
            </w:r>
          </w:p>
          <w:tbl>
            <w:tblPr>
              <w:tblW w:w="280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tblGrid>
            <w:tr w:rsidR="00DC720A" w:rsidRPr="00240EB8" w:rsidTr="00DC720A">
              <w:trPr>
                <w:trHeight w:val="300"/>
              </w:trPr>
              <w:tc>
                <w:tcPr>
                  <w:tcW w:w="2800" w:type="dxa"/>
                  <w:shd w:val="clear" w:color="000000" w:fill="C4BD97"/>
                  <w:noWrap/>
                  <w:vAlign w:val="center"/>
                </w:tcPr>
                <w:p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Fields</w:t>
                  </w:r>
                </w:p>
              </w:tc>
            </w:tr>
            <w:tr w:rsidR="00DC720A" w:rsidRPr="00240EB8" w:rsidTr="00DC720A">
              <w:trPr>
                <w:trHeight w:val="300"/>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MPRN</w:t>
                  </w:r>
                </w:p>
              </w:tc>
            </w:tr>
            <w:tr w:rsidR="00DC720A" w:rsidRPr="00240EB8" w:rsidTr="00DC720A">
              <w:trPr>
                <w:trHeight w:val="300"/>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Read Date</w:t>
                  </w:r>
                </w:p>
              </w:tc>
            </w:tr>
          </w:tbl>
          <w:p w:rsidR="00DC720A" w:rsidRPr="00DC720A" w:rsidRDefault="00DC720A" w:rsidP="00DC720A">
            <w:pPr>
              <w:pStyle w:val="ListParagraph"/>
              <w:spacing w:before="240" w:after="240"/>
              <w:ind w:left="357"/>
              <w:rPr>
                <w:rFonts w:eastAsia="Calibri" w:cs="Arial"/>
                <w:b/>
                <w:u w:val="single"/>
              </w:rPr>
            </w:pPr>
            <w:r>
              <w:rPr>
                <w:rFonts w:eastAsia="Calibri" w:cs="Arial"/>
              </w:rPr>
              <w:t xml:space="preserve"> </w:t>
            </w:r>
            <w:r w:rsidRPr="00DC720A">
              <w:rPr>
                <w:rFonts w:eastAsia="Calibri" w:cs="Arial"/>
                <w:b/>
                <w:u w:val="single"/>
              </w:rPr>
              <w:t xml:space="preserve">Output Result Fields </w:t>
            </w:r>
          </w:p>
          <w:tbl>
            <w:tblPr>
              <w:tblW w:w="280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tblGrid>
            <w:tr w:rsidR="00DC720A" w:rsidRPr="00240EB8" w:rsidTr="00DC720A">
              <w:trPr>
                <w:trHeight w:val="300"/>
              </w:trPr>
              <w:tc>
                <w:tcPr>
                  <w:tcW w:w="2800" w:type="dxa"/>
                  <w:shd w:val="clear" w:color="000000" w:fill="C4BD97"/>
                  <w:noWrap/>
                  <w:vAlign w:val="center"/>
                </w:tcPr>
                <w:p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Fields</w:t>
                  </w:r>
                </w:p>
              </w:tc>
            </w:tr>
            <w:tr w:rsidR="00DC720A" w:rsidRPr="00240EB8" w:rsidTr="00DC720A">
              <w:trPr>
                <w:trHeight w:val="300"/>
              </w:trPr>
              <w:tc>
                <w:tcPr>
                  <w:tcW w:w="2800" w:type="dxa"/>
                  <w:shd w:val="clear" w:color="auto" w:fill="auto"/>
                  <w:noWrap/>
                  <w:vAlign w:val="center"/>
                </w:tcPr>
                <w:p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MPRN</w:t>
                  </w:r>
                </w:p>
              </w:tc>
            </w:tr>
            <w:tr w:rsidR="00DC720A" w:rsidRPr="00240EB8" w:rsidTr="00DC720A">
              <w:trPr>
                <w:trHeight w:val="300"/>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Read Date</w:t>
                  </w:r>
                </w:p>
              </w:tc>
            </w:tr>
            <w:tr w:rsidR="00DC720A" w:rsidRPr="00240EB8" w:rsidTr="00DC720A">
              <w:trPr>
                <w:trHeight w:val="300"/>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Read Type</w:t>
                  </w:r>
                </w:p>
              </w:tc>
            </w:tr>
            <w:tr w:rsidR="00DC720A" w:rsidRPr="00240EB8" w:rsidTr="00DC720A">
              <w:trPr>
                <w:trHeight w:val="300"/>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Read</w:t>
                  </w:r>
                </w:p>
              </w:tc>
            </w:tr>
            <w:tr w:rsidR="00DC720A" w:rsidRPr="00240EB8" w:rsidTr="00DC720A">
              <w:trPr>
                <w:trHeight w:val="347"/>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Meter Round the Clock</w:t>
                  </w:r>
                </w:p>
              </w:tc>
            </w:tr>
            <w:tr w:rsidR="00DC720A" w:rsidRPr="00240EB8" w:rsidTr="00DC720A">
              <w:trPr>
                <w:trHeight w:val="300"/>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Convertor Read</w:t>
                  </w:r>
                </w:p>
              </w:tc>
            </w:tr>
            <w:tr w:rsidR="00DC720A" w:rsidRPr="00240EB8" w:rsidTr="00DC720A">
              <w:trPr>
                <w:trHeight w:val="315"/>
              </w:trPr>
              <w:tc>
                <w:tcPr>
                  <w:tcW w:w="2800" w:type="dxa"/>
                  <w:shd w:val="clear" w:color="auto" w:fill="auto"/>
                  <w:noWrap/>
                  <w:vAlign w:val="center"/>
                  <w:hideMark/>
                </w:tcPr>
                <w:p w:rsidR="00DC720A" w:rsidRPr="00240EB8" w:rsidRDefault="00DC720A" w:rsidP="00DC720A">
                  <w:pPr>
                    <w:rPr>
                      <w:rFonts w:ascii="Calibri" w:hAnsi="Calibri" w:cs="Calibri"/>
                      <w:color w:val="000000"/>
                      <w:sz w:val="16"/>
                      <w:szCs w:val="16"/>
                      <w:lang w:eastAsia="en-GB"/>
                    </w:rPr>
                  </w:pPr>
                  <w:r w:rsidRPr="00240EB8">
                    <w:rPr>
                      <w:rFonts w:ascii="Calibri" w:hAnsi="Calibri" w:cs="Calibri"/>
                      <w:color w:val="000000"/>
                      <w:sz w:val="16"/>
                      <w:szCs w:val="16"/>
                      <w:lang w:eastAsia="en-GB"/>
                    </w:rPr>
                    <w:t>Convertor Round the Clock</w:t>
                  </w:r>
                </w:p>
              </w:tc>
            </w:tr>
            <w:tr w:rsidR="00DC720A" w:rsidRPr="00240EB8" w:rsidTr="00DC720A">
              <w:trPr>
                <w:trHeight w:val="315"/>
              </w:trPr>
              <w:tc>
                <w:tcPr>
                  <w:tcW w:w="2800" w:type="dxa"/>
                  <w:shd w:val="clear" w:color="auto" w:fill="auto"/>
                  <w:noWrap/>
                  <w:vAlign w:val="center"/>
                </w:tcPr>
                <w:p w:rsidR="00DC720A" w:rsidRPr="00240EB8"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Read Reason</w:t>
                  </w:r>
                </w:p>
              </w:tc>
            </w:tr>
            <w:tr w:rsidR="00DC720A" w:rsidRPr="00240EB8" w:rsidTr="00DC720A">
              <w:trPr>
                <w:trHeight w:val="315"/>
              </w:trPr>
              <w:tc>
                <w:tcPr>
                  <w:tcW w:w="2800" w:type="dxa"/>
                  <w:shd w:val="clear" w:color="auto" w:fill="auto"/>
                  <w:noWrap/>
                  <w:vAlign w:val="center"/>
                </w:tcPr>
                <w:p w:rsidR="00DC720A"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Creation Date</w:t>
                  </w:r>
                </w:p>
              </w:tc>
            </w:tr>
            <w:tr w:rsidR="00DC720A" w:rsidRPr="00240EB8" w:rsidTr="00DC720A">
              <w:trPr>
                <w:trHeight w:val="315"/>
              </w:trPr>
              <w:tc>
                <w:tcPr>
                  <w:tcW w:w="2800" w:type="dxa"/>
                  <w:shd w:val="clear" w:color="auto" w:fill="auto"/>
                  <w:noWrap/>
                  <w:vAlign w:val="center"/>
                </w:tcPr>
                <w:p w:rsidR="00DC720A" w:rsidRDefault="00DC720A" w:rsidP="00DC720A">
                  <w:pPr>
                    <w:rPr>
                      <w:rFonts w:ascii="Calibri" w:hAnsi="Calibri" w:cs="Calibri"/>
                      <w:color w:val="000000"/>
                      <w:sz w:val="16"/>
                      <w:szCs w:val="16"/>
                      <w:lang w:eastAsia="en-GB"/>
                    </w:rPr>
                  </w:pPr>
                  <w:r>
                    <w:rPr>
                      <w:rFonts w:ascii="Calibri" w:hAnsi="Calibri" w:cs="Calibri"/>
                      <w:color w:val="000000"/>
                      <w:sz w:val="16"/>
                      <w:szCs w:val="16"/>
                      <w:lang w:eastAsia="en-GB"/>
                    </w:rPr>
                    <w:t>Creation Time</w:t>
                  </w:r>
                </w:p>
              </w:tc>
            </w:tr>
          </w:tbl>
          <w:p w:rsidR="009D109D" w:rsidRDefault="009D109D" w:rsidP="00C2627B">
            <w:pPr>
              <w:pStyle w:val="TOC2"/>
            </w:pPr>
          </w:p>
          <w:p w:rsidR="00342D69" w:rsidRDefault="00342D69" w:rsidP="00342D69"/>
          <w:p w:rsidR="00342D69" w:rsidRDefault="00342D69" w:rsidP="00342D69"/>
          <w:p w:rsidR="00342D69" w:rsidRDefault="00342D69" w:rsidP="00342D69"/>
          <w:p w:rsidR="00342D69" w:rsidRDefault="00342D69" w:rsidP="00342D69"/>
          <w:p w:rsidR="00342D69" w:rsidRDefault="00342D69" w:rsidP="00342D69"/>
          <w:p w:rsidR="00342D69" w:rsidRDefault="00342D69" w:rsidP="00342D69"/>
          <w:p w:rsidR="00342D69" w:rsidRDefault="00342D69" w:rsidP="00342D69"/>
          <w:p w:rsidR="00342D69" w:rsidRPr="00342D69" w:rsidRDefault="00342D69" w:rsidP="00342D69"/>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lastRenderedPageBreak/>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proofErr w:type="spellStart"/>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6D6C91"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Default="006D6C91" w:rsidP="00C2627B">
            <w:pPr>
              <w:pStyle w:val="TOC2"/>
            </w:pPr>
            <w:sdt>
              <w:sdtPr>
                <w:id w:val="1223494572"/>
                <w14:checkbox>
                  <w14:checked w14:val="1"/>
                  <w14:checkedState w14:val="2612" w14:font="MS Gothic"/>
                  <w14:uncheckedState w14:val="2610" w14:font="MS Gothic"/>
                </w14:checkbox>
              </w:sdtPr>
              <w:sdtEndPr/>
              <w:sdtContent>
                <w:r w:rsidR="00342D69">
                  <w:rPr>
                    <w:rFonts w:ascii="MS Gothic" w:eastAsia="MS Gothic" w:hAnsi="MS Gothic" w:hint="eastAsia"/>
                  </w:rPr>
                  <w:t>☒</w:t>
                </w:r>
              </w:sdtContent>
            </w:sdt>
            <w:r w:rsidR="005B6F98" w:rsidRPr="0092424D">
              <w:t>No</w:t>
            </w:r>
          </w:p>
          <w:p w:rsidR="00342D69" w:rsidRDefault="00342D69" w:rsidP="00342D69"/>
          <w:p w:rsidR="00342D69" w:rsidRPr="00342D69" w:rsidRDefault="00342D69" w:rsidP="00342D69">
            <w:r>
              <w:t>No adverse impacts are expected to customers as a result of this change.</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342D69" w:rsidP="00C2627B">
            <w:pPr>
              <w:pStyle w:val="TOC2"/>
            </w:pPr>
            <w:r>
              <w:t>Approval of th</w:t>
            </w:r>
            <w:r w:rsidR="00D07B03">
              <w:t>is BER by no later than the May</w:t>
            </w:r>
            <w:r>
              <w:t xml:space="preserve"> Change Management Committee is required to enable potential delivery circa September 2018</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342D69" w:rsidP="00C2627B">
            <w:pPr>
              <w:pStyle w:val="TOC2"/>
            </w:pPr>
            <w:r>
              <w:t>None currently identified</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Default="00342D69" w:rsidP="00624099">
            <w:pPr>
              <w:pStyle w:val="TOC2"/>
              <w:numPr>
                <w:ilvl w:val="0"/>
                <w:numId w:val="10"/>
              </w:numPr>
            </w:pPr>
            <w:r>
              <w:t>The proposed new screen introduces new fields (Read Reason, Creation Date &amp; Creation Time) which will provide the ability for Shippers to identify Replacement Reads and sort these reads in a logical order</w:t>
            </w:r>
          </w:p>
          <w:p w:rsidR="00342D69" w:rsidRDefault="00342D69" w:rsidP="00624099">
            <w:pPr>
              <w:pStyle w:val="ListParagraph"/>
              <w:numPr>
                <w:ilvl w:val="0"/>
                <w:numId w:val="10"/>
              </w:numPr>
            </w:pPr>
            <w:r>
              <w:t>Introduces the ability for both outgoing &amp; incoming Shippers to identify and view Shipper Transfer Reads in the range of D-5 to D+5</w:t>
            </w:r>
          </w:p>
          <w:p w:rsidR="00342D69" w:rsidRDefault="00342D69" w:rsidP="00624099">
            <w:pPr>
              <w:pStyle w:val="ListParagraph"/>
              <w:numPr>
                <w:ilvl w:val="0"/>
                <w:numId w:val="10"/>
              </w:numPr>
            </w:pPr>
            <w:r>
              <w:t>The proposed new screen will allow users to select the required read date (new functionality)</w:t>
            </w:r>
          </w:p>
          <w:p w:rsidR="00342D69" w:rsidRPr="00342D69" w:rsidRDefault="00342D69" w:rsidP="00624099">
            <w:pPr>
              <w:pStyle w:val="ListParagraph"/>
              <w:numPr>
                <w:ilvl w:val="0"/>
                <w:numId w:val="10"/>
              </w:numPr>
            </w:pPr>
            <w:r>
              <w:t xml:space="preserve">There will be no impacts to the </w:t>
            </w:r>
            <w:r w:rsidR="00624099">
              <w:t>existing</w:t>
            </w:r>
            <w:r>
              <w:t xml:space="preserve"> DES service as a result of introducing the proposed new screen</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342D69">
            <w:pPr>
              <w:pStyle w:val="TOC2"/>
            </w:pPr>
            <w:r>
              <w:t>None currently identified</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24099" w:rsidRDefault="00342D69">
            <w:pPr>
              <w:pStyle w:val="TOC2"/>
            </w:pPr>
            <w:r>
              <w:t xml:space="preserve">There is a risk that by not introducing the proposed new screen this may lead to DES performance issues </w:t>
            </w:r>
            <w:r w:rsidR="00624099">
              <w:t>due to additional validation of transfer reads being introduced to the current DES screen, which currently has an SLA of 3 to 10 second response time to display  the existing 147 fields. It is expected that the addition of extra logic would slow down current processing times.</w:t>
            </w:r>
          </w:p>
          <w:p w:rsidR="00624099" w:rsidRPr="00624099" w:rsidRDefault="00624099" w:rsidP="00624099"/>
          <w:p w:rsidR="00624099" w:rsidRDefault="00624099" w:rsidP="00624099"/>
          <w:p w:rsidR="006546C9" w:rsidRDefault="00624099" w:rsidP="00624099">
            <w:pPr>
              <w:tabs>
                <w:tab w:val="left" w:pos="4002"/>
              </w:tabs>
            </w:pPr>
            <w:r>
              <w:tab/>
            </w:r>
          </w:p>
          <w:p w:rsidR="00624099" w:rsidRPr="00624099" w:rsidRDefault="00624099" w:rsidP="00624099">
            <w:pPr>
              <w:tabs>
                <w:tab w:val="left" w:pos="4002"/>
              </w:tabs>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Default="00624099" w:rsidP="00624099">
            <w:pPr>
              <w:pStyle w:val="TOC2"/>
              <w:numPr>
                <w:ilvl w:val="0"/>
                <w:numId w:val="11"/>
              </w:numPr>
            </w:pPr>
            <w:r>
              <w:t>The propsed new screen will be for use by Xoserve and Shipper users only</w:t>
            </w:r>
          </w:p>
          <w:p w:rsidR="00624099" w:rsidRPr="00624099" w:rsidRDefault="00624099" w:rsidP="00624099">
            <w:pPr>
              <w:pStyle w:val="ListParagraph"/>
              <w:numPr>
                <w:ilvl w:val="0"/>
                <w:numId w:val="11"/>
              </w:numPr>
            </w:pPr>
            <w:r>
              <w:t>Existing rules will be followed in terms of displaying the first 40 reads going back for a duration of 3 years</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24099">
            <w:pPr>
              <w:pStyle w:val="TOC2"/>
            </w:pPr>
            <w:r>
              <w:t>No impact/changes to Information Security as a result of this change</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24099">
            <w:pPr>
              <w:pStyle w:val="TOC2"/>
            </w:pPr>
            <w:r>
              <w:t>Any additional requirements not defined within this captured change</w:t>
            </w: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6D6C91"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6D6C91"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3"/>
      <w:footerReference w:type="default" r:id="rId14"/>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91" w:rsidRDefault="006D6C91">
      <w:r>
        <w:separator/>
      </w:r>
    </w:p>
  </w:endnote>
  <w:endnote w:type="continuationSeparator" w:id="0">
    <w:p w:rsidR="006D6C91" w:rsidRDefault="006D6C91">
      <w:r>
        <w:continuationSeparator/>
      </w:r>
    </w:p>
  </w:endnote>
  <w:endnote w:type="continuationNotice" w:id="1">
    <w:p w:rsidR="006D6C91" w:rsidRDefault="006D6C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0A" w:rsidRDefault="00DC720A"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7F5E6F">
      <w:rPr>
        <w:rFonts w:ascii="Franklin Gothic Book" w:hAnsi="Franklin Gothic Book" w:cs="Tahoma"/>
        <w:noProof/>
        <w:sz w:val="16"/>
        <w:lang w:val="en-US"/>
      </w:rPr>
      <w:t>5</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7F5E6F">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91" w:rsidRDefault="006D6C91">
      <w:r>
        <w:separator/>
      </w:r>
    </w:p>
  </w:footnote>
  <w:footnote w:type="continuationSeparator" w:id="0">
    <w:p w:rsidR="006D6C91" w:rsidRDefault="006D6C91">
      <w:r>
        <w:continuationSeparator/>
      </w:r>
    </w:p>
  </w:footnote>
  <w:footnote w:type="continuationNotice" w:id="1">
    <w:p w:rsidR="006D6C91" w:rsidRDefault="006D6C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0A" w:rsidRPr="00C2627B" w:rsidRDefault="00DC720A">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82360F0"/>
    <w:multiLevelType w:val="hybridMultilevel"/>
    <w:tmpl w:val="4FF85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C7827D2"/>
    <w:multiLevelType w:val="hybridMultilevel"/>
    <w:tmpl w:val="427C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A0973"/>
    <w:multiLevelType w:val="hybridMultilevel"/>
    <w:tmpl w:val="1448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4"/>
  </w:num>
  <w:num w:numId="5">
    <w:abstractNumId w:val="3"/>
  </w:num>
  <w:num w:numId="6">
    <w:abstractNumId w:val="2"/>
  </w:num>
  <w:num w:numId="7">
    <w:abstractNumId w:val="6"/>
  </w:num>
  <w:num w:numId="8">
    <w:abstractNumId w:val="8"/>
  </w:num>
  <w:num w:numId="9">
    <w:abstractNumId w:val="1"/>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21A50"/>
    <w:rsid w:val="00126D26"/>
    <w:rsid w:val="00143CAC"/>
    <w:rsid w:val="00171578"/>
    <w:rsid w:val="001772D4"/>
    <w:rsid w:val="00181592"/>
    <w:rsid w:val="001A3D51"/>
    <w:rsid w:val="001C1450"/>
    <w:rsid w:val="001C3DB8"/>
    <w:rsid w:val="001C4A3A"/>
    <w:rsid w:val="001C4E99"/>
    <w:rsid w:val="001D5AF0"/>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42D69"/>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0DB4"/>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0D5C"/>
    <w:rsid w:val="005864A3"/>
    <w:rsid w:val="005927CE"/>
    <w:rsid w:val="00595ECA"/>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24099"/>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D6C91"/>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1874"/>
    <w:rsid w:val="007C26CF"/>
    <w:rsid w:val="007D7414"/>
    <w:rsid w:val="007D7746"/>
    <w:rsid w:val="007E670E"/>
    <w:rsid w:val="007F5E6F"/>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07B03"/>
    <w:rsid w:val="00D144CB"/>
    <w:rsid w:val="00D20BF4"/>
    <w:rsid w:val="00D215C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C720A"/>
    <w:rsid w:val="00DD00DF"/>
    <w:rsid w:val="00DD7601"/>
    <w:rsid w:val="00DE0824"/>
    <w:rsid w:val="00DE2B4F"/>
    <w:rsid w:val="00DE6422"/>
    <w:rsid w:val="00E03D58"/>
    <w:rsid w:val="00E15342"/>
    <w:rsid w:val="00E15538"/>
    <w:rsid w:val="00E25331"/>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AE1939-C3B4-214A-B639-2C5902B3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DC720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xoserve.com/wp-content/uploads/BUDGET-AND-CHARGING-METHODOLOG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64E93932C7854747B1F45BACE83751BA"/>
        <w:category>
          <w:name w:val="General"/>
          <w:gallery w:val="placeholder"/>
        </w:category>
        <w:types>
          <w:type w:val="bbPlcHdr"/>
        </w:types>
        <w:behaviors>
          <w:behavior w:val="content"/>
        </w:behaviors>
        <w:guid w:val="{C31E297A-1EA4-408F-8D7C-A81A774B0A72}"/>
      </w:docPartPr>
      <w:docPartBody>
        <w:p w:rsidR="009B761F" w:rsidRDefault="009B761F" w:rsidP="009B761F">
          <w:pPr>
            <w:pStyle w:val="64E93932C7854747B1F45BACE83751BA"/>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192166"/>
    <w:rsid w:val="00321D48"/>
    <w:rsid w:val="00475E12"/>
    <w:rsid w:val="004C5568"/>
    <w:rsid w:val="00516387"/>
    <w:rsid w:val="005E1276"/>
    <w:rsid w:val="00656F81"/>
    <w:rsid w:val="00812FD2"/>
    <w:rsid w:val="00832960"/>
    <w:rsid w:val="008A6EE4"/>
    <w:rsid w:val="008B6695"/>
    <w:rsid w:val="00945E6A"/>
    <w:rsid w:val="009B761F"/>
    <w:rsid w:val="00A16CB0"/>
    <w:rsid w:val="00BE7807"/>
    <w:rsid w:val="00C1788D"/>
    <w:rsid w:val="00C7498A"/>
    <w:rsid w:val="00E54CC4"/>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61F"/>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64E93932C7854747B1F45BACE83751BA">
    <w:name w:val="64E93932C7854747B1F45BACE83751BA"/>
    <w:rsid w:val="009B7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RX7SVKA5HK66-108-13714</_dlc_DocId>
    <_dlc_DocIdUrl xmlns="c0f12137-e3ce-40fc-803f-ae76a605d3ee">
      <Url>https://teams.nationalgrid.com/sites/XPO/Assurance/_layouts/DocIdRedir.aspx?ID=RX7SVKA5HK66-108-13714</Url>
      <Description>RX7SVKA5HK66-108-13714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 ds:uri="c0f12137-e3ce-40fc-803f-ae76a605d3ee"/>
  </ds:schemaRefs>
</ds:datastoreItem>
</file>

<file path=customXml/itemProps2.xml><?xml version="1.0" encoding="utf-8"?>
<ds:datastoreItem xmlns:ds="http://schemas.openxmlformats.org/officeDocument/2006/customXml" ds:itemID="{2A15D90D-D62B-4435-985F-3E7736353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4.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5.xml><?xml version="1.0" encoding="utf-8"?>
<ds:datastoreItem xmlns:ds="http://schemas.openxmlformats.org/officeDocument/2006/customXml" ds:itemID="{BDFD4193-3A5B-F048-988A-C434D7E2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25</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2017-04-19T08:02:00Z</cp:lastPrinted>
  <dcterms:created xsi:type="dcterms:W3CDTF">2018-05-09T14:21:00Z</dcterms:created>
  <dcterms:modified xsi:type="dcterms:W3CDTF">2018-05-09T14:21:00Z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884057659</vt:i4>
  </property>
  <property fmtid="{D5CDD505-2E9C-101B-9397-08002B2CF9AE}" pid="3" name="_NewReviewCycle">
    <vt:lpwstr/>
  </property>
  <property fmtid="{D5CDD505-2E9C-101B-9397-08002B2CF9AE}" pid="4" name="_EmailSubject">
    <vt:lpwstr>BER for XRN4576 'Class 4 Transfer Reads not visible to Shippers in DES'</vt:lpwstr>
  </property>
  <property fmtid="{D5CDD505-2E9C-101B-9397-08002B2CF9AE}" pid="5" name="_AuthorEmail">
    <vt:lpwstr>matt.rider@xoserve.com</vt:lpwstr>
  </property>
  <property fmtid="{D5CDD505-2E9C-101B-9397-08002B2CF9AE}" pid="6" name="_AuthorEmailDisplayName">
    <vt:lpwstr>Rider, Matthew</vt:lpwstr>
  </property>
  <property fmtid="{D5CDD505-2E9C-101B-9397-08002B2CF9AE}" pid="7" name="_PreviousAdHocReviewCycleID">
    <vt:i4>1166543832</vt:i4>
  </property>
  <property fmtid="{D5CDD505-2E9C-101B-9397-08002B2CF9AE}" pid="8" name="_dlc_DocIdItemGuid">
    <vt:lpwstr>ea19e1a4-30ad-4787-b03b-9070d6807e01</vt:lpwstr>
  </property>
  <property fmtid="{D5CDD505-2E9C-101B-9397-08002B2CF9AE}" pid="9" name="ContentTypeId">
    <vt:lpwstr>0x010100314125F5511BCA4EA7B32F6CABC46939</vt:lpwstr>
  </property>
  <property fmtid="{D5CDD505-2E9C-101B-9397-08002B2CF9AE}" pid="10" name="_ReviewingToolsShownOnce">
    <vt:lpwstr/>
  </property>
</Properties>
</file>