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8722" w14:textId="16A23285" w:rsidR="001312D7" w:rsidRDefault="001312D7" w:rsidP="009E658A">
      <w:pPr>
        <w:rPr>
          <w:sz w:val="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5C1827" wp14:editId="6778C99E">
            <wp:simplePos x="0" y="0"/>
            <wp:positionH relativeFrom="column">
              <wp:posOffset>5153025</wp:posOffset>
            </wp:positionH>
            <wp:positionV relativeFrom="paragraph">
              <wp:posOffset>-231140</wp:posOffset>
            </wp:positionV>
            <wp:extent cx="17526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130" y="20400"/>
                <wp:lineTo x="21365" y="19200"/>
                <wp:lineTo x="21365" y="360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1AA24" w14:textId="37A3813F" w:rsidR="004052A6" w:rsidRPr="00481640" w:rsidRDefault="004052A6" w:rsidP="009E658A">
      <w:pPr>
        <w:rPr>
          <w:sz w:val="4"/>
        </w:rPr>
      </w:pPr>
    </w:p>
    <w:p w14:paraId="57CD72F0" w14:textId="77777777" w:rsidR="001D4D2B" w:rsidRPr="001D4D2B" w:rsidRDefault="001D4D2B" w:rsidP="009E658A">
      <w:pPr>
        <w:rPr>
          <w:b/>
          <w:color w:val="1F497D" w:themeColor="text2"/>
          <w:u w:val="single"/>
        </w:rPr>
      </w:pPr>
      <w:r w:rsidRPr="001D4D2B">
        <w:rPr>
          <w:b/>
          <w:color w:val="1F497D" w:themeColor="text2"/>
          <w:u w:val="single"/>
        </w:rPr>
        <w:t>Data Permissions Notification</w:t>
      </w:r>
    </w:p>
    <w:p w14:paraId="7F46AFA5" w14:textId="7FBF5399" w:rsidR="008A3A58" w:rsidRPr="008A3A58" w:rsidRDefault="009E658A" w:rsidP="009E658A">
      <w:pPr>
        <w:rPr>
          <w:b/>
          <w:color w:val="1F497D" w:themeColor="text2"/>
        </w:rPr>
      </w:pPr>
      <w:r w:rsidRPr="009E658A">
        <w:rPr>
          <w:b/>
          <w:color w:val="1F497D" w:themeColor="text2"/>
        </w:rPr>
        <w:t xml:space="preserve">SPAA Schedule </w:t>
      </w:r>
      <w:r w:rsidR="001E129F">
        <w:rPr>
          <w:b/>
          <w:color w:val="1F497D" w:themeColor="text2"/>
        </w:rPr>
        <w:t>22</w:t>
      </w:r>
      <w:r w:rsidRPr="009E658A">
        <w:rPr>
          <w:b/>
          <w:color w:val="1F497D" w:themeColor="text2"/>
        </w:rPr>
        <w:t xml:space="preserve"> – </w:t>
      </w:r>
      <w:r w:rsidR="001E129F">
        <w:rPr>
          <w:b/>
          <w:color w:val="1F497D" w:themeColor="text2"/>
        </w:rPr>
        <w:t>SPAA Metering Schedule</w:t>
      </w:r>
      <w:r w:rsidRPr="009E658A">
        <w:rPr>
          <w:b/>
          <w:color w:val="1F497D" w:themeColor="text2"/>
        </w:rPr>
        <w:t xml:space="preserve"> – CDSP </w:t>
      </w:r>
      <w:r w:rsidR="001E129F">
        <w:rPr>
          <w:b/>
          <w:color w:val="1F497D" w:themeColor="text2"/>
        </w:rPr>
        <w:t>providing reports</w:t>
      </w:r>
      <w:r w:rsidRPr="009E658A">
        <w:rPr>
          <w:b/>
          <w:color w:val="1F497D" w:themeColor="text2"/>
        </w:rPr>
        <w:t xml:space="preserve"> to </w:t>
      </w:r>
      <w:r w:rsidR="001E129F">
        <w:rPr>
          <w:b/>
          <w:color w:val="1F497D" w:themeColor="text2"/>
        </w:rPr>
        <w:t>SPAA</w:t>
      </w:r>
      <w:r w:rsidR="004052A6">
        <w:rPr>
          <w:b/>
          <w:color w:val="1F497D" w:themeColor="text2"/>
        </w:rPr>
        <w:t xml:space="preserve"> Ltd</w:t>
      </w:r>
      <w:r w:rsidRPr="009E658A">
        <w:rPr>
          <w:b/>
          <w:color w:val="1F497D" w:themeColor="text2"/>
        </w:rPr>
        <w:t xml:space="preserve"> </w:t>
      </w:r>
    </w:p>
    <w:p w14:paraId="755813FA" w14:textId="7627A942" w:rsidR="008A3A58" w:rsidRDefault="008A3A58" w:rsidP="008A3A58">
      <w:pPr>
        <w:pStyle w:val="ListParagraph"/>
        <w:numPr>
          <w:ilvl w:val="0"/>
          <w:numId w:val="11"/>
        </w:numPr>
        <w:spacing w:after="0" w:line="240" w:lineRule="auto"/>
        <w:ind w:left="357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Proposal</w:t>
      </w:r>
    </w:p>
    <w:p w14:paraId="330A6111" w14:textId="77777777" w:rsidR="008A3A58" w:rsidRDefault="008A3A58" w:rsidP="008A3A58">
      <w:pPr>
        <w:pStyle w:val="ListParagraph"/>
        <w:spacing w:after="0" w:line="240" w:lineRule="auto"/>
        <w:ind w:left="357"/>
        <w:rPr>
          <w:rFonts w:cs="Arial"/>
          <w:b/>
          <w:color w:val="1F497D" w:themeColor="text2"/>
        </w:rPr>
      </w:pPr>
    </w:p>
    <w:p w14:paraId="0A5C1344" w14:textId="3846A408" w:rsidR="008A3A58" w:rsidRPr="0005112D" w:rsidRDefault="007242DD" w:rsidP="008A3A58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/>
          <w:color w:val="1F497D" w:themeColor="text2"/>
        </w:rPr>
      </w:pPr>
      <w:r>
        <w:rPr>
          <w:rFonts w:cs="Arial"/>
          <w:color w:val="1F497D" w:themeColor="text2"/>
        </w:rPr>
        <w:t xml:space="preserve">The DSC Contract Management Committee is requested to approve the </w:t>
      </w:r>
      <w:r w:rsidR="009644B6">
        <w:rPr>
          <w:rFonts w:cs="Arial"/>
          <w:color w:val="1F497D" w:themeColor="text2"/>
        </w:rPr>
        <w:t xml:space="preserve">CDSP providing the reports specified within SPAA Schedule 22 – SPAA Metering Schedule to </w:t>
      </w:r>
      <w:r w:rsidR="00303B1F">
        <w:rPr>
          <w:rFonts w:cs="Arial"/>
          <w:color w:val="1F497D" w:themeColor="text2"/>
        </w:rPr>
        <w:t>SPAA Ltd</w:t>
      </w:r>
      <w:r w:rsidR="006F753B">
        <w:rPr>
          <w:rFonts w:cs="Arial"/>
          <w:color w:val="1F497D" w:themeColor="text2"/>
        </w:rPr>
        <w:t xml:space="preserve"> via the Secretariat (Electralink)</w:t>
      </w:r>
      <w:r w:rsidR="00303B1F">
        <w:rPr>
          <w:rFonts w:cs="Arial"/>
          <w:color w:val="1F497D" w:themeColor="text2"/>
        </w:rPr>
        <w:t>.</w:t>
      </w:r>
    </w:p>
    <w:p w14:paraId="1F78AFEA" w14:textId="77777777" w:rsidR="0005112D" w:rsidRPr="009644B6" w:rsidRDefault="0005112D" w:rsidP="0005112D">
      <w:pPr>
        <w:pStyle w:val="ListParagraph"/>
        <w:spacing w:after="0" w:line="240" w:lineRule="auto"/>
        <w:ind w:left="360"/>
        <w:rPr>
          <w:rFonts w:cs="Arial"/>
          <w:b/>
          <w:color w:val="1F497D" w:themeColor="text2"/>
        </w:rPr>
      </w:pPr>
    </w:p>
    <w:p w14:paraId="6EA44E7E" w14:textId="69F722CB" w:rsidR="009644B6" w:rsidRPr="0005112D" w:rsidRDefault="001745B9" w:rsidP="008A3A58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/>
          <w:color w:val="1F497D" w:themeColor="text2"/>
        </w:rPr>
      </w:pPr>
      <w:r>
        <w:rPr>
          <w:rFonts w:cs="Arial"/>
          <w:color w:val="1F497D" w:themeColor="text2"/>
        </w:rPr>
        <w:t>SPAA Ltd</w:t>
      </w:r>
      <w:r w:rsidR="0005112D">
        <w:rPr>
          <w:rFonts w:cs="Arial"/>
          <w:color w:val="1F497D" w:themeColor="text2"/>
        </w:rPr>
        <w:t xml:space="preserve"> </w:t>
      </w:r>
      <w:r>
        <w:rPr>
          <w:rFonts w:cs="Arial"/>
          <w:color w:val="1F497D" w:themeColor="text2"/>
        </w:rPr>
        <w:t>requires</w:t>
      </w:r>
      <w:r w:rsidR="0005112D">
        <w:rPr>
          <w:rFonts w:cs="Arial"/>
          <w:color w:val="1F497D" w:themeColor="text2"/>
        </w:rPr>
        <w:t xml:space="preserve"> the CDSP to report</w:t>
      </w:r>
      <w:r w:rsidR="00241D24">
        <w:rPr>
          <w:rFonts w:cs="Arial"/>
          <w:color w:val="1F497D" w:themeColor="text2"/>
        </w:rPr>
        <w:t xml:space="preserve"> upon Supplier Performance of Metering and MAM updates and</w:t>
      </w:r>
      <w:r w:rsidR="0005112D">
        <w:rPr>
          <w:rFonts w:cs="Arial"/>
          <w:color w:val="1F497D" w:themeColor="text2"/>
        </w:rPr>
        <w:t xml:space="preserve"> undertake a M</w:t>
      </w:r>
      <w:r>
        <w:rPr>
          <w:rFonts w:cs="Arial"/>
          <w:color w:val="1F497D" w:themeColor="text2"/>
        </w:rPr>
        <w:t>eter Asset Manager (M</w:t>
      </w:r>
      <w:r w:rsidR="0005112D">
        <w:rPr>
          <w:rFonts w:cs="Arial"/>
          <w:color w:val="1F497D" w:themeColor="text2"/>
        </w:rPr>
        <w:t>AM</w:t>
      </w:r>
      <w:r>
        <w:rPr>
          <w:rFonts w:cs="Arial"/>
          <w:color w:val="1F497D" w:themeColor="text2"/>
        </w:rPr>
        <w:t>)</w:t>
      </w:r>
      <w:r w:rsidR="0005112D">
        <w:rPr>
          <w:rFonts w:cs="Arial"/>
          <w:color w:val="1F497D" w:themeColor="text2"/>
        </w:rPr>
        <w:t xml:space="preserve"> </w:t>
      </w:r>
      <w:r>
        <w:rPr>
          <w:rFonts w:cs="Arial"/>
          <w:color w:val="1F497D" w:themeColor="text2"/>
        </w:rPr>
        <w:t>R</w:t>
      </w:r>
      <w:r w:rsidR="0005112D">
        <w:rPr>
          <w:rFonts w:cs="Arial"/>
          <w:color w:val="1F497D" w:themeColor="text2"/>
        </w:rPr>
        <w:t xml:space="preserve">econciliation exercise. </w:t>
      </w:r>
    </w:p>
    <w:p w14:paraId="73908E48" w14:textId="77777777" w:rsidR="0005112D" w:rsidRPr="0005112D" w:rsidRDefault="0005112D" w:rsidP="0005112D">
      <w:pPr>
        <w:pStyle w:val="ListParagraph"/>
        <w:spacing w:after="0" w:line="240" w:lineRule="auto"/>
        <w:ind w:left="360"/>
        <w:rPr>
          <w:rFonts w:cs="Arial"/>
          <w:b/>
          <w:color w:val="1F497D" w:themeColor="text2"/>
        </w:rPr>
      </w:pPr>
    </w:p>
    <w:p w14:paraId="6C64DD42" w14:textId="172B435E" w:rsidR="0005112D" w:rsidRPr="001745B9" w:rsidRDefault="00241D24" w:rsidP="008A3A58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/>
          <w:color w:val="1F497D" w:themeColor="text2"/>
        </w:rPr>
      </w:pPr>
      <w:r>
        <w:rPr>
          <w:rFonts w:cs="Arial"/>
          <w:color w:val="1F497D" w:themeColor="text2"/>
        </w:rPr>
        <w:t>Attributable r</w:t>
      </w:r>
      <w:r w:rsidR="0005112D">
        <w:rPr>
          <w:rFonts w:cs="Arial"/>
          <w:color w:val="1F497D" w:themeColor="text2"/>
        </w:rPr>
        <w:t>eports on individual Supplier performance will be provided to the SPAA Secretariat</w:t>
      </w:r>
      <w:r>
        <w:rPr>
          <w:rFonts w:cs="Arial"/>
          <w:color w:val="1F497D" w:themeColor="text2"/>
        </w:rPr>
        <w:t xml:space="preserve"> and used by the SPAA Expert Group (SEG) during the closed sessions</w:t>
      </w:r>
      <w:r w:rsidR="0005112D">
        <w:rPr>
          <w:rFonts w:cs="Arial"/>
          <w:color w:val="1F497D" w:themeColor="text2"/>
        </w:rPr>
        <w:t>.</w:t>
      </w:r>
      <w:r>
        <w:rPr>
          <w:rFonts w:cs="Arial"/>
          <w:color w:val="1F497D" w:themeColor="text2"/>
        </w:rPr>
        <w:t xml:space="preserve"> </w:t>
      </w:r>
      <w:r w:rsidR="00DE6425">
        <w:rPr>
          <w:rFonts w:cs="Arial"/>
          <w:color w:val="1F497D" w:themeColor="text2"/>
        </w:rPr>
        <w:t xml:space="preserve"> </w:t>
      </w:r>
      <w:r>
        <w:rPr>
          <w:rFonts w:cs="Arial"/>
          <w:color w:val="1F497D" w:themeColor="text2"/>
        </w:rPr>
        <w:t>Until performance ha</w:t>
      </w:r>
      <w:r w:rsidR="001D4D2B">
        <w:rPr>
          <w:rFonts w:cs="Arial"/>
          <w:color w:val="1F497D" w:themeColor="text2"/>
        </w:rPr>
        <w:t>s been reported, next steps on what is done with the information are</w:t>
      </w:r>
      <w:r>
        <w:rPr>
          <w:rFonts w:cs="Arial"/>
          <w:color w:val="1F497D" w:themeColor="text2"/>
        </w:rPr>
        <w:t xml:space="preserve"> unknown</w:t>
      </w:r>
      <w:r w:rsidR="00DE6425">
        <w:rPr>
          <w:rFonts w:cs="Arial"/>
          <w:color w:val="1F497D" w:themeColor="text2"/>
        </w:rPr>
        <w:t>, but the SEG has discussed the creation of performance measures following the post implementation review of the approved reporting to ensure it is robust</w:t>
      </w:r>
      <w:r>
        <w:rPr>
          <w:rFonts w:cs="Arial"/>
          <w:color w:val="1F497D" w:themeColor="text2"/>
        </w:rPr>
        <w:t xml:space="preserve">. </w:t>
      </w:r>
      <w:r w:rsidR="00DE6425">
        <w:rPr>
          <w:rFonts w:cs="Arial"/>
          <w:color w:val="1F497D" w:themeColor="text2"/>
        </w:rPr>
        <w:t xml:space="preserve"> </w:t>
      </w:r>
      <w:r>
        <w:rPr>
          <w:rFonts w:cs="Arial"/>
          <w:color w:val="1F497D" w:themeColor="text2"/>
        </w:rPr>
        <w:t>Historically, where the SEG reported on performance issues, the SPAA Exec</w:t>
      </w:r>
      <w:r w:rsidR="00DE6425">
        <w:rPr>
          <w:rFonts w:cs="Arial"/>
          <w:color w:val="1F497D" w:themeColor="text2"/>
        </w:rPr>
        <w:t>utive</w:t>
      </w:r>
      <w:r>
        <w:rPr>
          <w:rFonts w:cs="Arial"/>
          <w:color w:val="1F497D" w:themeColor="text2"/>
        </w:rPr>
        <w:t xml:space="preserve"> Committee</w:t>
      </w:r>
      <w:r w:rsidR="006F753B">
        <w:rPr>
          <w:rFonts w:cs="Arial"/>
          <w:color w:val="1F497D" w:themeColor="text2"/>
        </w:rPr>
        <w:t xml:space="preserve"> (SPAA EC)</w:t>
      </w:r>
      <w:r>
        <w:rPr>
          <w:rFonts w:cs="Arial"/>
          <w:color w:val="1F497D" w:themeColor="text2"/>
        </w:rPr>
        <w:t xml:space="preserve"> have directly addressed the involved party and requested remedial action plans. </w:t>
      </w:r>
      <w:r w:rsidR="0005112D">
        <w:rPr>
          <w:rFonts w:cs="Arial"/>
          <w:color w:val="1F497D" w:themeColor="text2"/>
        </w:rPr>
        <w:t xml:space="preserve"> The data is based on R</w:t>
      </w:r>
      <w:r w:rsidR="00DE6425">
        <w:rPr>
          <w:rFonts w:cs="Arial"/>
          <w:color w:val="1F497D" w:themeColor="text2"/>
        </w:rPr>
        <w:t xml:space="preserve">etail </w:t>
      </w:r>
      <w:r w:rsidR="0005112D">
        <w:rPr>
          <w:rFonts w:cs="Arial"/>
          <w:color w:val="1F497D" w:themeColor="text2"/>
        </w:rPr>
        <w:t>G</w:t>
      </w:r>
      <w:r w:rsidR="00DE6425">
        <w:rPr>
          <w:rFonts w:cs="Arial"/>
          <w:color w:val="1F497D" w:themeColor="text2"/>
        </w:rPr>
        <w:t xml:space="preserve">as </w:t>
      </w:r>
      <w:r w:rsidR="0005112D">
        <w:rPr>
          <w:rFonts w:cs="Arial"/>
          <w:color w:val="1F497D" w:themeColor="text2"/>
        </w:rPr>
        <w:t>M</w:t>
      </w:r>
      <w:r w:rsidR="00DE6425">
        <w:rPr>
          <w:rFonts w:cs="Arial"/>
          <w:color w:val="1F497D" w:themeColor="text2"/>
        </w:rPr>
        <w:t xml:space="preserve">etering </w:t>
      </w:r>
      <w:r w:rsidR="0005112D">
        <w:rPr>
          <w:rFonts w:cs="Arial"/>
          <w:color w:val="1F497D" w:themeColor="text2"/>
        </w:rPr>
        <w:t>A</w:t>
      </w:r>
      <w:r w:rsidR="00DE6425">
        <w:rPr>
          <w:rFonts w:cs="Arial"/>
          <w:color w:val="1F497D" w:themeColor="text2"/>
        </w:rPr>
        <w:t>rrangements (RGMA)</w:t>
      </w:r>
      <w:r w:rsidR="0005112D">
        <w:rPr>
          <w:rFonts w:cs="Arial"/>
          <w:color w:val="1F497D" w:themeColor="text2"/>
        </w:rPr>
        <w:t xml:space="preserve"> and MAM flows and will report on the total volume</w:t>
      </w:r>
      <w:r w:rsidR="00454EC6">
        <w:rPr>
          <w:rFonts w:cs="Arial"/>
          <w:color w:val="1F497D" w:themeColor="text2"/>
        </w:rPr>
        <w:t xml:space="preserve">s, </w:t>
      </w:r>
      <w:r w:rsidR="0005112D">
        <w:rPr>
          <w:rFonts w:cs="Arial"/>
          <w:color w:val="1F497D" w:themeColor="text2"/>
        </w:rPr>
        <w:t>per</w:t>
      </w:r>
      <w:r w:rsidR="00454EC6">
        <w:rPr>
          <w:rFonts w:cs="Arial"/>
          <w:color w:val="1F497D" w:themeColor="text2"/>
        </w:rPr>
        <w:t>centage of accepted and rejected transactions</w:t>
      </w:r>
      <w:r w:rsidR="0005112D">
        <w:rPr>
          <w:rFonts w:cs="Arial"/>
          <w:color w:val="1F497D" w:themeColor="text2"/>
        </w:rPr>
        <w:t xml:space="preserve">. </w:t>
      </w:r>
      <w:r w:rsidR="00DE6425">
        <w:rPr>
          <w:rFonts w:cs="Arial"/>
          <w:color w:val="1F497D" w:themeColor="text2"/>
        </w:rPr>
        <w:t xml:space="preserve"> </w:t>
      </w:r>
      <w:r w:rsidR="0005112D">
        <w:rPr>
          <w:rFonts w:cs="Arial"/>
          <w:color w:val="1F497D" w:themeColor="text2"/>
        </w:rPr>
        <w:t xml:space="preserve">This is similar to the data provided to Shippers within the monthly Operational Packs however at Supplier level. </w:t>
      </w:r>
    </w:p>
    <w:p w14:paraId="37A03DDE" w14:textId="77777777" w:rsidR="001745B9" w:rsidRPr="001745B9" w:rsidRDefault="001745B9" w:rsidP="001745B9">
      <w:pPr>
        <w:pStyle w:val="ListParagraph"/>
        <w:spacing w:after="0" w:line="240" w:lineRule="auto"/>
        <w:ind w:left="360"/>
        <w:rPr>
          <w:rFonts w:cs="Arial"/>
          <w:b/>
          <w:color w:val="1F497D" w:themeColor="text2"/>
        </w:rPr>
      </w:pPr>
    </w:p>
    <w:p w14:paraId="07BBC01B" w14:textId="506DB996" w:rsidR="001745B9" w:rsidRPr="001745B9" w:rsidRDefault="001745B9" w:rsidP="008A3A58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/>
          <w:color w:val="1F497D" w:themeColor="text2"/>
        </w:rPr>
      </w:pPr>
      <w:r>
        <w:rPr>
          <w:rFonts w:cs="Arial"/>
          <w:color w:val="1F497D" w:themeColor="text2"/>
        </w:rPr>
        <w:t xml:space="preserve">Outputs from the MAM Reconciliation exercise will be provided to the Supplier where they are registered for the </w:t>
      </w:r>
      <w:r w:rsidR="00241D24">
        <w:rPr>
          <w:rFonts w:cs="Arial"/>
          <w:color w:val="1F497D" w:themeColor="text2"/>
        </w:rPr>
        <w:t>Meter Point</w:t>
      </w:r>
      <w:r>
        <w:rPr>
          <w:rFonts w:cs="Arial"/>
          <w:color w:val="1F497D" w:themeColor="text2"/>
        </w:rPr>
        <w:t xml:space="preserve"> within the Supply Point Register. </w:t>
      </w:r>
      <w:r w:rsidR="00DE6425">
        <w:rPr>
          <w:rFonts w:cs="Arial"/>
          <w:color w:val="1F497D" w:themeColor="text2"/>
        </w:rPr>
        <w:t xml:space="preserve"> </w:t>
      </w:r>
      <w:r w:rsidR="00454EC6">
        <w:rPr>
          <w:rFonts w:cs="Arial"/>
          <w:color w:val="1F497D" w:themeColor="text2"/>
        </w:rPr>
        <w:t>This</w:t>
      </w:r>
      <w:r w:rsidR="00241D24">
        <w:rPr>
          <w:rFonts w:cs="Arial"/>
          <w:color w:val="1F497D" w:themeColor="text2"/>
        </w:rPr>
        <w:t xml:space="preserve"> data is</w:t>
      </w:r>
      <w:r w:rsidR="00AB1112">
        <w:rPr>
          <w:rFonts w:cs="Arial"/>
          <w:color w:val="1F497D" w:themeColor="text2"/>
        </w:rPr>
        <w:t xml:space="preserve"> currently</w:t>
      </w:r>
      <w:r w:rsidR="00241D24">
        <w:rPr>
          <w:rFonts w:cs="Arial"/>
          <w:color w:val="1F497D" w:themeColor="text2"/>
        </w:rPr>
        <w:t xml:space="preserve"> included within</w:t>
      </w:r>
      <w:r w:rsidR="00AB1112">
        <w:rPr>
          <w:rFonts w:cs="Arial"/>
          <w:color w:val="1F497D" w:themeColor="text2"/>
        </w:rPr>
        <w:t xml:space="preserve"> the</w:t>
      </w:r>
      <w:r w:rsidR="00241D24">
        <w:rPr>
          <w:rFonts w:cs="Arial"/>
          <w:color w:val="1F497D" w:themeColor="text2"/>
        </w:rPr>
        <w:t xml:space="preserve"> D</w:t>
      </w:r>
      <w:r w:rsidR="00AB1112">
        <w:rPr>
          <w:rFonts w:cs="Arial"/>
          <w:color w:val="1F497D" w:themeColor="text2"/>
        </w:rPr>
        <w:t xml:space="preserve">ata </w:t>
      </w:r>
      <w:r w:rsidR="00241D24">
        <w:rPr>
          <w:rFonts w:cs="Arial"/>
          <w:color w:val="1F497D" w:themeColor="text2"/>
        </w:rPr>
        <w:t>E</w:t>
      </w:r>
      <w:r w:rsidR="00AB1112">
        <w:rPr>
          <w:rFonts w:cs="Arial"/>
          <w:color w:val="1F497D" w:themeColor="text2"/>
        </w:rPr>
        <w:t xml:space="preserve">nquiry </w:t>
      </w:r>
      <w:r w:rsidR="00241D24">
        <w:rPr>
          <w:rFonts w:cs="Arial"/>
          <w:color w:val="1F497D" w:themeColor="text2"/>
        </w:rPr>
        <w:t>S</w:t>
      </w:r>
      <w:r w:rsidR="00AB1112">
        <w:rPr>
          <w:rFonts w:cs="Arial"/>
          <w:color w:val="1F497D" w:themeColor="text2"/>
        </w:rPr>
        <w:t xml:space="preserve">ervice (DES) in portfolio view for the registered </w:t>
      </w:r>
      <w:r w:rsidR="00990444">
        <w:rPr>
          <w:rFonts w:cs="Arial"/>
          <w:color w:val="1F497D" w:themeColor="text2"/>
        </w:rPr>
        <w:t>Supplier;</w:t>
      </w:r>
      <w:r w:rsidR="00AB1112">
        <w:rPr>
          <w:rFonts w:cs="Arial"/>
          <w:color w:val="1F497D" w:themeColor="text2"/>
        </w:rPr>
        <w:t xml:space="preserve"> therefore the permis</w:t>
      </w:r>
      <w:r w:rsidR="00990444">
        <w:rPr>
          <w:rFonts w:cs="Arial"/>
          <w:color w:val="1F497D" w:themeColor="text2"/>
        </w:rPr>
        <w:t>sions to access this data are present</w:t>
      </w:r>
      <w:r w:rsidR="00AB1112">
        <w:rPr>
          <w:rFonts w:cs="Arial"/>
          <w:color w:val="1F497D" w:themeColor="text2"/>
        </w:rPr>
        <w:t xml:space="preserve">.  </w:t>
      </w:r>
      <w:r>
        <w:rPr>
          <w:rFonts w:cs="Arial"/>
          <w:color w:val="1F497D" w:themeColor="text2"/>
        </w:rPr>
        <w:t xml:space="preserve"> </w:t>
      </w:r>
    </w:p>
    <w:p w14:paraId="6D6959E9" w14:textId="77777777" w:rsidR="001745B9" w:rsidRPr="001745B9" w:rsidRDefault="001745B9" w:rsidP="001745B9">
      <w:pPr>
        <w:pStyle w:val="ListParagraph"/>
        <w:spacing w:after="0" w:line="240" w:lineRule="auto"/>
        <w:ind w:left="360"/>
        <w:rPr>
          <w:rFonts w:cs="Arial"/>
          <w:b/>
          <w:color w:val="1F497D" w:themeColor="text2"/>
        </w:rPr>
      </w:pPr>
    </w:p>
    <w:p w14:paraId="781A34D8" w14:textId="31143AFC" w:rsidR="001745B9" w:rsidRPr="0005112D" w:rsidRDefault="001745B9" w:rsidP="008A3A58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/>
          <w:color w:val="1F497D" w:themeColor="text2"/>
        </w:rPr>
      </w:pPr>
      <w:r>
        <w:rPr>
          <w:rFonts w:cs="Arial"/>
          <w:color w:val="1F497D" w:themeColor="text2"/>
        </w:rPr>
        <w:t>Any data provided to MAMs as part of the exercise will align with the permissions already granted within Uniform Network Code (UNC) set out within TPD Section V Annex V-5 following the implementation of Modifications 0297 and 0386.</w:t>
      </w:r>
      <w:r w:rsidR="00990444">
        <w:rPr>
          <w:rFonts w:cs="Arial"/>
          <w:color w:val="1F497D" w:themeColor="text2"/>
        </w:rPr>
        <w:t xml:space="preserve"> Contract Managers are asked to note that the data we are releasing to MAMs is in line with the current permissions. </w:t>
      </w:r>
      <w:r>
        <w:rPr>
          <w:rFonts w:cs="Arial"/>
          <w:color w:val="1F497D" w:themeColor="text2"/>
        </w:rPr>
        <w:t xml:space="preserve">  </w:t>
      </w:r>
    </w:p>
    <w:p w14:paraId="4CA94BA2" w14:textId="47171000" w:rsidR="00994D8A" w:rsidRPr="00B930A2" w:rsidRDefault="0005112D" w:rsidP="00B930A2">
      <w:pPr>
        <w:pStyle w:val="ListParagraph"/>
        <w:spacing w:after="0" w:line="240" w:lineRule="auto"/>
        <w:ind w:left="360"/>
        <w:rPr>
          <w:rFonts w:cs="Arial"/>
          <w:b/>
          <w:color w:val="1F497D" w:themeColor="text2"/>
        </w:rPr>
      </w:pPr>
      <w:r>
        <w:rPr>
          <w:rFonts w:cs="Arial"/>
          <w:color w:val="1F497D" w:themeColor="text2"/>
        </w:rPr>
        <w:t xml:space="preserve">    </w:t>
      </w:r>
    </w:p>
    <w:p w14:paraId="68C69181" w14:textId="24C8F69B" w:rsidR="00994D8A" w:rsidRPr="00994D8A" w:rsidRDefault="00994D8A" w:rsidP="00994D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b/>
          <w:color w:val="1F497D" w:themeColor="text2"/>
        </w:rPr>
      </w:pPr>
      <w:r w:rsidRPr="00994D8A">
        <w:rPr>
          <w:rFonts w:cs="Arial"/>
          <w:b/>
          <w:color w:val="1F497D" w:themeColor="text2"/>
        </w:rPr>
        <w:t>Reporting Requirements</w:t>
      </w:r>
    </w:p>
    <w:p w14:paraId="57DE6AB6" w14:textId="731DD6E4" w:rsidR="001A0B93" w:rsidRPr="000C744C" w:rsidRDefault="001A0B93" w:rsidP="000C744C">
      <w:pPr>
        <w:spacing w:after="0" w:line="240" w:lineRule="auto"/>
        <w:rPr>
          <w:rFonts w:cs="Arial"/>
          <w:color w:val="1F497D" w:themeColor="text2"/>
        </w:rPr>
      </w:pPr>
    </w:p>
    <w:p w14:paraId="4C2D7E27" w14:textId="1F26C716" w:rsidR="000C744C" w:rsidRDefault="00770307" w:rsidP="000C744C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To summarise, </w:t>
      </w:r>
      <w:r w:rsidR="000C744C">
        <w:rPr>
          <w:rFonts w:cs="Arial"/>
          <w:color w:val="1F497D" w:themeColor="text2"/>
        </w:rPr>
        <w:t>CP 17/411</w:t>
      </w:r>
      <w:r w:rsidR="00CC7885">
        <w:rPr>
          <w:rFonts w:cs="Arial"/>
          <w:color w:val="1F497D" w:themeColor="text2"/>
          <w:vertAlign w:val="superscript"/>
        </w:rPr>
        <w:t>1</w:t>
      </w:r>
      <w:r w:rsidR="00DE6425">
        <w:rPr>
          <w:rFonts w:cs="Arial"/>
          <w:color w:val="1F497D" w:themeColor="text2"/>
        </w:rPr>
        <w:t xml:space="preserve"> (approved in Feb 2018 for Nov 2018 implementation)</w:t>
      </w:r>
      <w:r w:rsidR="001745B9">
        <w:rPr>
          <w:rFonts w:cs="Arial"/>
          <w:color w:val="1F497D" w:themeColor="text2"/>
        </w:rPr>
        <w:t xml:space="preserve"> proposes the following </w:t>
      </w:r>
      <w:r w:rsidR="008A3A58">
        <w:rPr>
          <w:rFonts w:cs="Arial"/>
          <w:color w:val="1F497D" w:themeColor="text2"/>
        </w:rPr>
        <w:t>reports</w:t>
      </w:r>
      <w:r w:rsidR="001745B9">
        <w:rPr>
          <w:rFonts w:cs="Arial"/>
          <w:color w:val="1F497D" w:themeColor="text2"/>
        </w:rPr>
        <w:t xml:space="preserve"> are provided by the CDSP</w:t>
      </w:r>
      <w:r w:rsidR="008E46AB">
        <w:rPr>
          <w:rFonts w:cs="Arial"/>
          <w:color w:val="1F497D" w:themeColor="text2"/>
        </w:rPr>
        <w:t xml:space="preserve"> to demonstrate timeliness and accuracy of metering updates by Suppliers</w:t>
      </w:r>
      <w:r w:rsidR="001745B9">
        <w:rPr>
          <w:rFonts w:cs="Arial"/>
          <w:color w:val="1F497D" w:themeColor="text2"/>
        </w:rPr>
        <w:t>:</w:t>
      </w:r>
      <w:r w:rsidR="00F1444B">
        <w:rPr>
          <w:rFonts w:cs="Arial"/>
          <w:color w:val="1F497D" w:themeColor="text2"/>
        </w:rPr>
        <w:t xml:space="preserve"> </w:t>
      </w:r>
    </w:p>
    <w:p w14:paraId="1E86B69B" w14:textId="77777777" w:rsidR="000C744C" w:rsidRDefault="000C744C" w:rsidP="000C744C">
      <w:pPr>
        <w:pStyle w:val="ListParagraph"/>
        <w:spacing w:after="0" w:line="240" w:lineRule="auto"/>
        <w:ind w:left="360"/>
        <w:rPr>
          <w:rFonts w:cs="Arial"/>
          <w:color w:val="1F497D" w:themeColor="text2"/>
        </w:rPr>
      </w:pPr>
    </w:p>
    <w:p w14:paraId="632E6FA2" w14:textId="7C6C67CF" w:rsidR="000C744C" w:rsidRDefault="008A3A58" w:rsidP="000C744C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Monthly </w:t>
      </w:r>
      <w:r w:rsidR="000C744C">
        <w:rPr>
          <w:rFonts w:cs="Arial"/>
          <w:color w:val="1F497D" w:themeColor="text2"/>
        </w:rPr>
        <w:t xml:space="preserve">Supplier Performance </w:t>
      </w:r>
    </w:p>
    <w:p w14:paraId="13E63AD8" w14:textId="77777777" w:rsidR="00990444" w:rsidRDefault="008A3A58" w:rsidP="008A3A58">
      <w:pPr>
        <w:pStyle w:val="ListParagraph"/>
        <w:numPr>
          <w:ilvl w:val="1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JOB</w:t>
      </w:r>
    </w:p>
    <w:p w14:paraId="09DF8A43" w14:textId="5FC7E1EA" w:rsidR="00990444" w:rsidRDefault="00990444" w:rsidP="00990444">
      <w:pPr>
        <w:pStyle w:val="ListParagraph"/>
        <w:numPr>
          <w:ilvl w:val="2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Total count, percentage of accepted/rejected</w:t>
      </w:r>
    </w:p>
    <w:p w14:paraId="1232B9F9" w14:textId="68D19088" w:rsidR="00990444" w:rsidRDefault="008A3A58" w:rsidP="008A3A58">
      <w:pPr>
        <w:pStyle w:val="ListParagraph"/>
        <w:numPr>
          <w:ilvl w:val="1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UPD </w:t>
      </w:r>
    </w:p>
    <w:p w14:paraId="1D5FF452" w14:textId="0647C9A5" w:rsidR="00990444" w:rsidRPr="00990444" w:rsidRDefault="00990444" w:rsidP="00990444">
      <w:pPr>
        <w:pStyle w:val="ListParagraph"/>
        <w:numPr>
          <w:ilvl w:val="2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Total count, percentage of accepted/rejected</w:t>
      </w:r>
    </w:p>
    <w:p w14:paraId="72C14B23" w14:textId="0B0F8275" w:rsidR="008A3A58" w:rsidRDefault="00990444" w:rsidP="008A3A58">
      <w:pPr>
        <w:pStyle w:val="ListParagraph"/>
        <w:numPr>
          <w:ilvl w:val="1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K</w:t>
      </w:r>
      <w:r w:rsidR="008A3A58">
        <w:rPr>
          <w:rFonts w:cs="Arial"/>
          <w:color w:val="1F497D" w:themeColor="text2"/>
        </w:rPr>
        <w:t xml:space="preserve">08 </w:t>
      </w:r>
    </w:p>
    <w:p w14:paraId="6B880546" w14:textId="101FE67E" w:rsidR="008A3A58" w:rsidRDefault="008A3A58" w:rsidP="00990444">
      <w:pPr>
        <w:pStyle w:val="ListParagraph"/>
        <w:numPr>
          <w:ilvl w:val="2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Total count, percentage of accepted/rejected and timeliness </w:t>
      </w:r>
      <w:r w:rsidR="00990444">
        <w:rPr>
          <w:rFonts w:cs="Arial"/>
          <w:color w:val="1F497D" w:themeColor="text2"/>
        </w:rPr>
        <w:t>of transactions</w:t>
      </w:r>
    </w:p>
    <w:p w14:paraId="65D77831" w14:textId="5C3F2F03" w:rsidR="008A3A58" w:rsidRDefault="008A3A58" w:rsidP="008A3A58">
      <w:pPr>
        <w:pStyle w:val="ListParagraph"/>
        <w:spacing w:after="0" w:line="240" w:lineRule="auto"/>
        <w:ind w:left="1800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 </w:t>
      </w:r>
    </w:p>
    <w:p w14:paraId="077D9796" w14:textId="0D653615" w:rsidR="000C744C" w:rsidRDefault="008A3A58" w:rsidP="000C744C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Annual </w:t>
      </w:r>
      <w:r w:rsidR="000C744C">
        <w:rPr>
          <w:rFonts w:cs="Arial"/>
          <w:color w:val="1F497D" w:themeColor="text2"/>
        </w:rPr>
        <w:t xml:space="preserve">MAM Reconciliation </w:t>
      </w:r>
    </w:p>
    <w:p w14:paraId="7EFB652C" w14:textId="03E145FC" w:rsidR="008A3A58" w:rsidRDefault="008A3A58" w:rsidP="008A3A58">
      <w:pPr>
        <w:pStyle w:val="ListParagraph"/>
        <w:numPr>
          <w:ilvl w:val="1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Comparison between MAM provided dataset and the Supply Point Register held by the CDSP</w:t>
      </w:r>
    </w:p>
    <w:p w14:paraId="540FF971" w14:textId="790B6706" w:rsidR="008A3A58" w:rsidRDefault="008A3A58" w:rsidP="008A3A58">
      <w:pPr>
        <w:pStyle w:val="ListParagraph"/>
        <w:numPr>
          <w:ilvl w:val="1"/>
          <w:numId w:val="26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Number and type of discrepancies in relation to each Supplier provided</w:t>
      </w:r>
    </w:p>
    <w:p w14:paraId="31181B85" w14:textId="77777777" w:rsidR="000C744C" w:rsidRDefault="000C744C" w:rsidP="000C744C">
      <w:pPr>
        <w:pStyle w:val="ListParagraph"/>
        <w:spacing w:after="0" w:line="240" w:lineRule="auto"/>
        <w:ind w:left="360"/>
        <w:rPr>
          <w:rFonts w:cs="Arial"/>
          <w:color w:val="1F497D" w:themeColor="text2"/>
        </w:rPr>
      </w:pPr>
    </w:p>
    <w:p w14:paraId="66F20D7C" w14:textId="77777777" w:rsidR="00450E95" w:rsidRPr="008A3A58" w:rsidRDefault="00450E95" w:rsidP="008A3A58">
      <w:pPr>
        <w:spacing w:after="0" w:line="240" w:lineRule="auto"/>
        <w:rPr>
          <w:rFonts w:cs="Arial"/>
          <w:color w:val="1F497D" w:themeColor="text2"/>
        </w:rPr>
      </w:pPr>
    </w:p>
    <w:p w14:paraId="6ED5F6B7" w14:textId="6FC8D59C" w:rsidR="008A3A58" w:rsidRPr="008A3A58" w:rsidRDefault="008A3A58" w:rsidP="00A81659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/>
          <w:i/>
          <w:color w:val="1F497D" w:themeColor="text2"/>
        </w:rPr>
      </w:pPr>
      <w:r>
        <w:rPr>
          <w:rFonts w:cs="Arial"/>
          <w:color w:val="1F497D" w:themeColor="text2"/>
        </w:rPr>
        <w:t>Please note that the reports provided by the CDSP will align to the requirements specified within</w:t>
      </w:r>
      <w:r w:rsidR="006F753B">
        <w:rPr>
          <w:rFonts w:cs="Arial"/>
          <w:color w:val="1F497D" w:themeColor="text2"/>
        </w:rPr>
        <w:t xml:space="preserve"> the approve CP17/411 version of</w:t>
      </w:r>
      <w:r>
        <w:rPr>
          <w:rFonts w:cs="Arial"/>
          <w:color w:val="1F497D" w:themeColor="text2"/>
        </w:rPr>
        <w:t xml:space="preserve"> SPAA Schedule 22. </w:t>
      </w:r>
    </w:p>
    <w:p w14:paraId="216BF6F0" w14:textId="77777777" w:rsidR="008A3A58" w:rsidRDefault="008A3A58" w:rsidP="008A3A58">
      <w:pPr>
        <w:pStyle w:val="ListParagraph"/>
        <w:spacing w:after="0" w:line="240" w:lineRule="auto"/>
        <w:ind w:left="360"/>
        <w:rPr>
          <w:rFonts w:cs="Arial"/>
          <w:b/>
          <w:i/>
          <w:color w:val="1F497D" w:themeColor="text2"/>
        </w:rPr>
      </w:pPr>
    </w:p>
    <w:p w14:paraId="233C71C6" w14:textId="77777777" w:rsidR="00D20717" w:rsidRPr="0009310C" w:rsidRDefault="00D20717" w:rsidP="00D20717">
      <w:pPr>
        <w:pStyle w:val="ListParagraph"/>
        <w:numPr>
          <w:ilvl w:val="0"/>
          <w:numId w:val="11"/>
        </w:numPr>
        <w:spacing w:after="0" w:line="240" w:lineRule="auto"/>
        <w:ind w:left="357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Background</w:t>
      </w:r>
    </w:p>
    <w:p w14:paraId="60E5794B" w14:textId="77777777" w:rsidR="00D20717" w:rsidRDefault="00D20717" w:rsidP="00D20717">
      <w:pPr>
        <w:spacing w:after="0" w:line="240" w:lineRule="auto"/>
        <w:rPr>
          <w:rFonts w:cs="Arial"/>
          <w:b/>
          <w:color w:val="1F497D" w:themeColor="text2"/>
        </w:rPr>
      </w:pPr>
    </w:p>
    <w:p w14:paraId="5E6B0D35" w14:textId="32AB31DA" w:rsidR="00D20717" w:rsidRDefault="00D20717" w:rsidP="00D20717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Currently Suppliers who are party to SPAA are required to report on their performance against RGMA obligations specified within SPAA Schedule 22 – SPAA Metering Schedule. </w:t>
      </w:r>
      <w:r w:rsidR="006F753B">
        <w:rPr>
          <w:rFonts w:cs="Arial"/>
          <w:color w:val="1F497D" w:themeColor="text2"/>
        </w:rPr>
        <w:t xml:space="preserve"> The reporting is not fit for purpose and doesn’t provide relevant insight.  The SEG developed the reporting requirements over many months to ensure it was both transparent and robust. </w:t>
      </w:r>
    </w:p>
    <w:p w14:paraId="4BE697B9" w14:textId="77777777" w:rsidR="00D20717" w:rsidRDefault="00D20717" w:rsidP="00D20717">
      <w:pPr>
        <w:pStyle w:val="ListParagraph"/>
        <w:spacing w:after="0" w:line="240" w:lineRule="auto"/>
        <w:ind w:left="360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 </w:t>
      </w:r>
    </w:p>
    <w:p w14:paraId="64611B87" w14:textId="611B9E45" w:rsidR="006F753B" w:rsidRDefault="006F753B" w:rsidP="006F753B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lastRenderedPageBreak/>
        <w:t>SPAA Parties expressed their concern with the accuracy of the self-reporting process.  This was discussed by the SEG</w:t>
      </w:r>
      <w:r w:rsidR="008E46AB">
        <w:rPr>
          <w:rFonts w:cs="Arial"/>
          <w:color w:val="1F497D" w:themeColor="text2"/>
        </w:rPr>
        <w:t>;</w:t>
      </w:r>
      <w:r>
        <w:rPr>
          <w:rFonts w:cs="Arial"/>
          <w:color w:val="1F497D" w:themeColor="text2"/>
        </w:rPr>
        <w:t xml:space="preserve"> the group agreed that a new process should be considered to report on individual Supplier performance with the data provided by CDSP</w:t>
      </w:r>
      <w:r w:rsidR="008E46AB">
        <w:rPr>
          <w:rFonts w:cs="Arial"/>
          <w:color w:val="1F497D" w:themeColor="text2"/>
        </w:rPr>
        <w:t>, as the Supply Point Register is the best placed central dataset to utilise</w:t>
      </w:r>
      <w:r>
        <w:rPr>
          <w:rFonts w:cs="Arial"/>
          <w:color w:val="1F497D" w:themeColor="text2"/>
        </w:rPr>
        <w:t>.</w:t>
      </w:r>
    </w:p>
    <w:p w14:paraId="07E797AD" w14:textId="77777777" w:rsidR="006F753B" w:rsidRDefault="006F753B" w:rsidP="008E46AB">
      <w:pPr>
        <w:pStyle w:val="ListParagraph"/>
        <w:spacing w:after="0" w:line="240" w:lineRule="auto"/>
        <w:ind w:left="360"/>
        <w:rPr>
          <w:rFonts w:cs="Arial"/>
          <w:color w:val="1F497D" w:themeColor="text2"/>
        </w:rPr>
      </w:pPr>
    </w:p>
    <w:p w14:paraId="68577C81" w14:textId="5CC9D342" w:rsidR="00D20717" w:rsidRDefault="00D20717" w:rsidP="00D20717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The SPAA Secretariat is responsible for compiling the individual Supplier reports in order for the SPAA EC to assess Suppliers collective performance against these reporting obligations. </w:t>
      </w:r>
    </w:p>
    <w:p w14:paraId="6E48391E" w14:textId="77777777" w:rsidR="00D20717" w:rsidRPr="00CC7885" w:rsidRDefault="00D20717" w:rsidP="00CC7885">
      <w:pPr>
        <w:rPr>
          <w:sz w:val="6"/>
        </w:rPr>
      </w:pPr>
      <w:r>
        <w:t xml:space="preserve">  </w:t>
      </w:r>
    </w:p>
    <w:p w14:paraId="63C41873" w14:textId="7BAB4E96" w:rsidR="00D20717" w:rsidRDefault="008E46AB" w:rsidP="00D20717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 xml:space="preserve">CP 17/411 introduces a new annual reconciliation where Suppliers are mandated to ensure their MAMs provide data to the CDSP to complete a comparison exercise, this is designed </w:t>
      </w:r>
      <w:r w:rsidR="00F25216">
        <w:rPr>
          <w:rFonts w:cs="Arial"/>
          <w:color w:val="1F497D" w:themeColor="text2"/>
        </w:rPr>
        <w:t xml:space="preserve">to identify asset mismatches within a Suppliers portfolio, where the JOB, UPD and K08 identifies accuracy and timeliness issues at Change of Supply. This is to act as a preventative measure and to encourage Suppliers monitoring and updating their portfolios. </w:t>
      </w:r>
    </w:p>
    <w:p w14:paraId="74EAEAFC" w14:textId="77777777" w:rsidR="00D20717" w:rsidRDefault="00D20717" w:rsidP="00D20717">
      <w:pPr>
        <w:pStyle w:val="ListParagraph"/>
        <w:spacing w:after="0" w:line="240" w:lineRule="auto"/>
        <w:ind w:left="360"/>
        <w:rPr>
          <w:rFonts w:cs="Arial"/>
          <w:color w:val="1F497D" w:themeColor="text2"/>
        </w:rPr>
      </w:pPr>
    </w:p>
    <w:p w14:paraId="7345C55F" w14:textId="66DA7F4A" w:rsidR="00D20717" w:rsidRDefault="00D20717" w:rsidP="00D20717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CP 17/411 was approved by the SPAA Change Board in February 2018 and is due to be implemented on 02 November 2018</w:t>
      </w:r>
      <w:r w:rsidR="00F25216">
        <w:rPr>
          <w:rFonts w:cs="Arial"/>
          <w:color w:val="1F497D" w:themeColor="text2"/>
        </w:rPr>
        <w:t xml:space="preserve"> with the first annual reconciliation exercise to be completed in April 2019</w:t>
      </w:r>
      <w:r>
        <w:rPr>
          <w:rFonts w:cs="Arial"/>
          <w:color w:val="1F497D" w:themeColor="text2"/>
        </w:rPr>
        <w:t xml:space="preserve">. </w:t>
      </w:r>
    </w:p>
    <w:p w14:paraId="4689FE44" w14:textId="77777777" w:rsidR="00D20717" w:rsidRDefault="00D20717" w:rsidP="008A3A58">
      <w:pPr>
        <w:pStyle w:val="ListParagraph"/>
        <w:spacing w:after="0" w:line="240" w:lineRule="auto"/>
        <w:ind w:left="360"/>
        <w:rPr>
          <w:rFonts w:cs="Arial"/>
          <w:b/>
          <w:i/>
          <w:color w:val="1F497D" w:themeColor="text2"/>
        </w:rPr>
      </w:pPr>
    </w:p>
    <w:p w14:paraId="36EC5317" w14:textId="77777777" w:rsidR="00D20717" w:rsidRDefault="00D20717" w:rsidP="008A3A58">
      <w:pPr>
        <w:pStyle w:val="ListParagraph"/>
        <w:spacing w:after="0" w:line="240" w:lineRule="auto"/>
        <w:ind w:left="360"/>
        <w:rPr>
          <w:rFonts w:cs="Arial"/>
          <w:b/>
          <w:i/>
          <w:color w:val="1F497D" w:themeColor="text2"/>
        </w:rPr>
      </w:pPr>
    </w:p>
    <w:p w14:paraId="00609D27" w14:textId="77777777" w:rsidR="00D20717" w:rsidRPr="004052A6" w:rsidRDefault="00D20717" w:rsidP="00D20717">
      <w:pPr>
        <w:pStyle w:val="GSBodyParawithnumb"/>
        <w:numPr>
          <w:ilvl w:val="0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b/>
          <w:color w:val="1F497D" w:themeColor="text2"/>
          <w:sz w:val="20"/>
          <w:szCs w:val="20"/>
        </w:rPr>
        <w:t>Contracting and delivery model</w:t>
      </w:r>
    </w:p>
    <w:p w14:paraId="157985BC" w14:textId="77777777" w:rsidR="00D20717" w:rsidRDefault="00D20717" w:rsidP="00D20717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20C4959" w14:textId="73D2643A" w:rsidR="00D20717" w:rsidRDefault="00D20717" w:rsidP="00D20717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Xoserve will contract with SPAA Ltd as the administrator of the SPAA Schedule for the provision of this service.</w:t>
      </w:r>
    </w:p>
    <w:p w14:paraId="27663417" w14:textId="77777777" w:rsidR="00D20717" w:rsidRDefault="00D20717" w:rsidP="00D20717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204615A5" w14:textId="67522793" w:rsidR="00D20717" w:rsidRDefault="001D4D2B" w:rsidP="00D20717">
      <w:pPr>
        <w:pStyle w:val="GSBodyParawithnumb"/>
        <w:numPr>
          <w:ilvl w:val="0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b/>
          <w:color w:val="1F497D" w:themeColor="text2"/>
          <w:sz w:val="20"/>
          <w:szCs w:val="20"/>
        </w:rPr>
        <w:t>Summary</w:t>
      </w:r>
    </w:p>
    <w:p w14:paraId="461A48A7" w14:textId="77777777" w:rsidR="00D20717" w:rsidRDefault="00D20717" w:rsidP="00D20717">
      <w:pPr>
        <w:pStyle w:val="GSBodyParawithnumb"/>
        <w:numPr>
          <w:ilvl w:val="0"/>
          <w:numId w:val="0"/>
        </w:numPr>
        <w:spacing w:before="0" w:after="0" w:line="240" w:lineRule="auto"/>
        <w:ind w:left="360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415CF83D" w14:textId="091EAA36" w:rsidR="00990444" w:rsidRDefault="000F78CB" w:rsidP="00D20717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 w:rsidRPr="00D20717">
        <w:rPr>
          <w:rFonts w:ascii="Arial" w:hAnsi="Arial"/>
          <w:color w:val="1F497D" w:themeColor="text2"/>
          <w:sz w:val="20"/>
          <w:szCs w:val="20"/>
        </w:rPr>
        <w:t>T</w:t>
      </w:r>
      <w:r w:rsidR="00D755EA" w:rsidRPr="00D20717">
        <w:rPr>
          <w:rFonts w:ascii="Arial" w:hAnsi="Arial"/>
          <w:color w:val="1F497D" w:themeColor="text2"/>
          <w:sz w:val="20"/>
          <w:szCs w:val="20"/>
        </w:rPr>
        <w:t xml:space="preserve">he DSC Contract Management Committee </w:t>
      </w:r>
      <w:r w:rsidR="00DB1091" w:rsidRPr="00D20717">
        <w:rPr>
          <w:rFonts w:ascii="Arial" w:hAnsi="Arial"/>
          <w:color w:val="1F497D" w:themeColor="text2"/>
          <w:sz w:val="20"/>
          <w:szCs w:val="20"/>
        </w:rPr>
        <w:t>is requested to</w:t>
      </w:r>
      <w:r w:rsidR="00F25216">
        <w:rPr>
          <w:rFonts w:ascii="Arial" w:hAnsi="Arial"/>
          <w:color w:val="1F497D" w:themeColor="text2"/>
          <w:sz w:val="20"/>
          <w:szCs w:val="20"/>
        </w:rPr>
        <w:t xml:space="preserve"> note and</w:t>
      </w:r>
      <w:r w:rsidR="00DB1091" w:rsidRPr="00D20717">
        <w:rPr>
          <w:rFonts w:ascii="Arial" w:hAnsi="Arial"/>
          <w:color w:val="1F497D" w:themeColor="text2"/>
          <w:sz w:val="20"/>
          <w:szCs w:val="20"/>
        </w:rPr>
        <w:t xml:space="preserve"> approve the following</w:t>
      </w:r>
      <w:r w:rsidR="00990444">
        <w:rPr>
          <w:rFonts w:ascii="Arial" w:hAnsi="Arial"/>
          <w:color w:val="1F497D" w:themeColor="text2"/>
          <w:sz w:val="20"/>
          <w:szCs w:val="20"/>
        </w:rPr>
        <w:t>:</w:t>
      </w:r>
    </w:p>
    <w:p w14:paraId="3375C86E" w14:textId="77777777" w:rsidR="00990444" w:rsidRDefault="00990444" w:rsidP="00990444">
      <w:pPr>
        <w:pStyle w:val="GSBodyParawithnumb"/>
        <w:numPr>
          <w:ilvl w:val="0"/>
          <w:numId w:val="0"/>
        </w:numPr>
        <w:spacing w:before="0" w:after="0" w:line="240" w:lineRule="auto"/>
        <w:ind w:left="360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4896FCC0" w14:textId="08C03B28" w:rsidR="00990444" w:rsidRDefault="001D4D2B" w:rsidP="00990444">
      <w:pPr>
        <w:pStyle w:val="GSBodyParawithnumb"/>
        <w:numPr>
          <w:ilvl w:val="0"/>
          <w:numId w:val="27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The CDSP providing</w:t>
      </w:r>
      <w:r w:rsidR="00990444">
        <w:rPr>
          <w:rFonts w:ascii="Arial" w:hAnsi="Arial"/>
          <w:color w:val="1F497D" w:themeColor="text2"/>
          <w:sz w:val="20"/>
          <w:szCs w:val="20"/>
        </w:rPr>
        <w:t xml:space="preserve"> Supplier</w:t>
      </w:r>
      <w:r>
        <w:rPr>
          <w:rFonts w:ascii="Arial" w:hAnsi="Arial"/>
          <w:color w:val="1F497D" w:themeColor="text2"/>
          <w:sz w:val="20"/>
          <w:szCs w:val="20"/>
        </w:rPr>
        <w:t xml:space="preserve"> </w:t>
      </w:r>
      <w:r w:rsidR="00CC7885">
        <w:rPr>
          <w:rFonts w:ascii="Arial" w:hAnsi="Arial"/>
          <w:color w:val="1F497D" w:themeColor="text2"/>
          <w:sz w:val="20"/>
          <w:szCs w:val="20"/>
        </w:rPr>
        <w:t>pe</w:t>
      </w:r>
      <w:r>
        <w:rPr>
          <w:rFonts w:ascii="Arial" w:hAnsi="Arial"/>
          <w:color w:val="1F497D" w:themeColor="text2"/>
          <w:sz w:val="20"/>
          <w:szCs w:val="20"/>
        </w:rPr>
        <w:t>rformance</w:t>
      </w:r>
      <w:r w:rsidR="00990444">
        <w:rPr>
          <w:rFonts w:ascii="Arial" w:hAnsi="Arial"/>
          <w:color w:val="1F497D" w:themeColor="text2"/>
          <w:sz w:val="20"/>
          <w:szCs w:val="20"/>
        </w:rPr>
        <w:t xml:space="preserve"> reports to SPAA Ltd</w:t>
      </w:r>
    </w:p>
    <w:p w14:paraId="0C45CF1A" w14:textId="1D6D557C" w:rsidR="00990444" w:rsidRDefault="00990444" w:rsidP="00990444">
      <w:pPr>
        <w:pStyle w:val="GSBodyParawithnumb"/>
        <w:numPr>
          <w:ilvl w:val="0"/>
          <w:numId w:val="27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The data</w:t>
      </w:r>
      <w:r w:rsidR="00F25216">
        <w:rPr>
          <w:rFonts w:ascii="Arial" w:hAnsi="Arial"/>
          <w:color w:val="1F497D" w:themeColor="text2"/>
          <w:sz w:val="20"/>
          <w:szCs w:val="20"/>
        </w:rPr>
        <w:t xml:space="preserve"> requested for these reports is</w:t>
      </w:r>
      <w:r>
        <w:rPr>
          <w:rFonts w:ascii="Arial" w:hAnsi="Arial"/>
          <w:color w:val="1F497D" w:themeColor="text2"/>
          <w:sz w:val="20"/>
          <w:szCs w:val="20"/>
        </w:rPr>
        <w:t xml:space="preserve"> already </w:t>
      </w:r>
      <w:r w:rsidR="001D4D2B">
        <w:rPr>
          <w:rFonts w:ascii="Arial" w:hAnsi="Arial"/>
          <w:color w:val="1F497D" w:themeColor="text2"/>
          <w:sz w:val="20"/>
          <w:szCs w:val="20"/>
        </w:rPr>
        <w:t xml:space="preserve">available to Suppliers </w:t>
      </w:r>
      <w:r w:rsidR="00F25216">
        <w:rPr>
          <w:rFonts w:ascii="Arial" w:hAnsi="Arial"/>
          <w:color w:val="1F497D" w:themeColor="text2"/>
          <w:sz w:val="20"/>
          <w:szCs w:val="20"/>
        </w:rPr>
        <w:t xml:space="preserve">via </w:t>
      </w:r>
      <w:r w:rsidR="001D4D2B">
        <w:rPr>
          <w:rFonts w:ascii="Arial" w:hAnsi="Arial"/>
          <w:color w:val="1F497D" w:themeColor="text2"/>
          <w:sz w:val="20"/>
          <w:szCs w:val="20"/>
        </w:rPr>
        <w:t xml:space="preserve">DES </w:t>
      </w:r>
    </w:p>
    <w:p w14:paraId="0749CD4D" w14:textId="23C82433" w:rsidR="00990444" w:rsidRDefault="00990444" w:rsidP="00990444">
      <w:pPr>
        <w:pStyle w:val="GSBodyParawithnumb"/>
        <w:numPr>
          <w:ilvl w:val="0"/>
          <w:numId w:val="27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The data already available to MAMs through Mod</w:t>
      </w:r>
      <w:r w:rsidR="001D4D2B">
        <w:rPr>
          <w:rFonts w:ascii="Arial" w:hAnsi="Arial"/>
          <w:color w:val="1F497D" w:themeColor="text2"/>
          <w:sz w:val="20"/>
          <w:szCs w:val="20"/>
        </w:rPr>
        <w:t>ifications</w:t>
      </w:r>
      <w:r>
        <w:rPr>
          <w:rFonts w:ascii="Arial" w:hAnsi="Arial"/>
          <w:color w:val="1F497D" w:themeColor="text2"/>
          <w:sz w:val="20"/>
          <w:szCs w:val="20"/>
        </w:rPr>
        <w:t xml:space="preserve"> 0297 and 0386 reports </w:t>
      </w:r>
      <w:r w:rsidR="00F25216">
        <w:rPr>
          <w:rFonts w:ascii="Arial" w:hAnsi="Arial"/>
          <w:color w:val="1F497D" w:themeColor="text2"/>
          <w:sz w:val="20"/>
          <w:szCs w:val="20"/>
        </w:rPr>
        <w:t xml:space="preserve">but </w:t>
      </w:r>
      <w:r>
        <w:rPr>
          <w:rFonts w:ascii="Arial" w:hAnsi="Arial"/>
          <w:color w:val="1F497D" w:themeColor="text2"/>
          <w:sz w:val="20"/>
          <w:szCs w:val="20"/>
        </w:rPr>
        <w:t>pro</w:t>
      </w:r>
      <w:r w:rsidR="001D4D2B">
        <w:rPr>
          <w:rFonts w:ascii="Arial" w:hAnsi="Arial"/>
          <w:color w:val="1F497D" w:themeColor="text2"/>
          <w:sz w:val="20"/>
          <w:szCs w:val="20"/>
        </w:rPr>
        <w:t>vided in a different format</w:t>
      </w:r>
      <w:r>
        <w:rPr>
          <w:rFonts w:ascii="Arial" w:hAnsi="Arial"/>
          <w:color w:val="1F497D" w:themeColor="text2"/>
          <w:sz w:val="20"/>
          <w:szCs w:val="20"/>
        </w:rPr>
        <w:t xml:space="preserve"> </w:t>
      </w:r>
    </w:p>
    <w:p w14:paraId="3965E99F" w14:textId="77777777" w:rsidR="00D20717" w:rsidRDefault="00D20717" w:rsidP="00990444">
      <w:pPr>
        <w:pStyle w:val="GSBodyParawithnumb"/>
        <w:numPr>
          <w:ilvl w:val="0"/>
          <w:numId w:val="0"/>
        </w:numPr>
        <w:spacing w:before="0" w:after="0" w:line="240" w:lineRule="auto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4A1786A6" w14:textId="62CB6FA6" w:rsidR="00990444" w:rsidRPr="00990444" w:rsidRDefault="00990444" w:rsidP="00303B1F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18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>Upon s</w:t>
      </w:r>
      <w:r w:rsidRPr="00D20717">
        <w:rPr>
          <w:rFonts w:ascii="Arial" w:hAnsi="Arial"/>
          <w:color w:val="1F497D" w:themeColor="text2"/>
          <w:sz w:val="20"/>
          <w:szCs w:val="20"/>
        </w:rPr>
        <w:t>uch approval</w:t>
      </w:r>
      <w:r>
        <w:rPr>
          <w:rFonts w:ascii="Arial" w:hAnsi="Arial"/>
          <w:color w:val="1F497D" w:themeColor="text2"/>
          <w:sz w:val="20"/>
          <w:szCs w:val="20"/>
        </w:rPr>
        <w:t>,</w:t>
      </w:r>
      <w:r w:rsidRPr="00D20717">
        <w:rPr>
          <w:rFonts w:ascii="Arial" w:hAnsi="Arial"/>
          <w:color w:val="1F497D" w:themeColor="text2"/>
          <w:sz w:val="20"/>
          <w:szCs w:val="20"/>
        </w:rPr>
        <w:t xml:space="preserve"> Xoserve</w:t>
      </w:r>
      <w:r w:rsidR="00CC7885">
        <w:rPr>
          <w:rFonts w:ascii="Arial" w:hAnsi="Arial"/>
          <w:color w:val="1F497D" w:themeColor="text2"/>
          <w:sz w:val="20"/>
          <w:szCs w:val="20"/>
        </w:rPr>
        <w:t xml:space="preserve"> Ltd</w:t>
      </w:r>
      <w:r w:rsidRPr="00D20717">
        <w:rPr>
          <w:rFonts w:ascii="Arial" w:hAnsi="Arial"/>
          <w:color w:val="1F497D" w:themeColor="text2"/>
          <w:sz w:val="20"/>
          <w:szCs w:val="20"/>
        </w:rPr>
        <w:t xml:space="preserve"> will </w:t>
      </w:r>
      <w:r>
        <w:rPr>
          <w:rFonts w:ascii="Arial" w:hAnsi="Arial"/>
          <w:color w:val="1F497D" w:themeColor="text2"/>
          <w:sz w:val="20"/>
          <w:szCs w:val="20"/>
        </w:rPr>
        <w:t>contract with SPAA Ltd in order to deliver the service as per Schedule 22.</w:t>
      </w:r>
    </w:p>
    <w:p w14:paraId="6A2361AE" w14:textId="03955B8F" w:rsidR="00990444" w:rsidRPr="00990444" w:rsidRDefault="00990444" w:rsidP="00990444">
      <w:pPr>
        <w:pStyle w:val="GSBodyParawithnumb"/>
        <w:numPr>
          <w:ilvl w:val="0"/>
          <w:numId w:val="0"/>
        </w:numPr>
        <w:spacing w:before="0" w:after="0" w:line="240" w:lineRule="auto"/>
        <w:ind w:left="360"/>
        <w:jc w:val="both"/>
        <w:rPr>
          <w:rFonts w:ascii="Arial" w:hAnsi="Arial"/>
          <w:color w:val="1F497D" w:themeColor="text2"/>
          <w:sz w:val="18"/>
          <w:szCs w:val="20"/>
        </w:rPr>
      </w:pPr>
      <w:r w:rsidRPr="00D20717">
        <w:rPr>
          <w:rFonts w:ascii="Arial" w:hAnsi="Arial"/>
          <w:color w:val="1F497D" w:themeColor="text2"/>
          <w:sz w:val="20"/>
          <w:szCs w:val="20"/>
        </w:rPr>
        <w:t xml:space="preserve">  </w:t>
      </w:r>
    </w:p>
    <w:p w14:paraId="724B17BA" w14:textId="77777777" w:rsidR="00303B1F" w:rsidRPr="00303B1F" w:rsidRDefault="000F78CB" w:rsidP="00303B1F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18"/>
          <w:szCs w:val="20"/>
        </w:rPr>
      </w:pPr>
      <w:r w:rsidRPr="00454EC6">
        <w:rPr>
          <w:rFonts w:ascii="Arial" w:hAnsi="Arial"/>
          <w:color w:val="1F497D" w:themeColor="text2"/>
          <w:sz w:val="20"/>
        </w:rPr>
        <w:t xml:space="preserve">As per the DSC </w:t>
      </w:r>
      <w:r w:rsidR="00D76F50" w:rsidRPr="00454EC6">
        <w:rPr>
          <w:rFonts w:ascii="Arial" w:hAnsi="Arial"/>
          <w:color w:val="1F497D" w:themeColor="text2"/>
          <w:sz w:val="20"/>
        </w:rPr>
        <w:t xml:space="preserve">Contract Management Arrangement </w:t>
      </w:r>
      <w:r w:rsidRPr="00454EC6">
        <w:rPr>
          <w:rFonts w:ascii="Arial" w:hAnsi="Arial"/>
          <w:color w:val="1F497D" w:themeColor="text2"/>
          <w:sz w:val="20"/>
        </w:rPr>
        <w:t>clause 6.3 – Informati</w:t>
      </w:r>
      <w:r w:rsidR="00D76F50" w:rsidRPr="00454EC6">
        <w:rPr>
          <w:rFonts w:ascii="Arial" w:hAnsi="Arial"/>
          <w:color w:val="1F497D" w:themeColor="text2"/>
          <w:sz w:val="20"/>
        </w:rPr>
        <w:t>on Disclosure</w:t>
      </w:r>
      <w:r w:rsidRPr="00454EC6">
        <w:rPr>
          <w:rFonts w:ascii="Arial" w:hAnsi="Arial"/>
          <w:color w:val="1F497D" w:themeColor="text2"/>
          <w:sz w:val="20"/>
        </w:rPr>
        <w:t>, the CDSP will provide the information requested</w:t>
      </w:r>
      <w:r w:rsidR="00F642F7" w:rsidRPr="00454EC6">
        <w:rPr>
          <w:rFonts w:ascii="Arial" w:hAnsi="Arial"/>
          <w:color w:val="1F497D" w:themeColor="text2"/>
          <w:sz w:val="20"/>
        </w:rPr>
        <w:t xml:space="preserve"> by a third party</w:t>
      </w:r>
      <w:r w:rsidRPr="00454EC6">
        <w:rPr>
          <w:rFonts w:ascii="Arial" w:hAnsi="Arial"/>
          <w:color w:val="1F497D" w:themeColor="text2"/>
          <w:sz w:val="20"/>
        </w:rPr>
        <w:t xml:space="preserve"> only as and to the extent approved by the Committee. Please note that the approval received within the CoMC and </w:t>
      </w:r>
      <w:r w:rsidR="00451DD5" w:rsidRPr="00454EC6">
        <w:rPr>
          <w:rFonts w:ascii="Arial" w:hAnsi="Arial"/>
          <w:color w:val="1F497D" w:themeColor="text2"/>
          <w:sz w:val="20"/>
        </w:rPr>
        <w:t>documented</w:t>
      </w:r>
      <w:r w:rsidRPr="00454EC6">
        <w:rPr>
          <w:rFonts w:ascii="Arial" w:hAnsi="Arial"/>
          <w:color w:val="1F497D" w:themeColor="text2"/>
          <w:sz w:val="20"/>
        </w:rPr>
        <w:t xml:space="preserve"> within the meeting minutes will be used as the formal permissions to release this data</w:t>
      </w:r>
      <w:r w:rsidR="00451DD5" w:rsidRPr="00454EC6">
        <w:rPr>
          <w:rFonts w:ascii="Arial" w:hAnsi="Arial"/>
          <w:color w:val="1F497D" w:themeColor="text2"/>
          <w:sz w:val="20"/>
        </w:rPr>
        <w:t>.</w:t>
      </w:r>
      <w:r w:rsidRPr="00454EC6">
        <w:rPr>
          <w:rFonts w:ascii="Arial" w:hAnsi="Arial"/>
          <w:color w:val="1F497D" w:themeColor="text2"/>
          <w:sz w:val="20"/>
        </w:rPr>
        <w:t xml:space="preserve"> </w:t>
      </w:r>
    </w:p>
    <w:p w14:paraId="6004EFFD" w14:textId="77777777" w:rsidR="00303B1F" w:rsidRDefault="00303B1F" w:rsidP="00303B1F">
      <w:pPr>
        <w:pStyle w:val="GSBodyParawithnumb"/>
        <w:numPr>
          <w:ilvl w:val="0"/>
          <w:numId w:val="0"/>
        </w:numPr>
        <w:spacing w:before="0" w:after="0" w:line="240" w:lineRule="auto"/>
        <w:ind w:left="360"/>
        <w:jc w:val="both"/>
        <w:rPr>
          <w:rFonts w:ascii="Arial" w:hAnsi="Arial"/>
          <w:color w:val="1F497D" w:themeColor="text2"/>
          <w:sz w:val="18"/>
          <w:szCs w:val="20"/>
        </w:rPr>
      </w:pPr>
    </w:p>
    <w:p w14:paraId="1B2C7DB9" w14:textId="60A820DB" w:rsidR="00303B1F" w:rsidRPr="00303B1F" w:rsidRDefault="00303B1F" w:rsidP="00303B1F">
      <w:pPr>
        <w:pStyle w:val="GSBodyParawithnumb"/>
        <w:numPr>
          <w:ilvl w:val="1"/>
          <w:numId w:val="11"/>
        </w:numPr>
        <w:spacing w:before="0" w:after="0" w:line="240" w:lineRule="auto"/>
        <w:jc w:val="both"/>
        <w:rPr>
          <w:rFonts w:ascii="Arial" w:hAnsi="Arial"/>
          <w:color w:val="1F497D" w:themeColor="text2"/>
          <w:sz w:val="18"/>
          <w:szCs w:val="20"/>
        </w:rPr>
      </w:pPr>
      <w:r w:rsidRPr="00303B1F">
        <w:rPr>
          <w:rFonts w:ascii="Arial" w:hAnsi="Arial"/>
          <w:color w:val="1F497D" w:themeColor="text2"/>
          <w:sz w:val="20"/>
          <w:szCs w:val="20"/>
        </w:rPr>
        <w:t xml:space="preserve">If the proposal is not approved by the Contract Management Committee, Xoserve will not be able to provide this service to </w:t>
      </w:r>
      <w:r>
        <w:rPr>
          <w:rFonts w:ascii="Arial" w:hAnsi="Arial"/>
          <w:color w:val="1F497D" w:themeColor="text2"/>
          <w:sz w:val="20"/>
          <w:szCs w:val="20"/>
        </w:rPr>
        <w:t>SPAA Ltd</w:t>
      </w:r>
      <w:r w:rsidRPr="00303B1F">
        <w:rPr>
          <w:rFonts w:ascii="Arial" w:hAnsi="Arial"/>
          <w:color w:val="1F497D" w:themeColor="text2"/>
          <w:sz w:val="20"/>
          <w:szCs w:val="20"/>
        </w:rPr>
        <w:t xml:space="preserve">. </w:t>
      </w:r>
    </w:p>
    <w:p w14:paraId="2FA1F4BD" w14:textId="77777777" w:rsidR="00917AB8" w:rsidRPr="001745B9" w:rsidRDefault="00917AB8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5C33F26B" w14:textId="77777777" w:rsidR="00B82987" w:rsidRPr="001745B9" w:rsidRDefault="00B82987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2D854E1B" w14:textId="77777777" w:rsidR="00D755EA" w:rsidRDefault="00D755EA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0E8D053D" w14:textId="77DB2773" w:rsidR="002A3B53" w:rsidRDefault="009F01B0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color w:val="1F497D" w:themeColor="text2"/>
          <w:sz w:val="20"/>
          <w:szCs w:val="20"/>
        </w:rPr>
        <w:t xml:space="preserve">. </w:t>
      </w:r>
    </w:p>
    <w:p w14:paraId="711CE689" w14:textId="77777777" w:rsidR="009F01B0" w:rsidRDefault="009F01B0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CC5143F" w14:textId="77777777" w:rsidR="009F01B0" w:rsidRDefault="009F01B0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118F9D36" w14:textId="77777777" w:rsidR="0057493C" w:rsidRPr="002A3B53" w:rsidRDefault="0057493C" w:rsidP="002A3B53">
      <w:pPr>
        <w:pStyle w:val="GSBodyParawithnumb"/>
        <w:numPr>
          <w:ilvl w:val="0"/>
          <w:numId w:val="0"/>
        </w:numPr>
        <w:spacing w:before="0" w:after="0" w:line="240" w:lineRule="auto"/>
        <w:ind w:left="567" w:hanging="567"/>
        <w:jc w:val="both"/>
        <w:rPr>
          <w:rFonts w:ascii="Arial" w:hAnsi="Arial"/>
          <w:color w:val="1F497D" w:themeColor="text2"/>
          <w:sz w:val="20"/>
          <w:szCs w:val="20"/>
        </w:rPr>
      </w:pPr>
    </w:p>
    <w:p w14:paraId="7F2F7114" w14:textId="77777777" w:rsidR="0057493C" w:rsidRDefault="0057493C" w:rsidP="0057493C">
      <w:pPr>
        <w:pStyle w:val="GSBodyParawithnumb"/>
        <w:numPr>
          <w:ilvl w:val="0"/>
          <w:numId w:val="0"/>
        </w:numPr>
        <w:spacing w:before="0" w:after="0" w:line="240" w:lineRule="auto"/>
        <w:jc w:val="center"/>
        <w:rPr>
          <w:rFonts w:ascii="Arial" w:hAnsi="Arial"/>
          <w:b/>
          <w:color w:val="1F497D" w:themeColor="text2"/>
          <w:sz w:val="20"/>
          <w:szCs w:val="20"/>
        </w:rPr>
      </w:pPr>
    </w:p>
    <w:p w14:paraId="5A120A4B" w14:textId="77777777" w:rsidR="0057493C" w:rsidRDefault="0057493C" w:rsidP="0057493C">
      <w:pPr>
        <w:pStyle w:val="GSBodyParawithnumb"/>
        <w:numPr>
          <w:ilvl w:val="0"/>
          <w:numId w:val="0"/>
        </w:numPr>
        <w:spacing w:before="0" w:after="0" w:line="240" w:lineRule="auto"/>
        <w:jc w:val="center"/>
        <w:rPr>
          <w:rFonts w:ascii="Arial" w:hAnsi="Arial"/>
          <w:b/>
          <w:color w:val="1F497D" w:themeColor="text2"/>
          <w:sz w:val="20"/>
          <w:szCs w:val="20"/>
        </w:rPr>
      </w:pPr>
    </w:p>
    <w:p w14:paraId="1FE09F12" w14:textId="77777777" w:rsidR="002A3B53" w:rsidRPr="0009310C" w:rsidRDefault="002A3B53" w:rsidP="0009310C">
      <w:pPr>
        <w:pStyle w:val="GSBodyParawithnumb"/>
        <w:numPr>
          <w:ilvl w:val="0"/>
          <w:numId w:val="0"/>
        </w:numPr>
        <w:spacing w:before="0" w:after="0" w:line="240" w:lineRule="auto"/>
        <w:ind w:left="851" w:hanging="567"/>
        <w:jc w:val="both"/>
        <w:rPr>
          <w:rFonts w:ascii="Arial" w:hAnsi="Arial"/>
          <w:b/>
          <w:color w:val="1F497D" w:themeColor="text2"/>
          <w:sz w:val="20"/>
          <w:szCs w:val="20"/>
        </w:rPr>
      </w:pPr>
    </w:p>
    <w:p w14:paraId="47D72C85" w14:textId="77777777" w:rsidR="00BC312D" w:rsidRPr="00BC312D" w:rsidRDefault="00BC312D" w:rsidP="0071580D">
      <w:pPr>
        <w:pStyle w:val="GSBodyParawithnumb"/>
        <w:numPr>
          <w:ilvl w:val="0"/>
          <w:numId w:val="0"/>
        </w:numPr>
        <w:jc w:val="both"/>
        <w:rPr>
          <w:rFonts w:ascii="Arial" w:hAnsi="Arial"/>
          <w:b/>
          <w:color w:val="1F497D" w:themeColor="text2"/>
          <w:sz w:val="24"/>
        </w:rPr>
      </w:pPr>
    </w:p>
    <w:p w14:paraId="5093AEF1" w14:textId="4624DF65" w:rsidR="00C849F7" w:rsidRPr="00BC27E2" w:rsidRDefault="00C849F7" w:rsidP="00C849F7">
      <w:pPr>
        <w:rPr>
          <w:color w:val="1F497D" w:themeColor="text2"/>
          <w:sz w:val="22"/>
        </w:rPr>
      </w:pPr>
    </w:p>
    <w:sectPr w:rsidR="00C849F7" w:rsidRPr="00BC27E2" w:rsidSect="005C6F5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61E7B9" w15:done="0"/>
  <w15:commentEx w15:paraId="0197E92A" w15:done="0"/>
  <w15:commentEx w15:paraId="464C074F" w15:done="0"/>
  <w15:commentEx w15:paraId="746A3F32" w15:done="0"/>
  <w15:commentEx w15:paraId="2E0787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1E7B9" w16cid:durableId="1EF17CB3"/>
  <w16cid:commentId w16cid:paraId="0197E92A" w16cid:durableId="1EF18222"/>
  <w16cid:commentId w16cid:paraId="464C074F" w16cid:durableId="1EF18016"/>
  <w16cid:commentId w16cid:paraId="746A3F32" w16cid:durableId="1EF183B0"/>
  <w16cid:commentId w16cid:paraId="2E078750" w16cid:durableId="1EF184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12690" w14:textId="77777777" w:rsidR="0074445D" w:rsidRDefault="0074445D" w:rsidP="00913EF2">
      <w:pPr>
        <w:spacing w:after="0" w:line="240" w:lineRule="auto"/>
      </w:pPr>
      <w:r>
        <w:separator/>
      </w:r>
    </w:p>
  </w:endnote>
  <w:endnote w:type="continuationSeparator" w:id="0">
    <w:p w14:paraId="728D24F8" w14:textId="77777777" w:rsidR="0074445D" w:rsidRDefault="0074445D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0FE4" w14:textId="77777777" w:rsidR="004052A6" w:rsidRDefault="004052A6">
    <w:pPr>
      <w:pStyle w:val="Footer"/>
      <w:rPr>
        <w:color w:val="1F497D" w:themeColor="text2"/>
        <w:sz w:val="18"/>
        <w:vertAlign w:val="superscript"/>
      </w:rPr>
    </w:pPr>
  </w:p>
  <w:p w14:paraId="70FAC592" w14:textId="0960FC95" w:rsidR="00193C42" w:rsidRPr="00994D8A" w:rsidRDefault="00193C42">
    <w:pPr>
      <w:pStyle w:val="Footer"/>
      <w:rPr>
        <w:color w:val="1F497D" w:themeColor="text2"/>
        <w:sz w:val="18"/>
      </w:rPr>
    </w:pPr>
    <w:r w:rsidRPr="00481640">
      <w:rPr>
        <w:color w:val="1F497D" w:themeColor="text2"/>
        <w:sz w:val="18"/>
        <w:vertAlign w:val="superscript"/>
      </w:rPr>
      <w:t>1</w:t>
    </w:r>
    <w:r w:rsidRPr="00481640">
      <w:rPr>
        <w:color w:val="1F497D" w:themeColor="text2"/>
        <w:sz w:val="18"/>
      </w:rPr>
      <w:t xml:space="preserve">Link to </w:t>
    </w:r>
    <w:hyperlink r:id="rId1" w:history="1">
      <w:r w:rsidR="00994D8A">
        <w:rPr>
          <w:rStyle w:val="Hyperlink"/>
          <w:sz w:val="18"/>
        </w:rPr>
        <w:t>SPAA Website</w:t>
      </w:r>
    </w:hyperlink>
    <w:r w:rsidR="00994D8A">
      <w:rPr>
        <w:color w:val="1F497D" w:themeColor="text2"/>
        <w:sz w:val="18"/>
      </w:rPr>
      <w:t xml:space="preserve"> to</w:t>
    </w:r>
    <w:r w:rsidR="004052A6">
      <w:rPr>
        <w:sz w:val="18"/>
      </w:rPr>
      <w:t xml:space="preserve"> </w:t>
    </w:r>
    <w:r w:rsidR="00994D8A">
      <w:rPr>
        <w:color w:val="1F497D" w:themeColor="text2"/>
        <w:sz w:val="18"/>
      </w:rPr>
      <w:t>access the updated Schedule 22 going live on 02 November 2018.</w:t>
    </w:r>
  </w:p>
  <w:p w14:paraId="09E35FD6" w14:textId="77777777" w:rsidR="00193C42" w:rsidRPr="00193C42" w:rsidRDefault="00193C42">
    <w:pPr>
      <w:pStyle w:val="Footer"/>
    </w:pPr>
  </w:p>
  <w:p w14:paraId="56640E6D" w14:textId="77777777" w:rsidR="005C6F5E" w:rsidRDefault="005C6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6D50" w14:textId="77777777" w:rsidR="0074445D" w:rsidRDefault="0074445D" w:rsidP="00913EF2">
      <w:pPr>
        <w:spacing w:after="0" w:line="240" w:lineRule="auto"/>
      </w:pPr>
      <w:r>
        <w:separator/>
      </w:r>
    </w:p>
  </w:footnote>
  <w:footnote w:type="continuationSeparator" w:id="0">
    <w:p w14:paraId="6E1601DE" w14:textId="77777777" w:rsidR="0074445D" w:rsidRDefault="0074445D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E1447B" w:rsidRDefault="0074445D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EC12" w14:textId="42134E13" w:rsidR="009E658A" w:rsidRPr="00481640" w:rsidRDefault="009E658A">
    <w:pPr>
      <w:pStyle w:val="Header"/>
      <w:rPr>
        <w:color w:val="1F497D" w:themeColor="text2"/>
      </w:rPr>
    </w:pPr>
    <w:r w:rsidRPr="00481640">
      <w:rPr>
        <w:color w:val="1F497D" w:themeColor="text2"/>
      </w:rPr>
      <w:t>Contract Management Committee</w:t>
    </w:r>
  </w:p>
  <w:p w14:paraId="3444BDCB" w14:textId="0F1FD5FB" w:rsidR="00E1447B" w:rsidRDefault="001E129F">
    <w:pPr>
      <w:pStyle w:val="Header"/>
    </w:pPr>
    <w:r>
      <w:rPr>
        <w:color w:val="1F497D" w:themeColor="text2"/>
      </w:rPr>
      <w:t>Date: 23.07</w:t>
    </w:r>
    <w:r w:rsidR="004B5474" w:rsidRPr="00481640">
      <w:rPr>
        <w:color w:val="1F497D" w:themeColor="text2"/>
      </w:rPr>
      <w:t>.201</w:t>
    </w:r>
    <w:r w:rsidR="004052A6" w:rsidRPr="00481640">
      <w:rPr>
        <w:color w:val="1F497D" w:themeColor="text2"/>
      </w:rPr>
      <w:t>8</w:t>
    </w:r>
    <w:r w:rsidR="0074445D"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E1447B" w:rsidRDefault="0074445D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47E"/>
    <w:multiLevelType w:val="hybridMultilevel"/>
    <w:tmpl w:val="27B6D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46E30"/>
    <w:multiLevelType w:val="multilevel"/>
    <w:tmpl w:val="83FA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pStyle w:val="GSBodyPar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14844C8D"/>
    <w:multiLevelType w:val="hybridMultilevel"/>
    <w:tmpl w:val="F4226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B1C2F"/>
    <w:multiLevelType w:val="hybridMultilevel"/>
    <w:tmpl w:val="63B0CC56"/>
    <w:lvl w:ilvl="0" w:tplc="BB64A4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E682B5B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556EC9"/>
    <w:multiLevelType w:val="hybridMultilevel"/>
    <w:tmpl w:val="C07603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4656B"/>
    <w:multiLevelType w:val="hybridMultilevel"/>
    <w:tmpl w:val="984C2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1765A"/>
    <w:multiLevelType w:val="hybridMultilevel"/>
    <w:tmpl w:val="3BA82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7FA8"/>
    <w:multiLevelType w:val="multilevel"/>
    <w:tmpl w:val="6F9C2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7635E9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701F69"/>
    <w:multiLevelType w:val="hybridMultilevel"/>
    <w:tmpl w:val="7880649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596FC9"/>
    <w:multiLevelType w:val="hybridMultilevel"/>
    <w:tmpl w:val="D520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92E62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6A22DB"/>
    <w:multiLevelType w:val="hybridMultilevel"/>
    <w:tmpl w:val="3E28E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721D5"/>
    <w:multiLevelType w:val="multilevel"/>
    <w:tmpl w:val="C682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1F497D" w:themeColor="text2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343076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3474BD9"/>
    <w:multiLevelType w:val="hybridMultilevel"/>
    <w:tmpl w:val="0D140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96E88"/>
    <w:multiLevelType w:val="multilevel"/>
    <w:tmpl w:val="3FF0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BE7453"/>
    <w:multiLevelType w:val="hybridMultilevel"/>
    <w:tmpl w:val="A720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10585"/>
    <w:multiLevelType w:val="multilevel"/>
    <w:tmpl w:val="902A2696"/>
    <w:lvl w:ilvl="0">
      <w:start w:val="1"/>
      <w:numFmt w:val="decimal"/>
      <w:pStyle w:val="GSHeading1withnumb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9"/>
    <w:lvlOverride w:ilvl="0">
      <w:startOverride w:val="2"/>
    </w:lvlOverride>
    <w:lvlOverride w:ilvl="1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</w:num>
  <w:num w:numId="9">
    <w:abstractNumId w:val="19"/>
    <w:lvlOverride w:ilvl="0">
      <w:startOverride w:val="2"/>
    </w:lvlOverride>
    <w:lvlOverride w:ilvl="1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17"/>
  </w:num>
  <w:num w:numId="17">
    <w:abstractNumId w:val="4"/>
  </w:num>
  <w:num w:numId="18">
    <w:abstractNumId w:val="9"/>
  </w:num>
  <w:num w:numId="19">
    <w:abstractNumId w:val="12"/>
  </w:num>
  <w:num w:numId="20">
    <w:abstractNumId w:val="15"/>
  </w:num>
  <w:num w:numId="21">
    <w:abstractNumId w:val="5"/>
  </w:num>
  <w:num w:numId="22">
    <w:abstractNumId w:val="16"/>
  </w:num>
  <w:num w:numId="23">
    <w:abstractNumId w:val="3"/>
  </w:num>
  <w:num w:numId="24">
    <w:abstractNumId w:val="18"/>
  </w:num>
  <w:num w:numId="25">
    <w:abstractNumId w:val="10"/>
  </w:num>
  <w:num w:numId="26">
    <w:abstractNumId w:val="0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dley, Kirsty">
    <w15:presenceInfo w15:providerId="AD" w15:userId="S-1-5-21-1829976490-38137488-3687828710-107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16AD"/>
    <w:rsid w:val="00012A85"/>
    <w:rsid w:val="0005112D"/>
    <w:rsid w:val="0009310C"/>
    <w:rsid w:val="0009447C"/>
    <w:rsid w:val="000A1F4B"/>
    <w:rsid w:val="000C744C"/>
    <w:rsid w:val="000F00EC"/>
    <w:rsid w:val="000F78CB"/>
    <w:rsid w:val="001039C4"/>
    <w:rsid w:val="001312D7"/>
    <w:rsid w:val="001745B9"/>
    <w:rsid w:val="00193C42"/>
    <w:rsid w:val="001944D2"/>
    <w:rsid w:val="001A0B93"/>
    <w:rsid w:val="001D4D2B"/>
    <w:rsid w:val="001E129F"/>
    <w:rsid w:val="001F57D9"/>
    <w:rsid w:val="002058B9"/>
    <w:rsid w:val="00214089"/>
    <w:rsid w:val="00241D24"/>
    <w:rsid w:val="002427E0"/>
    <w:rsid w:val="00274B43"/>
    <w:rsid w:val="002A3B53"/>
    <w:rsid w:val="002E2C40"/>
    <w:rsid w:val="003006EC"/>
    <w:rsid w:val="00303B1F"/>
    <w:rsid w:val="003147FB"/>
    <w:rsid w:val="00344012"/>
    <w:rsid w:val="00395B62"/>
    <w:rsid w:val="003D1F50"/>
    <w:rsid w:val="003D364A"/>
    <w:rsid w:val="003D7CE0"/>
    <w:rsid w:val="004052A6"/>
    <w:rsid w:val="00423E96"/>
    <w:rsid w:val="00450E95"/>
    <w:rsid w:val="00451DD5"/>
    <w:rsid w:val="00454EC6"/>
    <w:rsid w:val="004616DD"/>
    <w:rsid w:val="00474FE9"/>
    <w:rsid w:val="00481640"/>
    <w:rsid w:val="004A64D7"/>
    <w:rsid w:val="004B5474"/>
    <w:rsid w:val="0057493C"/>
    <w:rsid w:val="005C6F5E"/>
    <w:rsid w:val="006221B9"/>
    <w:rsid w:val="006352A9"/>
    <w:rsid w:val="006811FF"/>
    <w:rsid w:val="00690F8E"/>
    <w:rsid w:val="006D2472"/>
    <w:rsid w:val="006F753B"/>
    <w:rsid w:val="0071580D"/>
    <w:rsid w:val="007242DD"/>
    <w:rsid w:val="0074445D"/>
    <w:rsid w:val="007548DF"/>
    <w:rsid w:val="00770307"/>
    <w:rsid w:val="00804209"/>
    <w:rsid w:val="00807685"/>
    <w:rsid w:val="00816C17"/>
    <w:rsid w:val="00831B60"/>
    <w:rsid w:val="008A3A58"/>
    <w:rsid w:val="008C1E70"/>
    <w:rsid w:val="008D5C1F"/>
    <w:rsid w:val="008D636F"/>
    <w:rsid w:val="008E46AB"/>
    <w:rsid w:val="008E7DCA"/>
    <w:rsid w:val="009000E5"/>
    <w:rsid w:val="00913EF2"/>
    <w:rsid w:val="00917AB8"/>
    <w:rsid w:val="009625C7"/>
    <w:rsid w:val="009644B6"/>
    <w:rsid w:val="00987A39"/>
    <w:rsid w:val="00990444"/>
    <w:rsid w:val="00994D8A"/>
    <w:rsid w:val="009E658A"/>
    <w:rsid w:val="009E7BA8"/>
    <w:rsid w:val="009F01B0"/>
    <w:rsid w:val="00A11633"/>
    <w:rsid w:val="00A15437"/>
    <w:rsid w:val="00A17531"/>
    <w:rsid w:val="00A81659"/>
    <w:rsid w:val="00A86065"/>
    <w:rsid w:val="00AA6BC2"/>
    <w:rsid w:val="00AB1112"/>
    <w:rsid w:val="00AB191E"/>
    <w:rsid w:val="00AF199D"/>
    <w:rsid w:val="00B82987"/>
    <w:rsid w:val="00B930A2"/>
    <w:rsid w:val="00BB4040"/>
    <w:rsid w:val="00BC27E2"/>
    <w:rsid w:val="00BC312D"/>
    <w:rsid w:val="00C849F7"/>
    <w:rsid w:val="00CC7885"/>
    <w:rsid w:val="00D20717"/>
    <w:rsid w:val="00D21E12"/>
    <w:rsid w:val="00D22D52"/>
    <w:rsid w:val="00D4014E"/>
    <w:rsid w:val="00D7050A"/>
    <w:rsid w:val="00D755EA"/>
    <w:rsid w:val="00D76F50"/>
    <w:rsid w:val="00D76F5C"/>
    <w:rsid w:val="00D81EDF"/>
    <w:rsid w:val="00DB0958"/>
    <w:rsid w:val="00DB1091"/>
    <w:rsid w:val="00DE0015"/>
    <w:rsid w:val="00DE6425"/>
    <w:rsid w:val="00E1447B"/>
    <w:rsid w:val="00E40FD2"/>
    <w:rsid w:val="00E43137"/>
    <w:rsid w:val="00E470D4"/>
    <w:rsid w:val="00E85AF2"/>
    <w:rsid w:val="00EC5F4C"/>
    <w:rsid w:val="00F07E11"/>
    <w:rsid w:val="00F1444B"/>
    <w:rsid w:val="00F22715"/>
    <w:rsid w:val="00F25216"/>
    <w:rsid w:val="00F25CF3"/>
    <w:rsid w:val="00F642F7"/>
    <w:rsid w:val="00FA064C"/>
    <w:rsid w:val="00FA6B94"/>
    <w:rsid w:val="00FC15D6"/>
    <w:rsid w:val="00FC36A9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GSBodyParawithnumb">
    <w:name w:val="GS Body Para with numb"/>
    <w:basedOn w:val="Normal"/>
    <w:link w:val="GSBodyParawithnumbChar"/>
    <w:qFormat/>
    <w:rsid w:val="00D7050A"/>
    <w:pPr>
      <w:numPr>
        <w:ilvl w:val="1"/>
        <w:numId w:val="1"/>
      </w:numPr>
      <w:spacing w:before="60" w:after="180" w:line="260" w:lineRule="exact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paragraph" w:customStyle="1" w:styleId="GSHeading1withnumb">
    <w:name w:val="GS Heading 1 with numb"/>
    <w:basedOn w:val="Subtitle"/>
    <w:link w:val="GSHeading1withnumbChar"/>
    <w:qFormat/>
    <w:rsid w:val="00D7050A"/>
    <w:pPr>
      <w:numPr>
        <w:ilvl w:val="0"/>
        <w:numId w:val="1"/>
      </w:numPr>
      <w:pBdr>
        <w:bottom w:val="single" w:sz="2" w:space="5" w:color="92CDDC" w:themeColor="accent5" w:themeTint="99"/>
      </w:pBdr>
      <w:spacing w:before="40" w:after="80" w:line="280" w:lineRule="exact"/>
      <w:contextualSpacing/>
      <w:outlineLvl w:val="1"/>
    </w:pPr>
    <w:rPr>
      <w:rFonts w:asciiTheme="minorHAnsi" w:eastAsiaTheme="minorEastAsia" w:hAnsiTheme="minorHAnsi" w:cs="Arial"/>
      <w:i w:val="0"/>
      <w:iCs w:val="0"/>
      <w:color w:val="215868" w:themeColor="accent5" w:themeShade="80"/>
      <w:szCs w:val="40"/>
      <w:lang w:eastAsia="en-GB"/>
    </w:rPr>
  </w:style>
  <w:style w:type="character" w:customStyle="1" w:styleId="GSHeading1withnumbChar">
    <w:name w:val="GS Heading 1 with numb Char"/>
    <w:basedOn w:val="DefaultParagraphFont"/>
    <w:link w:val="GSHeading1withnumb"/>
    <w:rsid w:val="00D7050A"/>
    <w:rPr>
      <w:rFonts w:asciiTheme="minorHAnsi" w:eastAsiaTheme="minorEastAsia" w:hAnsiTheme="minorHAnsi" w:cs="Arial"/>
      <w:color w:val="215868" w:themeColor="accent5" w:themeShade="80"/>
      <w:spacing w:val="15"/>
      <w:sz w:val="24"/>
      <w:szCs w:val="4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0A"/>
    <w:pPr>
      <w:ind w:left="720"/>
      <w:contextualSpacing/>
    </w:pPr>
  </w:style>
  <w:style w:type="character" w:customStyle="1" w:styleId="GSBodyParawithnumbChar">
    <w:name w:val="GS Body Para with numb Char"/>
    <w:basedOn w:val="DefaultParagraphFont"/>
    <w:link w:val="GSBodyParawithnumb"/>
    <w:rsid w:val="00D7050A"/>
    <w:rPr>
      <w:rFonts w:asciiTheme="minorHAnsi" w:hAnsiTheme="minorHAnsi" w:cs="Arial"/>
      <w:color w:val="4D4D4D"/>
      <w:sz w:val="22"/>
      <w:szCs w:val="22"/>
    </w:rPr>
  </w:style>
  <w:style w:type="paragraph" w:customStyle="1" w:styleId="GSBodyParaBullet">
    <w:name w:val="GS Body Para Bullet"/>
    <w:basedOn w:val="Normal"/>
    <w:link w:val="GSBodyParaBulletChar"/>
    <w:qFormat/>
    <w:rsid w:val="00BC312D"/>
    <w:pPr>
      <w:numPr>
        <w:ilvl w:val="3"/>
        <w:numId w:val="12"/>
      </w:numPr>
      <w:tabs>
        <w:tab w:val="clear" w:pos="851"/>
        <w:tab w:val="num" w:pos="567"/>
      </w:tabs>
      <w:spacing w:before="60" w:after="120" w:line="320" w:lineRule="exact"/>
      <w:ind w:hanging="851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character" w:customStyle="1" w:styleId="GSBodyParaBulletChar">
    <w:name w:val="GS Body Para Bullet Char"/>
    <w:basedOn w:val="DefaultParagraphFont"/>
    <w:link w:val="GSBodyParaBullet"/>
    <w:rsid w:val="00BC312D"/>
    <w:rPr>
      <w:rFonts w:asciiTheme="minorHAnsi" w:hAnsiTheme="minorHAnsi" w:cs="Arial"/>
      <w:color w:val="4D4D4D"/>
      <w:sz w:val="22"/>
      <w:szCs w:val="22"/>
    </w:rPr>
  </w:style>
  <w:style w:type="paragraph" w:styleId="NoSpacing">
    <w:name w:val="No Spacing"/>
    <w:link w:val="NoSpacingChar"/>
    <w:uiPriority w:val="1"/>
    <w:qFormat/>
    <w:rsid w:val="005C6F5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6F5E"/>
    <w:rPr>
      <w:rFonts w:asciiTheme="minorHAnsi" w:eastAsiaTheme="minorEastAsia" w:hAnsiTheme="minorHAns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3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GSBodyParawithnumb">
    <w:name w:val="GS Body Para with numb"/>
    <w:basedOn w:val="Normal"/>
    <w:link w:val="GSBodyParawithnumbChar"/>
    <w:qFormat/>
    <w:rsid w:val="00D7050A"/>
    <w:pPr>
      <w:numPr>
        <w:ilvl w:val="1"/>
        <w:numId w:val="1"/>
      </w:numPr>
      <w:spacing w:before="60" w:after="180" w:line="260" w:lineRule="exact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paragraph" w:customStyle="1" w:styleId="GSHeading1withnumb">
    <w:name w:val="GS Heading 1 with numb"/>
    <w:basedOn w:val="Subtitle"/>
    <w:link w:val="GSHeading1withnumbChar"/>
    <w:qFormat/>
    <w:rsid w:val="00D7050A"/>
    <w:pPr>
      <w:numPr>
        <w:ilvl w:val="0"/>
        <w:numId w:val="1"/>
      </w:numPr>
      <w:pBdr>
        <w:bottom w:val="single" w:sz="2" w:space="5" w:color="92CDDC" w:themeColor="accent5" w:themeTint="99"/>
      </w:pBdr>
      <w:spacing w:before="40" w:after="80" w:line="280" w:lineRule="exact"/>
      <w:contextualSpacing/>
      <w:outlineLvl w:val="1"/>
    </w:pPr>
    <w:rPr>
      <w:rFonts w:asciiTheme="minorHAnsi" w:eastAsiaTheme="minorEastAsia" w:hAnsiTheme="minorHAnsi" w:cs="Arial"/>
      <w:i w:val="0"/>
      <w:iCs w:val="0"/>
      <w:color w:val="215868" w:themeColor="accent5" w:themeShade="80"/>
      <w:szCs w:val="40"/>
      <w:lang w:eastAsia="en-GB"/>
    </w:rPr>
  </w:style>
  <w:style w:type="character" w:customStyle="1" w:styleId="GSHeading1withnumbChar">
    <w:name w:val="GS Heading 1 with numb Char"/>
    <w:basedOn w:val="DefaultParagraphFont"/>
    <w:link w:val="GSHeading1withnumb"/>
    <w:rsid w:val="00D7050A"/>
    <w:rPr>
      <w:rFonts w:asciiTheme="minorHAnsi" w:eastAsiaTheme="minorEastAsia" w:hAnsiTheme="minorHAnsi" w:cs="Arial"/>
      <w:color w:val="215868" w:themeColor="accent5" w:themeShade="80"/>
      <w:spacing w:val="15"/>
      <w:sz w:val="24"/>
      <w:szCs w:val="4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0A"/>
    <w:pPr>
      <w:ind w:left="720"/>
      <w:contextualSpacing/>
    </w:pPr>
  </w:style>
  <w:style w:type="character" w:customStyle="1" w:styleId="GSBodyParawithnumbChar">
    <w:name w:val="GS Body Para with numb Char"/>
    <w:basedOn w:val="DefaultParagraphFont"/>
    <w:link w:val="GSBodyParawithnumb"/>
    <w:rsid w:val="00D7050A"/>
    <w:rPr>
      <w:rFonts w:asciiTheme="minorHAnsi" w:hAnsiTheme="minorHAnsi" w:cs="Arial"/>
      <w:color w:val="4D4D4D"/>
      <w:sz w:val="22"/>
      <w:szCs w:val="22"/>
    </w:rPr>
  </w:style>
  <w:style w:type="paragraph" w:customStyle="1" w:styleId="GSBodyParaBullet">
    <w:name w:val="GS Body Para Bullet"/>
    <w:basedOn w:val="Normal"/>
    <w:link w:val="GSBodyParaBulletChar"/>
    <w:qFormat/>
    <w:rsid w:val="00BC312D"/>
    <w:pPr>
      <w:numPr>
        <w:ilvl w:val="3"/>
        <w:numId w:val="12"/>
      </w:numPr>
      <w:tabs>
        <w:tab w:val="clear" w:pos="851"/>
        <w:tab w:val="num" w:pos="567"/>
      </w:tabs>
      <w:spacing w:before="60" w:after="120" w:line="320" w:lineRule="exact"/>
      <w:ind w:hanging="851"/>
      <w:contextualSpacing/>
      <w:outlineLvl w:val="1"/>
    </w:pPr>
    <w:rPr>
      <w:rFonts w:asciiTheme="minorHAnsi" w:hAnsiTheme="minorHAnsi" w:cs="Arial"/>
      <w:color w:val="4D4D4D"/>
      <w:sz w:val="22"/>
      <w:szCs w:val="22"/>
    </w:rPr>
  </w:style>
  <w:style w:type="character" w:customStyle="1" w:styleId="GSBodyParaBulletChar">
    <w:name w:val="GS Body Para Bullet Char"/>
    <w:basedOn w:val="DefaultParagraphFont"/>
    <w:link w:val="GSBodyParaBullet"/>
    <w:rsid w:val="00BC312D"/>
    <w:rPr>
      <w:rFonts w:asciiTheme="minorHAnsi" w:hAnsiTheme="minorHAnsi" w:cs="Arial"/>
      <w:color w:val="4D4D4D"/>
      <w:sz w:val="22"/>
      <w:szCs w:val="22"/>
    </w:rPr>
  </w:style>
  <w:style w:type="paragraph" w:styleId="NoSpacing">
    <w:name w:val="No Spacing"/>
    <w:link w:val="NoSpacingChar"/>
    <w:uiPriority w:val="1"/>
    <w:qFormat/>
    <w:rsid w:val="005C6F5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6F5E"/>
    <w:rPr>
      <w:rFonts w:asciiTheme="minorHAnsi" w:eastAsiaTheme="minorEastAsia" w:hAnsiTheme="minorHAns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3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aa.co.uk/SitePages/CPDetails.aspx?UID=1213&amp;Source=https://spaa.co.uk/SitePages/CPCurr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379D2-BA75-4044-8082-B82BB60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dcterms:created xsi:type="dcterms:W3CDTF">2018-07-16T10:33:00Z</dcterms:created>
  <dcterms:modified xsi:type="dcterms:W3CDTF">2018-07-16T10:33:00Z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NewReviewCycle">
    <vt:lpwstr/>
  </property>
  <property fmtid="{D5CDD505-2E9C-101B-9397-08002B2CF9AE}" pid="4" name="_AdHocReviewCycleID">
    <vt:i4>-1044636132</vt:i4>
  </property>
  <property fmtid="{D5CDD505-2E9C-101B-9397-08002B2CF9AE}" pid="5" name="_EmailSubject">
    <vt:lpwstr>Action: Publications for 23rd July Contract Committee meeting</vt:lpwstr>
  </property>
  <property fmtid="{D5CDD505-2E9C-101B-9397-08002B2CF9AE}" pid="6" name="_AuthorEmail">
    <vt:lpwstr>emma.smith@xoserve.com</vt:lpwstr>
  </property>
  <property fmtid="{D5CDD505-2E9C-101B-9397-08002B2CF9AE}" pid="7" name="_AuthorEmailDisplayName">
    <vt:lpwstr>Smith, Emma</vt:lpwstr>
  </property>
  <property fmtid="{D5CDD505-2E9C-101B-9397-08002B2CF9AE}" pid="9" name="_PreviousAdHocReviewCycleID">
    <vt:i4>471480746</vt:i4>
  </property>
</Properties>
</file>