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BB0A" w14:textId="77777777" w:rsidR="006A724E" w:rsidRDefault="001239C2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5ABEBB8B" wp14:editId="5ABEBB8C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EBB0B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5ABEBB0C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5ABEBB0F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5ABEBB0D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5ABEBB0E" w14:textId="44541DDC" w:rsidR="006A724E" w:rsidRPr="00795816" w:rsidRDefault="002F1AC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Creation of a Service to Release Domestic Consumer Data to </w:t>
            </w:r>
            <w:r w:rsidR="00774C4D">
              <w:rPr>
                <w:rFonts w:cstheme="minorHAnsi"/>
                <w:sz w:val="20"/>
                <w:szCs w:val="20"/>
              </w:rPr>
              <w:t>PC</w:t>
            </w:r>
            <w:r>
              <w:rPr>
                <w:rFonts w:cstheme="minorHAnsi"/>
                <w:sz w:val="20"/>
                <w:szCs w:val="20"/>
              </w:rPr>
              <w:t>W’s</w:t>
            </w:r>
            <w:r w:rsidR="00501B35">
              <w:rPr>
                <w:rFonts w:cstheme="minorHAnsi"/>
                <w:sz w:val="20"/>
                <w:szCs w:val="20"/>
              </w:rPr>
              <w:t xml:space="preserve"> (price comparison websites)</w:t>
            </w:r>
            <w:r>
              <w:rPr>
                <w:rFonts w:cstheme="minorHAnsi"/>
                <w:sz w:val="20"/>
                <w:szCs w:val="20"/>
              </w:rPr>
              <w:t xml:space="preserve"> &amp; TPI’s</w:t>
            </w:r>
            <w:r w:rsidR="00501B35">
              <w:rPr>
                <w:rFonts w:cstheme="minorHAnsi"/>
                <w:sz w:val="20"/>
                <w:szCs w:val="20"/>
              </w:rPr>
              <w:t xml:space="preserve"> (third party intermediaries)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A724E" w:rsidRPr="00683A0C" w14:paraId="5ABEBB12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5ABEBB10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5ABEBB11" w14:textId="20EEE3AC" w:rsidR="006A724E" w:rsidRPr="00795816" w:rsidRDefault="002F1AC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4110</w:t>
            </w:r>
          </w:p>
        </w:tc>
      </w:tr>
      <w:tr w:rsidR="006A724E" w:rsidRPr="00683A0C" w14:paraId="5ABEBB15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13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proofErr w:type="spellStart"/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proofErr w:type="spellEnd"/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BEBB14" w14:textId="6DB47DFA" w:rsidR="006A724E" w:rsidRPr="00795816" w:rsidRDefault="00B2591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Charlie Haley </w:t>
            </w:r>
          </w:p>
        </w:tc>
      </w:tr>
      <w:tr w:rsidR="006A724E" w:rsidRPr="00683A0C" w14:paraId="5ABEBB18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16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BEBB17" w14:textId="38CAB547" w:rsidR="006A724E" w:rsidRPr="00795816" w:rsidRDefault="00D80BE8" w:rsidP="00BB5A0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B2591D" w:rsidRPr="00C36C4C">
                <w:rPr>
                  <w:rStyle w:val="Hyperlink"/>
                  <w:rFonts w:cstheme="minorHAnsi"/>
                </w:rPr>
                <w:t>Charlie.Haley@xoserve.com</w:t>
              </w:r>
            </w:hyperlink>
          </w:p>
        </w:tc>
      </w:tr>
      <w:tr w:rsidR="00FF5462" w:rsidRPr="00683A0C" w14:paraId="5ABEBB1B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19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BEBB1A" w14:textId="7AFE3D80" w:rsidR="00FF5462" w:rsidRPr="00795816" w:rsidRDefault="00B2591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0121 </w:t>
            </w:r>
            <w:r w:rsidRPr="00B2591D">
              <w:rPr>
                <w:rFonts w:cstheme="minorHAnsi"/>
                <w:sz w:val="20"/>
                <w:szCs w:val="20"/>
              </w:rPr>
              <w:t>7592 2620</w:t>
            </w:r>
          </w:p>
        </w:tc>
      </w:tr>
      <w:tr w:rsidR="00752472" w:rsidRPr="00683A0C" w14:paraId="5ABEBB1E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1C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BEBB1D" w14:textId="29F0A60B" w:rsidR="00752472" w:rsidRPr="00795816" w:rsidRDefault="000648DF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12/09/2018 </w:t>
            </w:r>
          </w:p>
        </w:tc>
      </w:tr>
      <w:tr w:rsidR="00BB2E0E" w:rsidRPr="00683A0C" w14:paraId="5ABEBB21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1F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</w:t>
            </w:r>
            <w:bookmarkStart w:id="0" w:name="_GoBack"/>
            <w:bookmarkEnd w:id="0"/>
            <w:r w:rsidRPr="00007514">
              <w:rPr>
                <w:rFonts w:cs="Arial"/>
                <w:b/>
                <w:sz w:val="20"/>
                <w:szCs w:val="16"/>
              </w:rPr>
              <w:t>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BEBB20" w14:textId="47709AB3" w:rsidR="00BB2E0E" w:rsidRPr="00795816" w:rsidRDefault="002F1ACD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31/07/2017 </w:t>
            </w:r>
          </w:p>
        </w:tc>
      </w:tr>
      <w:tr w:rsidR="008E3FB0" w:rsidRPr="00683A0C" w14:paraId="5ABEBB23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BEBB22" w14:textId="77777777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5ABEBB32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BEBB26" w14:textId="2DF8CC05" w:rsidR="00AF2238" w:rsidRPr="00667FFD" w:rsidRDefault="003C4005" w:rsidP="00AF223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</w:rPr>
              <w:t xml:space="preserve">The Analysis and Detailed Design were completed within budget and within the agreed timescales. There are no remaining outstanding </w:t>
            </w:r>
            <w:proofErr w:type="gramStart"/>
            <w:r>
              <w:rPr>
                <w:rFonts w:cs="Arial"/>
              </w:rPr>
              <w:t>actions,</w:t>
            </w:r>
            <w:proofErr w:type="gramEnd"/>
            <w:r>
              <w:rPr>
                <w:rFonts w:cs="Arial"/>
              </w:rPr>
              <w:t xml:space="preserve"> the implementation of this project was completed as part of COR4216</w:t>
            </w:r>
            <w:r w:rsidR="00E160C2">
              <w:rPr>
                <w:rFonts w:cs="Arial"/>
              </w:rPr>
              <w:t>.</w:t>
            </w:r>
          </w:p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667FFD" w14:paraId="5ABEBB2B" w14:textId="77777777" w:rsidTr="00422FAA">
              <w:tc>
                <w:tcPr>
                  <w:tcW w:w="2972" w:type="dxa"/>
                </w:tcPr>
                <w:p w14:paraId="5ABEBB27" w14:textId="77777777" w:rsidR="00667FFD" w:rsidRPr="001A2319" w:rsidRDefault="00667FFD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16"/>
                    </w:rPr>
                    <w:t>Xoserve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 Service Area</w:t>
                  </w:r>
                </w:p>
              </w:tc>
              <w:tc>
                <w:tcPr>
                  <w:tcW w:w="2693" w:type="dxa"/>
                </w:tcPr>
                <w:p w14:paraId="5ABEBB28" w14:textId="77777777" w:rsidR="00667FFD" w:rsidRPr="001A2319" w:rsidRDefault="00667FFD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="Arial"/>
                      <w:b/>
                      <w:sz w:val="20"/>
                      <w:szCs w:val="16"/>
                    </w:rPr>
                    <w:t>Xoserve</w:t>
                  </w:r>
                  <w:proofErr w:type="spellEnd"/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 Service Line</w:t>
                  </w:r>
                </w:p>
              </w:tc>
              <w:tc>
                <w:tcPr>
                  <w:tcW w:w="1843" w:type="dxa"/>
                </w:tcPr>
                <w:p w14:paraId="5ABEBB29" w14:textId="77777777" w:rsidR="00667FFD" w:rsidRPr="001A2319" w:rsidRDefault="00667FFD" w:rsidP="00A3414F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 xml:space="preserve">(+/-) Projected Change in </w:t>
                  </w:r>
                  <w:r w:rsidR="00422FAA">
                    <w:rPr>
                      <w:rFonts w:cs="Arial"/>
                      <w:b/>
                      <w:sz w:val="20"/>
                      <w:szCs w:val="16"/>
                    </w:rPr>
                    <w:t xml:space="preserve">Annual </w:t>
                  </w:r>
                  <w:r>
                    <w:rPr>
                      <w:rFonts w:cs="Arial"/>
                      <w:b/>
                      <w:sz w:val="20"/>
                      <w:szCs w:val="16"/>
                    </w:rPr>
                    <w:t>Cost</w:t>
                  </w:r>
                </w:p>
              </w:tc>
              <w:tc>
                <w:tcPr>
                  <w:tcW w:w="1985" w:type="dxa"/>
                </w:tcPr>
                <w:p w14:paraId="5ABEBB2A" w14:textId="77777777" w:rsidR="00667FFD" w:rsidRDefault="00667FFD" w:rsidP="00667FFD">
                  <w:pPr>
                    <w:jc w:val="center"/>
                    <w:rPr>
                      <w:rFonts w:cs="Arial"/>
                      <w:b/>
                      <w:szCs w:val="16"/>
                    </w:rPr>
                  </w:pPr>
                  <w:r>
                    <w:rPr>
                      <w:rFonts w:cs="Arial"/>
                      <w:b/>
                      <w:szCs w:val="16"/>
                    </w:rPr>
                    <w:t xml:space="preserve">(+/-)Actual Change in </w:t>
                  </w:r>
                  <w:r w:rsidR="00422FAA">
                    <w:rPr>
                      <w:rFonts w:cs="Arial"/>
                      <w:b/>
                      <w:szCs w:val="16"/>
                    </w:rPr>
                    <w:t xml:space="preserve">Annual </w:t>
                  </w:r>
                  <w:r>
                    <w:rPr>
                      <w:rFonts w:cs="Arial"/>
                      <w:b/>
                      <w:szCs w:val="16"/>
                    </w:rPr>
                    <w:t xml:space="preserve">Cost </w:t>
                  </w:r>
                </w:p>
              </w:tc>
            </w:tr>
            <w:tr w:rsidR="00667FFD" w14:paraId="5ABEBB30" w14:textId="77777777" w:rsidTr="00422FAA">
              <w:tc>
                <w:tcPr>
                  <w:tcW w:w="2972" w:type="dxa"/>
                  <w:vAlign w:val="center"/>
                </w:tcPr>
                <w:p w14:paraId="5ABEBB2C" w14:textId="77777777" w:rsidR="00667FFD" w:rsidRPr="00795816" w:rsidRDefault="006546E8" w:rsidP="006546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95816">
                    <w:rPr>
                      <w:rFonts w:cstheme="minorHAnsi"/>
                      <w:sz w:val="20"/>
                      <w:szCs w:val="20"/>
                    </w:rPr>
                    <w:t>e.g. Manage Supply Point Registration</w:t>
                  </w:r>
                </w:p>
              </w:tc>
              <w:tc>
                <w:tcPr>
                  <w:tcW w:w="2693" w:type="dxa"/>
                  <w:vAlign w:val="center"/>
                </w:tcPr>
                <w:p w14:paraId="5ABEBB2D" w14:textId="77777777" w:rsidR="00667FFD" w:rsidRPr="00795816" w:rsidRDefault="006546E8" w:rsidP="006546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95816">
                    <w:rPr>
                      <w:rFonts w:cstheme="minorHAnsi"/>
                      <w:sz w:val="20"/>
                      <w:szCs w:val="20"/>
                    </w:rPr>
                    <w:t>e.g.DS-CSSA1 – 01</w:t>
                  </w:r>
                </w:p>
              </w:tc>
              <w:tc>
                <w:tcPr>
                  <w:tcW w:w="1843" w:type="dxa"/>
                  <w:vAlign w:val="center"/>
                </w:tcPr>
                <w:p w14:paraId="5ABEBB2E" w14:textId="77777777" w:rsidR="00667FFD" w:rsidRPr="00795816" w:rsidRDefault="006546E8" w:rsidP="006546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95816">
                    <w:rPr>
                      <w:rFonts w:cstheme="minorHAnsi"/>
                      <w:sz w:val="20"/>
                      <w:szCs w:val="20"/>
                    </w:rPr>
                    <w:t>+ £1000</w:t>
                  </w:r>
                </w:p>
              </w:tc>
              <w:tc>
                <w:tcPr>
                  <w:tcW w:w="1985" w:type="dxa"/>
                  <w:vAlign w:val="center"/>
                </w:tcPr>
                <w:p w14:paraId="5ABEBB2F" w14:textId="77777777" w:rsidR="00667FFD" w:rsidRPr="00795816" w:rsidRDefault="006546E8" w:rsidP="006546E8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795816">
                    <w:rPr>
                      <w:rFonts w:cstheme="minorHAnsi"/>
                      <w:sz w:val="20"/>
                      <w:szCs w:val="20"/>
                    </w:rPr>
                    <w:t>+ £1200</w:t>
                  </w:r>
                </w:p>
              </w:tc>
            </w:tr>
          </w:tbl>
          <w:p w14:paraId="5ABEBB31" w14:textId="3CB798A9" w:rsidR="00AF2238" w:rsidRPr="00AF2238" w:rsidRDefault="00AF2238" w:rsidP="00E160C2">
            <w:pPr>
              <w:pStyle w:val="ListParagraph"/>
              <w:rPr>
                <w:rFonts w:cs="Arial"/>
                <w:i/>
                <w:color w:val="0070C0"/>
              </w:rPr>
            </w:pPr>
          </w:p>
        </w:tc>
      </w:tr>
      <w:tr w:rsidR="003C2945" w:rsidRPr="00683A0C" w14:paraId="5ABEBB34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BEBB33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5ABEBB5B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5ABEBB3A" w14:textId="77777777" w:rsidTr="00B670E3">
              <w:tc>
                <w:tcPr>
                  <w:tcW w:w="2547" w:type="dxa"/>
                </w:tcPr>
                <w:p w14:paraId="5ABEBB35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5ABEBB36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5ABEBB37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ABEBB38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5ABEBB39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5ABEBB40" w14:textId="77777777" w:rsidTr="00795816">
              <w:tc>
                <w:tcPr>
                  <w:tcW w:w="2547" w:type="dxa"/>
                </w:tcPr>
                <w:p w14:paraId="5ABEBB3B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BEBB3C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ABEBB3D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ABEBB3E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ABEBB3F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5ABEBB46" w14:textId="77777777" w:rsidTr="00795816">
              <w:tc>
                <w:tcPr>
                  <w:tcW w:w="2547" w:type="dxa"/>
                </w:tcPr>
                <w:p w14:paraId="5ABEBB41" w14:textId="77777777" w:rsidR="00A970AB" w:rsidRPr="00007514" w:rsidRDefault="001238B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  <w:r w:rsidR="00A970AB" w:rsidRPr="00007514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BEBB42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ABEBB43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ABEBB44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ABEBB45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5ABEBB4C" w14:textId="77777777" w:rsidTr="00795816">
              <w:tc>
                <w:tcPr>
                  <w:tcW w:w="2547" w:type="dxa"/>
                </w:tcPr>
                <w:p w14:paraId="5ABEBB47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BEBB48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ABEBB49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ABEBB4A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ABEBB4B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5ABEBB52" w14:textId="77777777" w:rsidTr="00795816">
              <w:tc>
                <w:tcPr>
                  <w:tcW w:w="2547" w:type="dxa"/>
                </w:tcPr>
                <w:p w14:paraId="5ABEBB4D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BEBB4E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5ABEBB4F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5ABEBB50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5ABEBB5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5ABEBB58" w14:textId="77777777" w:rsidTr="00795816">
              <w:trPr>
                <w:trHeight w:val="53"/>
              </w:trPr>
              <w:tc>
                <w:tcPr>
                  <w:tcW w:w="2547" w:type="dxa"/>
                </w:tcPr>
                <w:p w14:paraId="5ABEBB53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</w:t>
                  </w:r>
                  <w:r w:rsidR="00A07A83" w:rsidRPr="00007514">
                    <w:rPr>
                      <w:rFonts w:cs="Arial"/>
                      <w:b/>
                      <w:sz w:val="20"/>
                      <w:szCs w:val="20"/>
                    </w:rPr>
                    <w:t xml:space="preserve">’s &amp; </w:t>
                  </w:r>
                  <w:r w:rsidR="001238B5"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BEBB54" w14:textId="4966020E" w:rsidR="00A970AB" w:rsidRPr="00795816" w:rsidRDefault="000F5302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ABEBB55" w14:textId="6969AC9F" w:rsidR="00A970AB" w:rsidRPr="00795816" w:rsidRDefault="000F5302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5ABEBB56" w14:textId="2A4BFF3F" w:rsidR="00A970AB" w:rsidRPr="00795816" w:rsidRDefault="0008456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84568">
                    <w:rPr>
                      <w:rFonts w:cs="Arial"/>
                      <w:sz w:val="20"/>
                      <w:szCs w:val="20"/>
                    </w:rPr>
                    <w:t>£508,487</w:t>
                  </w:r>
                </w:p>
              </w:tc>
              <w:tc>
                <w:tcPr>
                  <w:tcW w:w="2264" w:type="dxa"/>
                  <w:vAlign w:val="center"/>
                </w:tcPr>
                <w:p w14:paraId="5ABEBB57" w14:textId="11876327" w:rsidR="00A970AB" w:rsidRPr="00795816" w:rsidRDefault="0008456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£101,833.67</w:t>
                  </w:r>
                </w:p>
              </w:tc>
            </w:tr>
          </w:tbl>
          <w:p w14:paraId="5ABEBB59" w14:textId="087C232B" w:rsidR="003C2945" w:rsidRPr="00007514" w:rsidRDefault="003C2945" w:rsidP="002022FB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5ABEBB5A" w14:textId="77777777" w:rsidR="002022FB" w:rsidRPr="00007514" w:rsidRDefault="002022FB" w:rsidP="005E045C">
            <w:pPr>
              <w:pStyle w:val="ListParagraph"/>
              <w:ind w:left="0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C52B2" w:rsidRPr="00683A0C" w14:paraId="5ABEBB5D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BEBB5C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5ABEBB5F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BB5E" w14:textId="024D9CD8" w:rsidR="003C52B2" w:rsidRPr="003C4005" w:rsidRDefault="003C4005" w:rsidP="00C179C9">
            <w:pPr>
              <w:pStyle w:val="ListParagraph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</w:t>
            </w:r>
          </w:p>
        </w:tc>
      </w:tr>
      <w:tr w:rsidR="003C52B2" w:rsidRPr="00683A0C" w14:paraId="5ABEBB61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ABEBB60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Detail any changes to the </w:t>
            </w:r>
            <w:proofErr w:type="spellStart"/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Xoserve</w:t>
            </w:r>
            <w:proofErr w:type="spellEnd"/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Service Description</w:t>
            </w:r>
          </w:p>
        </w:tc>
      </w:tr>
      <w:tr w:rsidR="00B56B1A" w:rsidRPr="00683A0C" w14:paraId="5ABEBB64" w14:textId="77777777" w:rsidTr="00AF2238">
        <w:tc>
          <w:tcPr>
            <w:tcW w:w="5000" w:type="pct"/>
            <w:gridSpan w:val="2"/>
            <w:shd w:val="clear" w:color="auto" w:fill="auto"/>
          </w:tcPr>
          <w:p w14:paraId="5ABEBB63" w14:textId="29712741" w:rsidR="00B008E8" w:rsidRPr="00B4169F" w:rsidRDefault="003C4005" w:rsidP="00B4169F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sz w:val="20"/>
              </w:rPr>
              <w:t>NA</w:t>
            </w:r>
          </w:p>
        </w:tc>
      </w:tr>
      <w:tr w:rsidR="003C52B2" w:rsidRPr="00683A0C" w14:paraId="5ABEBB66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ABEBB65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683A0C" w14:paraId="5ABEBB68" w14:textId="77777777" w:rsidTr="00AF2238">
        <w:tc>
          <w:tcPr>
            <w:tcW w:w="5000" w:type="pct"/>
            <w:gridSpan w:val="2"/>
            <w:shd w:val="clear" w:color="auto" w:fill="auto"/>
          </w:tcPr>
          <w:p w14:paraId="5ABEBB67" w14:textId="045A5DFC" w:rsidR="003C52B2" w:rsidRPr="003C4005" w:rsidRDefault="003C4005" w:rsidP="00B670E3">
            <w:pPr>
              <w:pStyle w:val="ListParagraph"/>
              <w:ind w:left="0"/>
              <w:rPr>
                <w:rFonts w:cs="Arial"/>
                <w:b/>
                <w:color w:val="FF0000"/>
                <w:szCs w:val="16"/>
              </w:rPr>
            </w:pPr>
            <w:r w:rsidRPr="003C4005">
              <w:rPr>
                <w:rFonts w:cs="Arial"/>
                <w:sz w:val="20"/>
              </w:rPr>
              <w:t>NA</w:t>
            </w:r>
            <w:r w:rsidR="00795816" w:rsidRPr="003C4005">
              <w:rPr>
                <w:rFonts w:cs="Arial"/>
                <w:sz w:val="20"/>
              </w:rPr>
              <w:t xml:space="preserve"> </w:t>
            </w:r>
          </w:p>
        </w:tc>
      </w:tr>
      <w:tr w:rsidR="003C52B2" w:rsidRPr="00683A0C" w14:paraId="5ABEBB6A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ABEBB69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14:paraId="5ABEBB6C" w14:textId="77777777" w:rsidTr="0014750D">
        <w:tc>
          <w:tcPr>
            <w:tcW w:w="5000" w:type="pct"/>
            <w:gridSpan w:val="2"/>
            <w:shd w:val="clear" w:color="auto" w:fill="auto"/>
          </w:tcPr>
          <w:p w14:paraId="5ABEBB6B" w14:textId="7E69D493" w:rsidR="003C52B2" w:rsidRPr="003C4005" w:rsidRDefault="003C4005" w:rsidP="003C52B2">
            <w:pPr>
              <w:rPr>
                <w:rFonts w:cs="Arial"/>
              </w:rPr>
            </w:pPr>
            <w:r w:rsidRPr="003C4005">
              <w:rPr>
                <w:bCs/>
                <w:sz w:val="20"/>
              </w:rPr>
              <w:t>NA</w:t>
            </w:r>
          </w:p>
        </w:tc>
      </w:tr>
    </w:tbl>
    <w:p w14:paraId="5ABEBB6D" w14:textId="77777777" w:rsidR="006A724E" w:rsidRDefault="006A724E" w:rsidP="006A724E">
      <w:pPr>
        <w:pStyle w:val="XoParagraph"/>
      </w:pPr>
    </w:p>
    <w:p w14:paraId="5ABEBB6E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4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5ABEBB6F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20"/>
        <w:gridCol w:w="1684"/>
        <w:gridCol w:w="1217"/>
        <w:gridCol w:w="1538"/>
        <w:gridCol w:w="3948"/>
      </w:tblGrid>
      <w:tr w:rsidR="00F06469" w:rsidRPr="00762849" w14:paraId="5ABEBB75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5ABEBB70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5ABEBB71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5ABEBB72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ABEBB73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5ABEBB74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5ABEBB7B" w14:textId="77777777" w:rsidTr="00940D3C">
        <w:tc>
          <w:tcPr>
            <w:tcW w:w="902" w:type="pct"/>
          </w:tcPr>
          <w:p w14:paraId="5ABEBB76" w14:textId="526558D6" w:rsidR="00F06469" w:rsidRPr="007B4360" w:rsidRDefault="00DE5ED3" w:rsidP="00DE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5ABEBB77" w14:textId="2E5AB561" w:rsidR="00F06469" w:rsidRPr="007B4360" w:rsidRDefault="00DE5ED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5ABEBB78" w14:textId="150DFAA9" w:rsidR="00F06469" w:rsidRPr="007B4360" w:rsidRDefault="00DE5ED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03/09/2018</w:t>
            </w:r>
          </w:p>
        </w:tc>
        <w:tc>
          <w:tcPr>
            <w:tcW w:w="763" w:type="pct"/>
          </w:tcPr>
          <w:p w14:paraId="5ABEBB79" w14:textId="5455F4F8" w:rsidR="00F06469" w:rsidRPr="007B4360" w:rsidRDefault="00DE5ED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Haley</w:t>
            </w:r>
          </w:p>
        </w:tc>
        <w:tc>
          <w:tcPr>
            <w:tcW w:w="1944" w:type="pct"/>
          </w:tcPr>
          <w:p w14:paraId="5ABEBB7A" w14:textId="2DA79CA2" w:rsidR="00F06469" w:rsidRPr="007B4360" w:rsidRDefault="00DE5ED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CCR updated with details of the change</w:t>
            </w:r>
          </w:p>
        </w:tc>
      </w:tr>
    </w:tbl>
    <w:p w14:paraId="5ABEBB7C" w14:textId="77777777" w:rsidR="006A2AB2" w:rsidRDefault="006A2AB2" w:rsidP="00BA3F97">
      <w:pPr>
        <w:pStyle w:val="XoParagraph"/>
      </w:pPr>
    </w:p>
    <w:p w14:paraId="5ABEBB7D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lastRenderedPageBreak/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5ABEBB83" w14:textId="77777777" w:rsidTr="00206135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BEBB7E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BEBB7F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BEBB80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BEBB81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ABEBB82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5ABEBB89" w14:textId="77777777" w:rsidTr="001238B5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5ABEBB84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ABEBB85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ABEBB86" w14:textId="77777777"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ABEBB87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5ABEBB88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Template approved at </w:t>
            </w:r>
            <w:proofErr w:type="spellStart"/>
            <w:r>
              <w:rPr>
                <w:rFonts w:cs="Arial"/>
                <w:sz w:val="20"/>
              </w:rPr>
              <w:t>ChMC</w:t>
            </w:r>
            <w:proofErr w:type="spellEnd"/>
            <w:r>
              <w:rPr>
                <w:rFonts w:cs="Arial"/>
                <w:sz w:val="20"/>
              </w:rPr>
              <w:t xml:space="preserve">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5ABEBB8A" w14:textId="77777777" w:rsidR="00EA3B18" w:rsidRDefault="00EA3B18" w:rsidP="003909AF">
      <w:pPr>
        <w:pStyle w:val="XoParagraph"/>
      </w:pPr>
    </w:p>
    <w:sectPr w:rsidR="00EA3B18" w:rsidSect="00883321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B249" w14:textId="77777777" w:rsidR="00D80BE8" w:rsidRDefault="00D80BE8" w:rsidP="00913EF2">
      <w:pPr>
        <w:spacing w:after="0" w:line="240" w:lineRule="auto"/>
      </w:pPr>
      <w:r>
        <w:separator/>
      </w:r>
    </w:p>
  </w:endnote>
  <w:endnote w:type="continuationSeparator" w:id="0">
    <w:p w14:paraId="60B74D44" w14:textId="77777777" w:rsidR="00D80BE8" w:rsidRDefault="00D80BE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B94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5D51" w14:textId="77777777" w:rsidR="00D80BE8" w:rsidRDefault="00D80BE8" w:rsidP="00913EF2">
      <w:pPr>
        <w:spacing w:after="0" w:line="240" w:lineRule="auto"/>
      </w:pPr>
      <w:r>
        <w:separator/>
      </w:r>
    </w:p>
  </w:footnote>
  <w:footnote w:type="continuationSeparator" w:id="0">
    <w:p w14:paraId="78CC0E8C" w14:textId="77777777" w:rsidR="00D80BE8" w:rsidRDefault="00D80BE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B91" w14:textId="77777777" w:rsidR="003C63DC" w:rsidRDefault="00D80BE8">
    <w:pPr>
      <w:pStyle w:val="Header"/>
    </w:pPr>
    <w:r>
      <w:rPr>
        <w:noProof/>
        <w:lang w:eastAsia="en-GB"/>
      </w:rPr>
      <w:pict w14:anchorId="5ABEB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B92" w14:textId="77777777" w:rsidR="003C63DC" w:rsidRDefault="00D80BE8">
    <w:pPr>
      <w:pStyle w:val="Header"/>
    </w:pPr>
    <w:r>
      <w:rPr>
        <w:noProof/>
        <w:lang w:eastAsia="en-GB"/>
      </w:rPr>
      <w:pict w14:anchorId="5ABEB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BB93" w14:textId="77777777" w:rsidR="003C63DC" w:rsidRDefault="00D80BE8">
    <w:pPr>
      <w:pStyle w:val="Header"/>
    </w:pPr>
    <w:r>
      <w:rPr>
        <w:noProof/>
        <w:lang w:eastAsia="en-GB"/>
      </w:rPr>
      <w:pict w14:anchorId="5ABEB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615F3"/>
    <w:rsid w:val="000648DF"/>
    <w:rsid w:val="00066BCA"/>
    <w:rsid w:val="00084568"/>
    <w:rsid w:val="00084757"/>
    <w:rsid w:val="00093D9D"/>
    <w:rsid w:val="000A2BDC"/>
    <w:rsid w:val="000C79EE"/>
    <w:rsid w:val="000D66D3"/>
    <w:rsid w:val="000E3D49"/>
    <w:rsid w:val="000E72A0"/>
    <w:rsid w:val="000F5302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94A04"/>
    <w:rsid w:val="001E6E54"/>
    <w:rsid w:val="002022FB"/>
    <w:rsid w:val="00203626"/>
    <w:rsid w:val="00214089"/>
    <w:rsid w:val="00220242"/>
    <w:rsid w:val="002260EF"/>
    <w:rsid w:val="002427E0"/>
    <w:rsid w:val="002568E0"/>
    <w:rsid w:val="00265633"/>
    <w:rsid w:val="00270392"/>
    <w:rsid w:val="002B5CD2"/>
    <w:rsid w:val="002E2C40"/>
    <w:rsid w:val="002F1ACD"/>
    <w:rsid w:val="003160F7"/>
    <w:rsid w:val="003612A8"/>
    <w:rsid w:val="003754AC"/>
    <w:rsid w:val="0037590B"/>
    <w:rsid w:val="003909AF"/>
    <w:rsid w:val="003B40D3"/>
    <w:rsid w:val="003C2945"/>
    <w:rsid w:val="003C3FD8"/>
    <w:rsid w:val="003C4005"/>
    <w:rsid w:val="003C52B2"/>
    <w:rsid w:val="003C63DC"/>
    <w:rsid w:val="003D0C73"/>
    <w:rsid w:val="003D4B81"/>
    <w:rsid w:val="003F4A95"/>
    <w:rsid w:val="00403557"/>
    <w:rsid w:val="00422FAA"/>
    <w:rsid w:val="00427622"/>
    <w:rsid w:val="00456196"/>
    <w:rsid w:val="0047743A"/>
    <w:rsid w:val="00487297"/>
    <w:rsid w:val="004935D2"/>
    <w:rsid w:val="004B2B81"/>
    <w:rsid w:val="004E7EC9"/>
    <w:rsid w:val="004F2636"/>
    <w:rsid w:val="004F5B68"/>
    <w:rsid w:val="00501B35"/>
    <w:rsid w:val="0051287B"/>
    <w:rsid w:val="00523C15"/>
    <w:rsid w:val="00530351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E4337"/>
    <w:rsid w:val="006F0D45"/>
    <w:rsid w:val="006F6DC7"/>
    <w:rsid w:val="00703D81"/>
    <w:rsid w:val="00703E45"/>
    <w:rsid w:val="0073463B"/>
    <w:rsid w:val="00752472"/>
    <w:rsid w:val="007540E3"/>
    <w:rsid w:val="00763AA0"/>
    <w:rsid w:val="00774C4D"/>
    <w:rsid w:val="00775FAA"/>
    <w:rsid w:val="00795816"/>
    <w:rsid w:val="007B4360"/>
    <w:rsid w:val="007C5A34"/>
    <w:rsid w:val="007D7EAF"/>
    <w:rsid w:val="007F0246"/>
    <w:rsid w:val="0081575C"/>
    <w:rsid w:val="00816C17"/>
    <w:rsid w:val="008349C5"/>
    <w:rsid w:val="00834C17"/>
    <w:rsid w:val="00883321"/>
    <w:rsid w:val="008A123A"/>
    <w:rsid w:val="008D217D"/>
    <w:rsid w:val="008E3A3A"/>
    <w:rsid w:val="008E3FB0"/>
    <w:rsid w:val="00913EF2"/>
    <w:rsid w:val="00985773"/>
    <w:rsid w:val="00987281"/>
    <w:rsid w:val="00987CC5"/>
    <w:rsid w:val="009A5E31"/>
    <w:rsid w:val="009B0917"/>
    <w:rsid w:val="009B0C30"/>
    <w:rsid w:val="009B630D"/>
    <w:rsid w:val="009C272A"/>
    <w:rsid w:val="009D0DF1"/>
    <w:rsid w:val="009E1CE9"/>
    <w:rsid w:val="00A07A83"/>
    <w:rsid w:val="00A10304"/>
    <w:rsid w:val="00A1080B"/>
    <w:rsid w:val="00A20C75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2591D"/>
    <w:rsid w:val="00B4169F"/>
    <w:rsid w:val="00B56B1A"/>
    <w:rsid w:val="00B670E3"/>
    <w:rsid w:val="00B72A9D"/>
    <w:rsid w:val="00B74F0E"/>
    <w:rsid w:val="00B91D4A"/>
    <w:rsid w:val="00B93354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665FD"/>
    <w:rsid w:val="00C90516"/>
    <w:rsid w:val="00CA1622"/>
    <w:rsid w:val="00CA4DB3"/>
    <w:rsid w:val="00CD7096"/>
    <w:rsid w:val="00CE55B4"/>
    <w:rsid w:val="00D0145E"/>
    <w:rsid w:val="00D22D52"/>
    <w:rsid w:val="00D50E9A"/>
    <w:rsid w:val="00D5333F"/>
    <w:rsid w:val="00D57A27"/>
    <w:rsid w:val="00D80BE8"/>
    <w:rsid w:val="00DD499D"/>
    <w:rsid w:val="00DD59C5"/>
    <w:rsid w:val="00DE449E"/>
    <w:rsid w:val="00DE5ED3"/>
    <w:rsid w:val="00E160C2"/>
    <w:rsid w:val="00E45364"/>
    <w:rsid w:val="00E469E0"/>
    <w:rsid w:val="00E50847"/>
    <w:rsid w:val="00E51D46"/>
    <w:rsid w:val="00EA3B18"/>
    <w:rsid w:val="00ED63F4"/>
    <w:rsid w:val="00EF5FD7"/>
    <w:rsid w:val="00EF7CAE"/>
    <w:rsid w:val="00F06469"/>
    <w:rsid w:val="00F105D9"/>
    <w:rsid w:val="00F13926"/>
    <w:rsid w:val="00F17027"/>
    <w:rsid w:val="00F52A52"/>
    <w:rsid w:val="00F710DC"/>
    <w:rsid w:val="00FC3EB7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BEB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arlie.Haley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a8d00b61-02e3-4ab5-b77b-0ca9e0a046b4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B8E56-ECDF-4BDF-A99D-B143F461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2018-06-06T10:14:00Z</cp:lastPrinted>
  <dcterms:created xsi:type="dcterms:W3CDTF">2018-09-05T10:57:00Z</dcterms:created>
  <dcterms:modified xsi:type="dcterms:W3CDTF">2018-09-05T10:57:00Z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-876876812</vt:i4>
  </property>
  <property fmtid="{D5CDD505-2E9C-101B-9397-08002B2CF9AE}" pid="4" name="_NewReviewCycle">
    <vt:lpwstr/>
  </property>
  <property fmtid="{D5CDD505-2E9C-101B-9397-08002B2CF9AE}" pid="5" name="_EmailSubject">
    <vt:lpwstr>Action: Publications for September ChMC</vt:lpwstr>
  </property>
  <property fmtid="{D5CDD505-2E9C-101B-9397-08002B2CF9AE}" pid="6" name="_AuthorEmail">
    <vt:lpwstr>emma.smith@xoserve.com</vt:lpwstr>
  </property>
  <property fmtid="{D5CDD505-2E9C-101B-9397-08002B2CF9AE}" pid="7" name="_AuthorEmailDisplayName">
    <vt:lpwstr>Smith, Emma</vt:lpwstr>
  </property>
  <property fmtid="{D5CDD505-2E9C-101B-9397-08002B2CF9AE}" pid="8" name="_PreviousAdHocReviewCycleID">
    <vt:i4>236710071</vt:i4>
  </property>
</Properties>
</file>