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numPr>
          <w:ilvl w:val="0"/>
          <w:numId w:val="0"/>
        </w:numPr>
        <w:spacing w:after="230"/>
        <w:jc w:val="center"/>
        <w:rPr>
          <w:rFonts w:ascii="Times New Roman" w:hAnsi="Times New Roman"/>
          <w:sz w:val="22"/>
          <w:u w:val="single"/>
          <w:lang w:val="en-GB"/>
        </w:rPr>
      </w:pPr>
      <w:bookmarkStart w:id="0" w:name="_Toc2070903"/>
      <w:bookmarkStart w:id="1" w:name="_Toc6817845"/>
      <w:r>
        <w:rPr>
          <w:rFonts w:ascii="Times New Roman" w:hAnsi="Times New Roman"/>
          <w:sz w:val="22"/>
          <w:u w:val="single"/>
          <w:lang w:val="en-GB"/>
        </w:rPr>
        <w:t>ANNEX A</w:t>
      </w:r>
    </w:p>
    <w:p>
      <w:pPr>
        <w:pStyle w:val="Heading1"/>
        <w:numPr>
          <w:ilvl w:val="0"/>
          <w:numId w:val="0"/>
        </w:numPr>
        <w:spacing w:after="230"/>
        <w:jc w:val="center"/>
        <w:rPr>
          <w:rFonts w:ascii="Times New Roman" w:hAnsi="Times New Roman"/>
          <w:sz w:val="22"/>
          <w:lang w:val="en-GB"/>
        </w:rPr>
      </w:pPr>
      <w:r>
        <w:rPr>
          <w:rFonts w:ascii="Times New Roman" w:hAnsi="Times New Roman"/>
          <w:sz w:val="22"/>
          <w:lang w:val="en-GB"/>
        </w:rPr>
        <w:t>UNIFORM NETWORK CODE – TRANSPORTATION PRINCIPAL DOCUMENT</w:t>
      </w:r>
    </w:p>
    <w:p>
      <w:pPr>
        <w:spacing w:after="230"/>
        <w:jc w:val="center"/>
        <w:rPr>
          <w:rFonts w:ascii="Times New Roman" w:hAnsi="Times New Roman"/>
          <w:b/>
          <w:sz w:val="22"/>
          <w:lang w:val="en-GB"/>
        </w:rPr>
      </w:pPr>
      <w:bookmarkStart w:id="2" w:name="_9kR3WTr8E857Cevgw3z5t"/>
      <w:r>
        <w:rPr>
          <w:rFonts w:ascii="Times New Roman" w:hAnsi="Times New Roman"/>
          <w:b/>
          <w:sz w:val="22"/>
          <w:lang w:val="en-GB"/>
        </w:rPr>
        <w:t>SECTION B</w:t>
      </w:r>
      <w:bookmarkEnd w:id="2"/>
      <w:r>
        <w:rPr>
          <w:rFonts w:ascii="Times New Roman" w:hAnsi="Times New Roman"/>
          <w:b/>
          <w:sz w:val="22"/>
          <w:lang w:val="en-GB"/>
        </w:rPr>
        <w:t xml:space="preserve"> – SYSTEM USE AND CAPACITY</w:t>
      </w:r>
    </w:p>
    <w:p>
      <w:pPr>
        <w:spacing w:after="230"/>
        <w:jc w:val="center"/>
        <w:rPr>
          <w:del w:id="3" w:author="LOF" w:date="2018-05-08T12:50:00Z"/>
          <w:rFonts w:ascii="Times New Roman" w:hAnsi="Times New Roman"/>
          <w:b/>
          <w:bCs/>
          <w:sz w:val="22"/>
        </w:rPr>
      </w:pPr>
      <w:bookmarkStart w:id="4" w:name="_Toc77147518"/>
    </w:p>
    <w:p>
      <w:pPr>
        <w:pStyle w:val="Level-1"/>
      </w:pPr>
      <w:r>
        <w:t>INTRODUCTION</w:t>
      </w:r>
      <w:bookmarkEnd w:id="0"/>
      <w:bookmarkEnd w:id="1"/>
      <w:bookmarkEnd w:id="4"/>
    </w:p>
    <w:p>
      <w:pPr>
        <w:pStyle w:val="Level-1"/>
        <w:numPr>
          <w:ilvl w:val="0"/>
          <w:numId w:val="0"/>
        </w:numPr>
        <w:ind w:left="1398"/>
      </w:pPr>
      <w:bookmarkStart w:id="5" w:name="_9kR3WTr6GC6BG"/>
      <w:r>
        <w:t>[…]</w:t>
      </w:r>
      <w:bookmarkEnd w:id="5"/>
    </w:p>
    <w:p>
      <w:pPr>
        <w:pStyle w:val="Level-2"/>
        <w:numPr>
          <w:ilvl w:val="1"/>
          <w:numId w:val="15"/>
        </w:numPr>
        <w:rPr>
          <w:lang w:val="en-GB"/>
        </w:rPr>
      </w:pPr>
      <w:bookmarkStart w:id="6" w:name="_DV_M79"/>
      <w:bookmarkStart w:id="7" w:name="_9kR3WTr8E856FHG"/>
      <w:bookmarkStart w:id="8" w:name="_9kMHG5YVt3AB8GMjbpm5858Eyz84AZOt4BzC"/>
      <w:bookmarkStart w:id="9" w:name="_Toc77147525"/>
      <w:bookmarkEnd w:id="6"/>
      <w:bookmarkEnd w:id="7"/>
      <w:r>
        <w:rPr>
          <w:lang w:val="en-GB"/>
        </w:rPr>
        <w:t>Transportation Charges</w:t>
      </w:r>
      <w:bookmarkEnd w:id="8"/>
      <w:r>
        <w:rPr>
          <w:lang w:val="en-GB"/>
        </w:rPr>
        <w:t xml:space="preserve"> and </w:t>
      </w:r>
      <w:bookmarkStart w:id="10" w:name="_9kMHG5YVt3AB8FLcHvwv0xwMIny5t6"/>
      <w:r>
        <w:rPr>
          <w:lang w:val="en-GB"/>
        </w:rPr>
        <w:t>Metering Charges</w:t>
      </w:r>
      <w:bookmarkEnd w:id="9"/>
      <w:bookmarkEnd w:id="10"/>
    </w:p>
    <w:p>
      <w:pPr>
        <w:pStyle w:val="Level-3"/>
        <w:rPr>
          <w:lang w:val="en-GB"/>
        </w:rPr>
      </w:pPr>
      <w:bookmarkStart w:id="11" w:name="_DV_M80"/>
      <w:bookmarkEnd w:id="11"/>
      <w:r>
        <w:rPr>
          <w:lang w:val="en-GB"/>
        </w:rPr>
        <w:t xml:space="preserve">For the purposes of the </w:t>
      </w:r>
      <w:bookmarkStart w:id="12" w:name="_9kR3WTr26645CPFne"/>
      <w:r>
        <w:rPr>
          <w:lang w:val="en-GB"/>
        </w:rPr>
        <w:t>Code</w:t>
      </w:r>
      <w:bookmarkEnd w:id="12"/>
      <w:r>
        <w:rPr>
          <w:lang w:val="en-GB"/>
        </w:rPr>
        <w:t>:</w:t>
      </w:r>
      <w:bookmarkStart w:id="13" w:name="_DV_M81"/>
      <w:bookmarkEnd w:id="13"/>
    </w:p>
    <w:p>
      <w:pPr>
        <w:pStyle w:val="Level-4a"/>
        <w:rPr>
          <w:lang w:val="en-GB"/>
        </w:rPr>
      </w:pPr>
      <w:r>
        <w:rPr>
          <w:b/>
          <w:lang w:val="en-GB"/>
        </w:rPr>
        <w:t>"</w:t>
      </w:r>
      <w:bookmarkStart w:id="14" w:name="_9kR3WTr1896EKhZnk3636Cwx628XMr29xA"/>
      <w:r>
        <w:rPr>
          <w:b/>
          <w:lang w:val="en-GB"/>
        </w:rPr>
        <w:t>Transportation Charges</w:t>
      </w:r>
      <w:bookmarkEnd w:id="14"/>
      <w:r>
        <w:rPr>
          <w:b/>
          <w:lang w:val="en-GB"/>
        </w:rPr>
        <w:t>"</w:t>
      </w:r>
      <w:r>
        <w:rPr>
          <w:lang w:val="en-GB"/>
        </w:rPr>
        <w:t xml:space="preserve"> are</w:t>
      </w:r>
      <w:bookmarkStart w:id="15" w:name="_DV_M82"/>
      <w:bookmarkEnd w:id="15"/>
      <w:ins w:id="16" w:author="LOF" w:date="2018-05-08T12:50:00Z">
        <w:r>
          <w:rPr>
            <w:lang w:val="en-GB"/>
          </w:rPr>
          <w:t>:</w:t>
        </w:r>
      </w:ins>
    </w:p>
    <w:p>
      <w:pPr>
        <w:pStyle w:val="Level-5r"/>
        <w:ind w:left="3198" w:hanging="1080"/>
      </w:pPr>
      <w:r>
        <w:t xml:space="preserve">charges (other than </w:t>
      </w:r>
      <w:bookmarkStart w:id="17" w:name="_9kR3WTr26646CQGnsv3Z6noruq21RNs3AyBMM1y"/>
      <w:r>
        <w:t>Energy Balancing Charges or Storage Charges</w:t>
      </w:r>
      <w:bookmarkEnd w:id="17"/>
      <w:r>
        <w:t xml:space="preserve">) </w:t>
      </w:r>
      <w:bookmarkStart w:id="18" w:name="_9kMHG5YVt9ID7GHlwA4A8q"/>
      <w:r>
        <w:t xml:space="preserve">payable by </w:t>
      </w:r>
      <w:ins w:id="19" w:author="LOF" w:date="2018-05-08T12:50:00Z">
        <w:r>
          <w:t xml:space="preserve">or to </w:t>
        </w:r>
      </w:ins>
      <w:r>
        <w:t xml:space="preserve">a </w:t>
      </w:r>
      <w:bookmarkStart w:id="20" w:name="_9kR3WTr2664DJgbss"/>
      <w:r>
        <w:t>User</w:t>
      </w:r>
      <w:bookmarkEnd w:id="20"/>
      <w:r>
        <w:t xml:space="preserve"> in respect of</w:t>
      </w:r>
      <w:bookmarkEnd w:id="18"/>
      <w:r>
        <w:t xml:space="preserve"> a transportation arrangement under the </w:t>
      </w:r>
      <w:bookmarkStart w:id="21" w:name="_9kMHG5YVt48867ERHpg"/>
      <w:r>
        <w:t>Code</w:t>
      </w:r>
      <w:bookmarkEnd w:id="21"/>
      <w:r>
        <w:t xml:space="preserve">, </w:t>
      </w:r>
      <w:del w:id="22" w:author="LOF" w:date="2018-05-08T12:50:00Z">
        <w:r>
          <w:delText xml:space="preserve">and </w:delText>
        </w:r>
      </w:del>
      <w:r>
        <w:t xml:space="preserve">(subject to paragraph </w:t>
      </w:r>
      <w:r>
        <w:fldChar w:fldCharType="begin"/>
      </w:r>
      <w:r>
        <w:instrText xml:space="preserve"> REF _Ref513715082 \r \h </w:instrText>
      </w:r>
      <w:r>
        <w:fldChar w:fldCharType="separate"/>
      </w:r>
      <w:bookmarkStart w:id="23" w:name="_9kMHG5YVt4BB78ACIQnesp88z6H85Bqc8QI0xE2"/>
      <w:r>
        <w:t>1.7.8</w:t>
      </w:r>
      <w:bookmarkEnd w:id="23"/>
      <w:r>
        <w:fldChar w:fldCharType="end"/>
      </w:r>
      <w:r>
        <w:t>) compris</w:t>
      </w:r>
      <w:del w:id="24" w:author="LOF" w:date="2018-05-08T12:50:00Z">
        <w:r>
          <w:delText>e</w:delText>
        </w:r>
      </w:del>
      <w:ins w:id="25" w:author="LOF" w:date="2018-05-08T12:50:00Z">
        <w:r>
          <w:t>ing</w:t>
        </w:r>
      </w:ins>
      <w:r>
        <w:t xml:space="preserve"> </w:t>
      </w:r>
      <w:bookmarkStart w:id="26" w:name="_9kMHG5YVt3AB8EEM3nocl3KeIny5t"/>
      <w:r>
        <w:t>Capacity Charges</w:t>
      </w:r>
      <w:bookmarkEnd w:id="26"/>
      <w:r>
        <w:t xml:space="preserve">, </w:t>
      </w:r>
      <w:bookmarkStart w:id="27" w:name="_9kMHG5YVt3AB8EHPHyx0sn4LfJoz6u"/>
      <w:r>
        <w:t>Commodity Charges</w:t>
      </w:r>
      <w:bookmarkEnd w:id="27"/>
      <w:r>
        <w:t xml:space="preserve">, </w:t>
      </w:r>
      <w:bookmarkStart w:id="28" w:name="_9kMHG5YVt3AB8EKSNAA71syXIny5t"/>
      <w:r>
        <w:t>Customer Charges</w:t>
      </w:r>
      <w:bookmarkEnd w:id="28"/>
      <w:r>
        <w:t xml:space="preserve">, </w:t>
      </w:r>
      <w:bookmarkStart w:id="29" w:name="_9kMHG5YVt3AB8EJRvywvEju1p"/>
      <w:r>
        <w:t>CSEP Charges</w:t>
      </w:r>
      <w:bookmarkEnd w:id="29"/>
      <w:del w:id="30" w:author="LOF" w:date="2018-05-08T12:50:00Z">
        <w:r>
          <w:delText xml:space="preserve">, and </w:delText>
        </w:r>
      </w:del>
      <w:ins w:id="31" w:author="LOF" w:date="2018-05-08T12:50:00Z">
        <w:r>
          <w:t xml:space="preserve">; and other NTS-related charges being </w:t>
        </w:r>
        <w:bookmarkStart w:id="32" w:name="_9kMHG5YVt3AB8GLibpm55w3E528nZ5NFxuBzgHI"/>
        <w:r>
          <w:t>Transmission Services Revenue Recovery Charges</w:t>
        </w:r>
        <w:bookmarkEnd w:id="32"/>
        <w:r>
          <w:t xml:space="preserve">, </w:t>
        </w:r>
      </w:ins>
      <w:bookmarkStart w:id="33" w:name="_9kMHG5YVt3DE6GPe7DzL7CIeBvwktBS1cBC7NJF"/>
      <w:bookmarkStart w:id="34" w:name="_9kMHG5YVt39A8GGX7DzL7CIeBvwktBS1cBC7NJF"/>
      <w:r>
        <w:rPr>
          <w:rFonts w:cs="Arial"/>
        </w:rPr>
        <w:t>NTS Entry Capacity Retention Charges</w:t>
      </w:r>
      <w:bookmarkEnd w:id="33"/>
      <w:bookmarkEnd w:id="34"/>
      <w:ins w:id="35" w:author="LOF" w:date="2018-05-08T12:50:00Z">
        <w:r>
          <w:t xml:space="preserve"> and </w:t>
        </w:r>
        <w:r>
          <w:rPr>
            <w:noProof w:val="0"/>
          </w:rPr>
          <w:t xml:space="preserve">the </w:t>
        </w:r>
        <w:bookmarkStart w:id="36" w:name="_9kR3WTr26649Ga5BxJ5AGthvsBB29KB8EtfBTL3"/>
        <w:r>
          <w:rPr>
            <w:noProof w:val="0"/>
          </w:rPr>
          <w:t xml:space="preserve">NTS </w:t>
        </w:r>
        <w:bookmarkStart w:id="37" w:name="_9kMHG5YVt9ID8BJkNtB3liznUli16QOt4Bz"/>
        <w:r>
          <w:rPr>
            <w:noProof w:val="0"/>
          </w:rPr>
          <w:t>Entry Transmission Services Rebate Charge</w:t>
        </w:r>
      </w:ins>
      <w:bookmarkEnd w:id="36"/>
      <w:bookmarkEnd w:id="37"/>
      <w:r>
        <w:t>; and</w:t>
      </w:r>
    </w:p>
    <w:p>
      <w:pPr>
        <w:pStyle w:val="Level-5r"/>
        <w:rPr>
          <w:del w:id="38" w:author="LOF" w:date="2018-05-08T12:50:00Z"/>
        </w:rPr>
      </w:pPr>
      <w:del w:id="39" w:author="LOF" w:date="2018-05-08T12:50:00Z">
        <w:r>
          <w:delText>amounts payable by a DNO User in respect of DN Pensions Deficit Charges;</w:delText>
        </w:r>
      </w:del>
    </w:p>
    <w:p>
      <w:pPr>
        <w:pStyle w:val="Level-5r"/>
        <w:ind w:left="3198" w:hanging="1080"/>
        <w:rPr>
          <w:ins w:id="40" w:author="LOF" w:date="2018-05-08T12:50:00Z"/>
          <w:noProof w:val="0"/>
        </w:rPr>
      </w:pPr>
      <w:ins w:id="41" w:author="LOF" w:date="2018-05-08T12:50:00Z">
        <w:r>
          <w:rPr>
            <w:noProof w:val="0"/>
          </w:rPr>
          <w:t xml:space="preserve">Specific </w:t>
        </w:r>
        <w:bookmarkStart w:id="42" w:name="_9kR3WTr26648IdQxdcqn66x4F639oa6OGyvClV0"/>
        <w:r>
          <w:rPr>
            <w:noProof w:val="0"/>
          </w:rPr>
          <w:t>Non-</w:t>
        </w:r>
        <w:bookmarkStart w:id="43" w:name="_9kMHG5YVt9ID8BGhNtB3lizYIny5t6"/>
        <w:r>
          <w:rPr>
            <w:noProof w:val="0"/>
          </w:rPr>
          <w:t>Transmission Services Charges</w:t>
        </w:r>
        <w:bookmarkEnd w:id="42"/>
        <w:bookmarkEnd w:id="43"/>
        <w:r>
          <w:rPr>
            <w:noProof w:val="0"/>
          </w:rPr>
          <w:t xml:space="preserve"> as provided in </w:t>
        </w:r>
        <w:bookmarkStart w:id="44" w:name="_9kR3WTr2CC5AJ5knoewrqyE"/>
        <w:r>
          <w:rPr>
            <w:noProof w:val="0"/>
          </w:rPr>
          <w:t>paragraph 4</w:t>
        </w:r>
        <w:bookmarkEnd w:id="44"/>
        <w:r>
          <w:rPr>
            <w:noProof w:val="0"/>
          </w:rPr>
          <w:t xml:space="preserve"> of </w:t>
        </w:r>
      </w:ins>
      <w:bookmarkStart w:id="45" w:name="_9kR3WTr2CC5BGbEn7Rl"/>
      <w:ins w:id="46" w:author="Dentons" w:date="2018-05-10T11:30:00Z">
        <w:r>
          <w:rPr>
            <w:noProof w:val="0"/>
          </w:rPr>
          <w:t>Part A-</w:t>
        </w:r>
        <w:bookmarkStart w:id="47" w:name="_9kR3WTr5DA5DEQ"/>
        <w:r>
          <w:rPr>
            <w:noProof w:val="0"/>
          </w:rPr>
          <w:t>I</w:t>
        </w:r>
        <w:bookmarkEnd w:id="45"/>
        <w:bookmarkEnd w:id="47"/>
        <w:r>
          <w:rPr>
            <w:noProof w:val="0"/>
          </w:rPr>
          <w:t xml:space="preserve"> of </w:t>
        </w:r>
      </w:ins>
      <w:ins w:id="48" w:author="LOF" w:date="2018-05-08T12:50:00Z">
        <w:r>
          <w:rPr>
            <w:noProof w:val="0"/>
          </w:rPr>
          <w:t xml:space="preserve">TPD </w:t>
        </w:r>
        <w:bookmarkStart w:id="49" w:name="_9kR3WTr2CC5CIfLcszv1m"/>
        <w:r>
          <w:rPr>
            <w:noProof w:val="0"/>
          </w:rPr>
          <w:t>Section Y</w:t>
        </w:r>
        <w:bookmarkEnd w:id="49"/>
        <w:r>
          <w:rPr>
            <w:noProof w:val="0"/>
          </w:rPr>
          <w:t>,</w:t>
        </w:r>
      </w:ins>
    </w:p>
    <w:p>
      <w:pPr>
        <w:pStyle w:val="Level-5r"/>
        <w:numPr>
          <w:ilvl w:val="0"/>
          <w:numId w:val="0"/>
        </w:numPr>
        <w:ind w:left="2160" w:hanging="42"/>
        <w:rPr>
          <w:ins w:id="50" w:author="LOF" w:date="2018-05-08T12:50:00Z"/>
          <w:noProof w:val="0"/>
        </w:rPr>
      </w:pPr>
      <w:ins w:id="51" w:author="LOF" w:date="2018-05-08T12:50:00Z">
        <w:r>
          <w:rPr>
            <w:noProof w:val="0"/>
          </w:rPr>
          <w:t xml:space="preserve">(and for the avoidance of doubt, </w:t>
        </w:r>
        <w:bookmarkStart w:id="52" w:name="_9kR3WTr2664AEYYvs6A7QFkv2q3"/>
        <w:r>
          <w:rPr>
            <w:noProof w:val="0"/>
          </w:rPr>
          <w:t>Overrun Charges</w:t>
        </w:r>
        <w:bookmarkEnd w:id="52"/>
        <w:r>
          <w:rPr>
            <w:noProof w:val="0"/>
          </w:rPr>
          <w:t xml:space="preserve"> are not included within </w:t>
        </w:r>
        <w:bookmarkStart w:id="53" w:name="_9kMIH5YVt3AB8GMjbpm5858Eyz84AZOt4BzC"/>
        <w:r>
          <w:rPr>
            <w:noProof w:val="0"/>
          </w:rPr>
          <w:t>Transportation Charges</w:t>
        </w:r>
        <w:bookmarkEnd w:id="53"/>
        <w:r>
          <w:rPr>
            <w:noProof w:val="0"/>
          </w:rPr>
          <w:t>);</w:t>
        </w:r>
      </w:ins>
    </w:p>
    <w:p>
      <w:pPr>
        <w:pStyle w:val="Level-4a"/>
        <w:ind w:left="2118" w:hanging="720"/>
        <w:rPr>
          <w:lang w:val="en-GB"/>
        </w:rPr>
      </w:pPr>
      <w:r>
        <w:rPr>
          <w:b/>
          <w:lang w:val="en-GB"/>
        </w:rPr>
        <w:t>"</w:t>
      </w:r>
      <w:bookmarkStart w:id="54" w:name="_9kR3WTr25559BVFtutyvuKGlw3r4"/>
      <w:bookmarkStart w:id="55" w:name="_9kR3WTr1896DJaFtutyvuKGlw3r4"/>
      <w:r>
        <w:rPr>
          <w:b/>
          <w:lang w:val="en-GB"/>
        </w:rPr>
        <w:t>Metering Charges</w:t>
      </w:r>
      <w:bookmarkEnd w:id="54"/>
      <w:bookmarkEnd w:id="55"/>
      <w:r>
        <w:rPr>
          <w:b/>
          <w:lang w:val="en-GB"/>
        </w:rPr>
        <w:t>"</w:t>
      </w:r>
      <w:r>
        <w:rPr>
          <w:lang w:val="en-GB"/>
        </w:rPr>
        <w:t xml:space="preserve"> are the prevailing charges </w:t>
      </w:r>
      <w:bookmarkStart w:id="56" w:name="_9kMHG5YVt9ID7FNrRevv"/>
      <w:r>
        <w:rPr>
          <w:lang w:val="en-GB"/>
        </w:rPr>
        <w:t xml:space="preserve">payable by a </w:t>
      </w:r>
      <w:bookmarkStart w:id="57" w:name="_9kMHG5YVt4886FLiduu"/>
      <w:r>
        <w:rPr>
          <w:lang w:val="en-GB"/>
        </w:rPr>
        <w:t>User</w:t>
      </w:r>
      <w:bookmarkEnd w:id="56"/>
      <w:bookmarkEnd w:id="57"/>
      <w:r>
        <w:rPr>
          <w:lang w:val="en-GB"/>
        </w:rPr>
        <w:t xml:space="preserve"> as contained in the </w:t>
      </w:r>
      <w:bookmarkStart w:id="58" w:name="_9kR3WTr26647GbFtutyvuKGlw3r4tp45A457N"/>
      <w:r>
        <w:rPr>
          <w:lang w:val="en-GB"/>
        </w:rPr>
        <w:t>Metering Charges Statement</w:t>
      </w:r>
      <w:bookmarkEnd w:id="58"/>
      <w:del w:id="59" w:author="LOF" w:date="2018-05-08T12:50:00Z">
        <w:r>
          <w:delText>.</w:delText>
        </w:r>
      </w:del>
      <w:ins w:id="60" w:author="LOF" w:date="2018-05-08T12:50:00Z">
        <w:r>
          <w:rPr>
            <w:lang w:val="en-GB"/>
          </w:rPr>
          <w:t>;</w:t>
        </w:r>
      </w:ins>
      <w:bookmarkStart w:id="61" w:name="_DV_M83"/>
      <w:bookmarkEnd w:id="61"/>
    </w:p>
    <w:p>
      <w:pPr>
        <w:pStyle w:val="Level-4a"/>
        <w:ind w:left="2118" w:hanging="720"/>
        <w:rPr>
          <w:ins w:id="62" w:author="LOF" w:date="2018-05-08T12:50:00Z"/>
          <w:lang w:val="en-GB"/>
        </w:rPr>
      </w:pPr>
      <w:bookmarkStart w:id="63" w:name="_9kMJI5YVt3AB8GMjbpm5858Eyz84AZOt4BzC"/>
      <w:ins w:id="64" w:author="LOF" w:date="2018-05-08T12:50:00Z">
        <w:r>
          <w:rPr>
            <w:lang w:val="en-GB"/>
          </w:rPr>
          <w:t>Transportation Charges</w:t>
        </w:r>
        <w:bookmarkEnd w:id="63"/>
        <w:r>
          <w:rPr>
            <w:lang w:val="en-GB"/>
          </w:rPr>
          <w:t xml:space="preserve"> in respect of </w:t>
        </w:r>
        <w:bookmarkStart w:id="65" w:name="_9kMHG5YVt9ID89Ca7DLrwjo78ropu5HJus63MMD"/>
        <w:r>
          <w:rPr>
            <w:lang w:val="en-GB"/>
          </w:rPr>
          <w:t xml:space="preserve">the NTS are divided into </w:t>
        </w:r>
        <w:bookmarkStart w:id="66" w:name="_9kR3WTr2664CLiZnk33u1C306lX3LDvs9iSx8F3"/>
        <w:r>
          <w:rPr>
            <w:lang w:val="en-GB"/>
          </w:rPr>
          <w:t>Transmission Services</w:t>
        </w:r>
        <w:bookmarkEnd w:id="65"/>
        <w:r>
          <w:rPr>
            <w:lang w:val="en-GB"/>
          </w:rPr>
          <w:t xml:space="preserve"> </w:t>
        </w:r>
        <w:bookmarkStart w:id="67" w:name="_9kMHG5YVt9ID7GOTAfqxlyvrvWc9po2zII9GRIF"/>
        <w:r>
          <w:rPr>
            <w:lang w:val="en-GB"/>
          </w:rPr>
          <w:t>Charges and Non-Transmission Services Charges</w:t>
        </w:r>
        <w:bookmarkEnd w:id="66"/>
        <w:bookmarkEnd w:id="67"/>
        <w:r>
          <w:rPr>
            <w:lang w:val="en-GB"/>
          </w:rPr>
          <w:t xml:space="preserve"> as provided </w:t>
        </w:r>
        <w:bookmarkStart w:id="68" w:name="_9kR3WTr7GB677qqjZcp5vfqtl6B99ABx"/>
        <w:r>
          <w:rPr>
            <w:lang w:val="en-GB"/>
          </w:rPr>
          <w:t xml:space="preserve">in the </w:t>
        </w:r>
        <w:bookmarkStart w:id="69" w:name="_9kMHG5YVt3AB8GJa7DEesp8B8BH12B7DcRw7E6E"/>
        <w:r>
          <w:rPr>
            <w:lang w:val="en-GB"/>
          </w:rPr>
          <w:t>NTS Transportation Charging Methodology</w:t>
        </w:r>
        <w:bookmarkEnd w:id="68"/>
        <w:bookmarkEnd w:id="69"/>
        <w:r>
          <w:rPr>
            <w:lang w:val="en-GB"/>
          </w:rPr>
          <w:t>; and</w:t>
        </w:r>
      </w:ins>
    </w:p>
    <w:p>
      <w:pPr>
        <w:pStyle w:val="Level-4a"/>
        <w:ind w:left="2118" w:hanging="720"/>
        <w:rPr>
          <w:ins w:id="70" w:author="LOF" w:date="2018-05-08T12:50:00Z"/>
          <w:lang w:val="en-GB"/>
        </w:rPr>
      </w:pPr>
      <w:ins w:id="71" w:author="LOF" w:date="2018-05-08T12:50:00Z">
        <w:r>
          <w:rPr>
            <w:lang w:val="en-GB"/>
          </w:rPr>
          <w:t>the "</w:t>
        </w:r>
        <w:bookmarkStart w:id="72" w:name="_9kR3WTr2446BAU5BCcqn6969Fz095BaPu5C4CBl"/>
        <w:bookmarkStart w:id="73" w:name="_9kR3WTr1896EHY5BCcqn6969Fz095BaPu5C4CBl"/>
        <w:r>
          <w:rPr>
            <w:b/>
            <w:lang w:val="en-GB"/>
          </w:rPr>
          <w:t>NTS Transportation Charging Methodology</w:t>
        </w:r>
        <w:bookmarkEnd w:id="72"/>
        <w:bookmarkEnd w:id="73"/>
        <w:r>
          <w:rPr>
            <w:lang w:val="en-GB"/>
          </w:rPr>
          <w:t xml:space="preserve">" is </w:t>
        </w:r>
        <w:bookmarkStart w:id="74" w:name="_9kR3WTr1236DLdCpyu0nmTU3q"/>
        <w:bookmarkStart w:id="75" w:name="_9kR3WTr266489UCpyu0nmTU3qWHN"/>
        <w:r>
          <w:rPr>
            <w:lang w:val="en-GB"/>
          </w:rPr>
          <w:t>National Grid</w:t>
        </w:r>
        <w:bookmarkEnd w:id="74"/>
        <w:r>
          <w:rPr>
            <w:lang w:val="en-GB"/>
          </w:rPr>
          <w:t xml:space="preserve"> </w:t>
        </w:r>
        <w:bookmarkStart w:id="76" w:name="_9kMHG5YVt4668DCW7DEesp8B8BH12B7DcRw7E6E"/>
        <w:r>
          <w:rPr>
            <w:lang w:val="en-GB"/>
          </w:rPr>
          <w:t>NTS's</w:t>
        </w:r>
        <w:bookmarkEnd w:id="75"/>
        <w:r>
          <w:rPr>
            <w:lang w:val="en-GB"/>
          </w:rPr>
          <w:t xml:space="preserve"> transportation charging methodology</w:t>
        </w:r>
        <w:bookmarkEnd w:id="76"/>
        <w:r>
          <w:rPr>
            <w:lang w:val="en-GB"/>
          </w:rPr>
          <w:t xml:space="preserve"> contained in </w:t>
        </w:r>
        <w:bookmarkStart w:id="77" w:name="_9kMHG5YVt4EE7DIdGp9Tn"/>
        <w:r>
          <w:rPr>
            <w:lang w:val="en-GB"/>
          </w:rPr>
          <w:t>Part A-</w:t>
        </w:r>
      </w:ins>
      <w:ins w:id="78" w:author="Dentons" w:date="2018-05-10T11:30:00Z">
        <w:r>
          <w:rPr>
            <w:lang w:val="en-GB"/>
          </w:rPr>
          <w:t>I</w:t>
        </w:r>
      </w:ins>
      <w:bookmarkEnd w:id="77"/>
      <w:ins w:id="79" w:author="LOF" w:date="2018-05-08T12:50:00Z">
        <w:r>
          <w:rPr>
            <w:lang w:val="en-GB"/>
          </w:rPr>
          <w:t xml:space="preserve"> of TPD </w:t>
        </w:r>
        <w:bookmarkStart w:id="80" w:name="_9kR3WTr2CC5CJgLcszv1m"/>
        <w:r>
          <w:rPr>
            <w:lang w:val="en-GB"/>
          </w:rPr>
          <w:t>Section Y</w:t>
        </w:r>
        <w:bookmarkEnd w:id="80"/>
        <w:r>
          <w:rPr>
            <w:lang w:val="en-GB"/>
          </w:rPr>
          <w:t>.</w:t>
        </w:r>
      </w:ins>
    </w:p>
    <w:p>
      <w:pPr>
        <w:pStyle w:val="Level-3"/>
        <w:rPr>
          <w:lang w:val="en-GB"/>
        </w:rPr>
      </w:pPr>
      <w:r>
        <w:rPr>
          <w:lang w:val="en-GB"/>
        </w:rPr>
        <w:t xml:space="preserve">A </w:t>
      </w:r>
      <w:r>
        <w:rPr>
          <w:b/>
          <w:lang w:val="en-GB"/>
        </w:rPr>
        <w:t>"</w:t>
      </w:r>
      <w:bookmarkStart w:id="81" w:name="_9kR3WTr25558GR1lmaj1IcGlw3r"/>
      <w:bookmarkStart w:id="82" w:name="_9kR3WTr1896CCK1lmaj1IcGlw3r"/>
      <w:r>
        <w:rPr>
          <w:b/>
          <w:lang w:val="en-GB"/>
        </w:rPr>
        <w:t>Capacity Charge</w:t>
      </w:r>
      <w:bookmarkEnd w:id="81"/>
      <w:bookmarkEnd w:id="82"/>
      <w:r>
        <w:rPr>
          <w:b/>
          <w:lang w:val="en-GB"/>
        </w:rPr>
        <w:t>"</w:t>
      </w:r>
      <w:r>
        <w:rPr>
          <w:lang w:val="en-GB"/>
        </w:rPr>
        <w:t xml:space="preserve"> is a charge in respect of, and determined by reference to the amount </w:t>
      </w:r>
      <w:bookmarkStart w:id="83" w:name="_9kMHG5YVt9ID8BAxqdTgxxCnUqv8K767u"/>
      <w:r>
        <w:rPr>
          <w:lang w:val="en-GB"/>
        </w:rPr>
        <w:t xml:space="preserve">of, a </w:t>
      </w:r>
      <w:bookmarkStart w:id="84" w:name="_9kR3WTr2664EGcbss7iPlq3F212pZKQCYKPVrO8"/>
      <w:r>
        <w:rPr>
          <w:lang w:val="en-GB"/>
        </w:rPr>
        <w:t>User's Registered NTS Entry Capacity</w:t>
      </w:r>
      <w:bookmarkEnd w:id="83"/>
      <w:bookmarkEnd w:id="84"/>
      <w:r>
        <w:rPr>
          <w:lang w:val="en-GB"/>
        </w:rPr>
        <w:t xml:space="preserve">, </w:t>
      </w:r>
      <w:bookmarkStart w:id="85" w:name="_9kR3WTr2664AJgKglyAxwxkUFL7dEBgI23r0IZV"/>
      <w:r>
        <w:rPr>
          <w:lang w:val="en-GB"/>
        </w:rPr>
        <w:t xml:space="preserve">Registered </w:t>
      </w:r>
      <w:bookmarkStart w:id="86" w:name="_9kMHG5YVt9ID7HQWS30V7rsgp7O"/>
      <w:r>
        <w:rPr>
          <w:lang w:val="en-GB"/>
        </w:rPr>
        <w:t>NTS Exit Capacity</w:t>
      </w:r>
      <w:bookmarkEnd w:id="86"/>
      <w:r>
        <w:rPr>
          <w:lang w:val="en-GB"/>
        </w:rPr>
        <w:t xml:space="preserve"> or Registered LDZ Capacity at a System Point</w:t>
      </w:r>
      <w:bookmarkEnd w:id="85"/>
      <w:r>
        <w:rPr>
          <w:lang w:val="en-GB"/>
        </w:rPr>
        <w:t>.</w:t>
      </w:r>
      <w:bookmarkStart w:id="87" w:name="_DV_M84"/>
      <w:bookmarkEnd w:id="87"/>
    </w:p>
    <w:p>
      <w:pPr>
        <w:pStyle w:val="Level-3"/>
        <w:rPr>
          <w:lang w:val="en-GB"/>
        </w:rPr>
      </w:pPr>
      <w:r>
        <w:rPr>
          <w:lang w:val="en-GB"/>
        </w:rPr>
        <w:lastRenderedPageBreak/>
        <w:t xml:space="preserve">A </w:t>
      </w:r>
      <w:r>
        <w:rPr>
          <w:b/>
          <w:lang w:val="en-GB"/>
        </w:rPr>
        <w:t>"</w:t>
      </w:r>
      <w:bookmarkStart w:id="88" w:name="_9kR3WTr1896CFNFwvyql2JdHmx4s"/>
      <w:r>
        <w:rPr>
          <w:b/>
          <w:lang w:val="en-GB"/>
        </w:rPr>
        <w:t>Commodity Charge</w:t>
      </w:r>
      <w:bookmarkEnd w:id="88"/>
      <w:r>
        <w:rPr>
          <w:b/>
          <w:lang w:val="en-GB"/>
        </w:rPr>
        <w:t>"</w:t>
      </w:r>
      <w:r>
        <w:rPr>
          <w:lang w:val="en-GB"/>
        </w:rPr>
        <w:t xml:space="preserve"> is a charge in respect of use of a </w:t>
      </w:r>
      <w:bookmarkStart w:id="89" w:name="_9kR3WTr2664CHdfC8vp"/>
      <w:r>
        <w:rPr>
          <w:lang w:val="en-GB"/>
        </w:rPr>
        <w:t>System</w:t>
      </w:r>
      <w:bookmarkEnd w:id="89"/>
      <w:r>
        <w:rPr>
          <w:lang w:val="en-GB"/>
        </w:rPr>
        <w:t xml:space="preserve">, determined by reference to the quantity of the gas flow (or the part thereof attributable to a </w:t>
      </w:r>
      <w:bookmarkStart w:id="90" w:name="_9kMIH5YVt4886FLiduu"/>
      <w:r>
        <w:rPr>
          <w:lang w:val="en-GB"/>
        </w:rPr>
        <w:t>User</w:t>
      </w:r>
      <w:bookmarkEnd w:id="90"/>
      <w:r>
        <w:rPr>
          <w:lang w:val="en-GB"/>
        </w:rPr>
        <w:t xml:space="preserve">) at a </w:t>
      </w:r>
      <w:bookmarkStart w:id="91" w:name="_9kR3WTr2664CJffC8vpbYyyA"/>
      <w:r>
        <w:rPr>
          <w:lang w:val="en-GB"/>
        </w:rPr>
        <w:t>System Point</w:t>
      </w:r>
      <w:bookmarkEnd w:id="91"/>
      <w:r>
        <w:rPr>
          <w:lang w:val="en-GB"/>
        </w:rPr>
        <w:t xml:space="preserve">, or a charge payable by reference to the arrangements in </w:t>
      </w:r>
      <w:bookmarkStart w:id="92" w:name="_9kR3WTr2664BKhWpdihlOM4uq784A"/>
      <w:r>
        <w:rPr>
          <w:lang w:val="en-GB"/>
        </w:rPr>
        <w:t>Special Condition</w:t>
      </w:r>
      <w:bookmarkEnd w:id="92"/>
      <w:r>
        <w:rPr>
          <w:lang w:val="en-GB"/>
        </w:rPr>
        <w:t xml:space="preserve"> 2A or </w:t>
      </w:r>
      <w:bookmarkStart w:id="93" w:name="_9kMHG5YVt4886DMjYrfkjnQO6ws9A6C"/>
      <w:r>
        <w:rPr>
          <w:lang w:val="en-GB"/>
        </w:rPr>
        <w:t>Special Condition</w:t>
      </w:r>
      <w:bookmarkEnd w:id="93"/>
      <w:r>
        <w:rPr>
          <w:lang w:val="en-GB"/>
        </w:rPr>
        <w:t xml:space="preserve"> 3A </w:t>
      </w:r>
      <w:bookmarkStart w:id="94" w:name="_9kR3WTr7GB67Db5BbW9smgurADADJ76L"/>
      <w:r>
        <w:rPr>
          <w:lang w:val="en-GB"/>
        </w:rPr>
        <w:t xml:space="preserve">of </w:t>
      </w:r>
      <w:bookmarkStart w:id="95" w:name="_9kMHG5YVt3458FNfEr0w2poVW5s"/>
      <w:bookmarkStart w:id="96" w:name="_9kR3WTr26648EZCpyu0nmTU3qWHNnvp30JMJMSG"/>
      <w:r>
        <w:rPr>
          <w:lang w:val="en-GB"/>
        </w:rPr>
        <w:t>National Grid</w:t>
      </w:r>
      <w:bookmarkEnd w:id="95"/>
      <w:r>
        <w:rPr>
          <w:lang w:val="en-GB"/>
        </w:rPr>
        <w:t xml:space="preserve"> </w:t>
      </w:r>
      <w:bookmarkStart w:id="97" w:name="_9kR3WTr6735DF"/>
      <w:r>
        <w:rPr>
          <w:lang w:val="en-GB"/>
        </w:rPr>
        <w:t>NTS’s</w:t>
      </w:r>
      <w:bookmarkEnd w:id="97"/>
      <w:r>
        <w:rPr>
          <w:lang w:val="en-GB"/>
        </w:rPr>
        <w:t xml:space="preserve"> </w:t>
      </w:r>
      <w:bookmarkStart w:id="98" w:name="_9kMHG5YVt8957FH"/>
      <w:r>
        <w:rPr>
          <w:lang w:val="en-GB"/>
        </w:rPr>
        <w:t>Transporter’s</w:t>
      </w:r>
      <w:bookmarkEnd w:id="98"/>
      <w:r>
        <w:rPr>
          <w:lang w:val="en-GB"/>
        </w:rPr>
        <w:t xml:space="preserve"> Licence</w:t>
      </w:r>
      <w:bookmarkEnd w:id="94"/>
      <w:r>
        <w:rPr>
          <w:lang w:val="en-GB"/>
        </w:rPr>
        <w:t xml:space="preserve"> or Special Condition</w:t>
      </w:r>
      <w:bookmarkEnd w:id="96"/>
      <w:r>
        <w:rPr>
          <w:lang w:val="en-GB"/>
        </w:rPr>
        <w:t xml:space="preserve"> 1B of the relevant </w:t>
      </w:r>
      <w:bookmarkStart w:id="99" w:name="_9kMIH5YVt8957FH"/>
      <w:bookmarkStart w:id="100" w:name="_9kR3WTr26646BOp1Xjdro7A7AG43InYwt54w"/>
      <w:r>
        <w:rPr>
          <w:lang w:val="en-GB"/>
        </w:rPr>
        <w:t>DNO’s</w:t>
      </w:r>
      <w:bookmarkEnd w:id="99"/>
      <w:r>
        <w:rPr>
          <w:lang w:val="en-GB"/>
        </w:rPr>
        <w:t xml:space="preserve"> Transporter's Licence</w:t>
      </w:r>
      <w:bookmarkEnd w:id="100"/>
      <w:r>
        <w:rPr>
          <w:lang w:val="en-GB"/>
        </w:rPr>
        <w:t>.</w:t>
      </w:r>
      <w:bookmarkStart w:id="101" w:name="_DV_M85"/>
      <w:bookmarkEnd w:id="101"/>
    </w:p>
    <w:p>
      <w:pPr>
        <w:pStyle w:val="Level-3"/>
        <w:rPr>
          <w:lang w:val="en-GB"/>
        </w:rPr>
      </w:pPr>
      <w:r>
        <w:rPr>
          <w:lang w:val="en-GB"/>
        </w:rPr>
        <w:t xml:space="preserve">A </w:t>
      </w:r>
      <w:r>
        <w:rPr>
          <w:b/>
          <w:lang w:val="en-GB"/>
        </w:rPr>
        <w:t>"</w:t>
      </w:r>
      <w:bookmarkStart w:id="102" w:name="_9kR3WTr1896CIQL885zqwVGlw3r"/>
      <w:r>
        <w:rPr>
          <w:b/>
          <w:lang w:val="en-GB"/>
        </w:rPr>
        <w:t>Customer Charge</w:t>
      </w:r>
      <w:bookmarkEnd w:id="102"/>
      <w:r>
        <w:rPr>
          <w:b/>
          <w:lang w:val="en-GB"/>
        </w:rPr>
        <w:t>"</w:t>
      </w:r>
      <w:r>
        <w:rPr>
          <w:lang w:val="en-GB"/>
        </w:rPr>
        <w:t xml:space="preserve"> is a charge payable by reason of being the </w:t>
      </w:r>
      <w:bookmarkStart w:id="103" w:name="_9kR3WTr2664BEaKglyAxwxkbl22D2pdsMIFP4pF"/>
      <w:r>
        <w:rPr>
          <w:lang w:val="en-GB"/>
        </w:rPr>
        <w:t>Registered User of a Supply Point</w:t>
      </w:r>
      <w:bookmarkEnd w:id="103"/>
      <w:r>
        <w:rPr>
          <w:lang w:val="en-GB"/>
        </w:rPr>
        <w:t>.</w:t>
      </w:r>
      <w:bookmarkStart w:id="104" w:name="_DV_M86"/>
      <w:bookmarkEnd w:id="104"/>
    </w:p>
    <w:p>
      <w:pPr>
        <w:pStyle w:val="Level-3"/>
        <w:rPr>
          <w:lang w:val="en-GB"/>
        </w:rPr>
      </w:pPr>
      <w:r>
        <w:rPr>
          <w:lang w:val="en-GB"/>
        </w:rPr>
        <w:t xml:space="preserve">In respect of a </w:t>
      </w:r>
      <w:bookmarkStart w:id="105" w:name="_9kMIH5YVt3AB8EKSNAA71syXIny5t"/>
      <w:r>
        <w:rPr>
          <w:lang w:val="en-GB"/>
        </w:rPr>
        <w:t>Customer Charge</w:t>
      </w:r>
      <w:bookmarkEnd w:id="105"/>
      <w:r>
        <w:rPr>
          <w:lang w:val="en-GB"/>
        </w:rPr>
        <w:t>:</w:t>
      </w:r>
      <w:bookmarkStart w:id="106" w:name="_DV_M87"/>
      <w:bookmarkEnd w:id="106"/>
    </w:p>
    <w:p>
      <w:pPr>
        <w:pStyle w:val="Level-4a"/>
        <w:ind w:left="2118" w:hanging="720"/>
        <w:rPr>
          <w:lang w:val="en-GB"/>
        </w:rPr>
      </w:pPr>
      <w:r>
        <w:rPr>
          <w:lang w:val="en-GB"/>
        </w:rPr>
        <w:t xml:space="preserve">the </w:t>
      </w:r>
      <w:r>
        <w:rPr>
          <w:b/>
          <w:lang w:val="en-GB"/>
        </w:rPr>
        <w:t>"</w:t>
      </w:r>
      <w:bookmarkStart w:id="107" w:name="_9kR3WTr25558HS1lmaj1IvSv4oiuyQVCEHG78O"/>
      <w:bookmarkStart w:id="108" w:name="_9kR3WTr1896CEM1lmaj1IvSv4oiuyQVCEHG78O"/>
      <w:r>
        <w:rPr>
          <w:b/>
          <w:lang w:val="en-GB"/>
        </w:rPr>
        <w:t>Capacity Variable Component</w:t>
      </w:r>
      <w:bookmarkEnd w:id="107"/>
      <w:bookmarkEnd w:id="108"/>
      <w:r>
        <w:rPr>
          <w:b/>
          <w:lang w:val="en-GB"/>
        </w:rPr>
        <w:t>"</w:t>
      </w:r>
      <w:r>
        <w:rPr>
          <w:lang w:val="en-GB"/>
        </w:rPr>
        <w:t xml:space="preserve"> is the component (if any) thereof the amount of which is determined by reference to </w:t>
      </w:r>
      <w:bookmarkStart w:id="109" w:name="_9kMHG5YVt9ID89H6qdTgxxC"/>
      <w:r>
        <w:rPr>
          <w:lang w:val="en-GB"/>
        </w:rPr>
        <w:t xml:space="preserve">the amount of a </w:t>
      </w:r>
      <w:bookmarkStart w:id="110" w:name="_9kR3WTr2664EKgbss7iPlq3F212peqKGDN2nDDP"/>
      <w:r>
        <w:rPr>
          <w:lang w:val="en-GB"/>
        </w:rPr>
        <w:t>User's Registered</w:t>
      </w:r>
      <w:bookmarkEnd w:id="109"/>
      <w:r>
        <w:rPr>
          <w:lang w:val="en-GB"/>
        </w:rPr>
        <w:t xml:space="preserve"> Supply Point Capacity</w:t>
      </w:r>
      <w:bookmarkEnd w:id="110"/>
      <w:r>
        <w:rPr>
          <w:lang w:val="en-GB"/>
        </w:rPr>
        <w:t>;</w:t>
      </w:r>
      <w:bookmarkStart w:id="111" w:name="_DV_M88"/>
      <w:bookmarkEnd w:id="111"/>
    </w:p>
    <w:p>
      <w:pPr>
        <w:pStyle w:val="Level-4a"/>
        <w:ind w:left="2118" w:hanging="720"/>
        <w:rPr>
          <w:lang w:val="en-GB"/>
        </w:rPr>
      </w:pPr>
      <w:r>
        <w:rPr>
          <w:lang w:val="en-GB"/>
        </w:rPr>
        <w:t xml:space="preserve">the </w:t>
      </w:r>
      <w:r>
        <w:rPr>
          <w:b/>
          <w:lang w:val="en-GB"/>
        </w:rPr>
        <w:t>"</w:t>
      </w:r>
      <w:bookmarkStart w:id="112" w:name="_9kR3WTr1896CGOFwvyql2JwTw5pjvzRWDFIH89P"/>
      <w:r>
        <w:rPr>
          <w:b/>
          <w:lang w:val="en-GB"/>
        </w:rPr>
        <w:t>Commodity Variable Component</w:t>
      </w:r>
      <w:bookmarkEnd w:id="112"/>
      <w:r>
        <w:rPr>
          <w:b/>
          <w:lang w:val="en-GB"/>
        </w:rPr>
        <w:t>"</w:t>
      </w:r>
      <w:r>
        <w:rPr>
          <w:lang w:val="en-GB"/>
        </w:rPr>
        <w:t xml:space="preserve"> is the component (if any) thereof the amount of which is determined by reference to the quantity of the gas flow at a </w:t>
      </w:r>
      <w:bookmarkStart w:id="113" w:name="_9kR3WTr2664CFbb51y8nYyyA"/>
      <w:r>
        <w:rPr>
          <w:lang w:val="en-GB"/>
        </w:rPr>
        <w:t>Supply Point</w:t>
      </w:r>
      <w:bookmarkEnd w:id="113"/>
      <w:r>
        <w:rPr>
          <w:lang w:val="en-GB"/>
        </w:rPr>
        <w:t>;</w:t>
      </w:r>
      <w:bookmarkStart w:id="114" w:name="_DV_M89"/>
      <w:bookmarkEnd w:id="114"/>
    </w:p>
    <w:p>
      <w:pPr>
        <w:pStyle w:val="Level-4a"/>
        <w:ind w:left="2118" w:hanging="720"/>
        <w:rPr>
          <w:lang w:val="en-GB"/>
        </w:rPr>
      </w:pPr>
      <w:r>
        <w:rPr>
          <w:lang w:val="en-GB"/>
        </w:rPr>
        <w:t xml:space="preserve">the </w:t>
      </w:r>
      <w:r>
        <w:rPr>
          <w:b/>
          <w:lang w:val="en-GB"/>
        </w:rPr>
        <w:t>"</w:t>
      </w:r>
      <w:bookmarkStart w:id="115" w:name="_9kR3WTr1AB6BEQC1yfEK1365wxD"/>
      <w:bookmarkStart w:id="116" w:name="_9kR3WTr1896DGQC1yfEK1365wxD"/>
      <w:r>
        <w:rPr>
          <w:b/>
          <w:lang w:val="en-GB"/>
        </w:rPr>
        <w:t>Fixed Component</w:t>
      </w:r>
      <w:bookmarkEnd w:id="115"/>
      <w:bookmarkEnd w:id="116"/>
      <w:r>
        <w:rPr>
          <w:b/>
          <w:lang w:val="en-GB"/>
        </w:rPr>
        <w:t>"</w:t>
      </w:r>
      <w:r>
        <w:rPr>
          <w:lang w:val="en-GB"/>
        </w:rPr>
        <w:t xml:space="preserve"> is the component (if any) thereof which is not determined by reference to </w:t>
      </w:r>
      <w:bookmarkStart w:id="117" w:name="_9kR3WTr2664CGcb51y8nYyyAaCwxluCT"/>
      <w:r>
        <w:rPr>
          <w:lang w:val="en-GB"/>
        </w:rPr>
        <w:t>Supply Point Capacity</w:t>
      </w:r>
      <w:bookmarkEnd w:id="117"/>
      <w:r>
        <w:rPr>
          <w:lang w:val="en-GB"/>
        </w:rPr>
        <w:t xml:space="preserve"> or gas flow.</w:t>
      </w:r>
      <w:bookmarkStart w:id="118" w:name="_DV_M90"/>
      <w:bookmarkEnd w:id="118"/>
    </w:p>
    <w:p>
      <w:pPr>
        <w:pStyle w:val="Level-3"/>
        <w:rPr>
          <w:lang w:val="en-GB"/>
        </w:rPr>
      </w:pPr>
      <w:r>
        <w:rPr>
          <w:lang w:val="en-GB"/>
        </w:rPr>
        <w:t xml:space="preserve">Where any element of a </w:t>
      </w:r>
      <w:bookmarkStart w:id="119" w:name="_9kMKJ5YVt3AB8GMjbpm5858Eyz84AZOt4BzC"/>
      <w:r>
        <w:rPr>
          <w:lang w:val="en-GB"/>
        </w:rPr>
        <w:t xml:space="preserve">Transportation </w:t>
      </w:r>
      <w:bookmarkStart w:id="120" w:name="_9kMHG5YVt9ID7GNSAfqxlo3Bu45jvz"/>
      <w:r>
        <w:rPr>
          <w:lang w:val="en-GB"/>
        </w:rPr>
        <w:t>Charge</w:t>
      </w:r>
      <w:bookmarkEnd w:id="119"/>
      <w:r>
        <w:rPr>
          <w:lang w:val="en-GB"/>
        </w:rPr>
        <w:t xml:space="preserve"> is payable by a </w:t>
      </w:r>
      <w:bookmarkStart w:id="121" w:name="_9kMJI5YVt4886FLiduu"/>
      <w:r>
        <w:rPr>
          <w:lang w:val="en-GB"/>
        </w:rPr>
        <w:t>User</w:t>
      </w:r>
      <w:bookmarkEnd w:id="120"/>
      <w:bookmarkEnd w:id="121"/>
      <w:r>
        <w:rPr>
          <w:lang w:val="en-GB"/>
        </w:rPr>
        <w:t xml:space="preserve"> pursuant to a contract other than one made upon the terms of the </w:t>
      </w:r>
      <w:bookmarkStart w:id="122" w:name="_9kMIH5YVt48867ERHpg"/>
      <w:r>
        <w:rPr>
          <w:lang w:val="en-GB"/>
        </w:rPr>
        <w:t>Code</w:t>
      </w:r>
      <w:bookmarkEnd w:id="122"/>
      <w:r>
        <w:rPr>
          <w:lang w:val="en-GB"/>
        </w:rPr>
        <w:t xml:space="preserve">, such element shall not in addition be payable under the </w:t>
      </w:r>
      <w:bookmarkStart w:id="123" w:name="_9kMJI5YVt48867ERHpg"/>
      <w:r>
        <w:rPr>
          <w:lang w:val="en-GB"/>
        </w:rPr>
        <w:t>Code</w:t>
      </w:r>
      <w:bookmarkEnd w:id="123"/>
      <w:r>
        <w:rPr>
          <w:lang w:val="en-GB"/>
        </w:rPr>
        <w:t>.</w:t>
      </w:r>
      <w:bookmarkStart w:id="124" w:name="_DV_M91"/>
      <w:bookmarkEnd w:id="124"/>
    </w:p>
    <w:p>
      <w:pPr>
        <w:pStyle w:val="Level-3"/>
        <w:rPr>
          <w:lang w:val="en-GB"/>
        </w:rPr>
      </w:pPr>
      <w:r>
        <w:rPr>
          <w:lang w:val="en-GB"/>
        </w:rPr>
        <w:t xml:space="preserve">A </w:t>
      </w:r>
      <w:r>
        <w:rPr>
          <w:b/>
          <w:lang w:val="en-GB"/>
        </w:rPr>
        <w:t>"</w:t>
      </w:r>
      <w:bookmarkStart w:id="125" w:name="_9kR3WTr255599JtwutChszn"/>
      <w:bookmarkStart w:id="126" w:name="_9kR3WTr1896CHPtwutChszn"/>
      <w:r>
        <w:rPr>
          <w:b/>
          <w:lang w:val="en-GB"/>
        </w:rPr>
        <w:t>CSEP Charge</w:t>
      </w:r>
      <w:bookmarkEnd w:id="125"/>
      <w:bookmarkEnd w:id="126"/>
      <w:r>
        <w:rPr>
          <w:b/>
          <w:lang w:val="en-GB"/>
        </w:rPr>
        <w:t>"</w:t>
      </w:r>
      <w:r>
        <w:rPr>
          <w:lang w:val="en-GB"/>
        </w:rPr>
        <w:t xml:space="preserve"> is a charge payable by virtue of being (in relation to a relevant </w:t>
      </w:r>
      <w:bookmarkStart w:id="127" w:name="_9kR3WTr26645DQFxxpfvyjYoLH4yZfGDvlBBN"/>
      <w:r>
        <w:rPr>
          <w:lang w:val="en-GB"/>
        </w:rPr>
        <w:t>Connected System Exit Point</w:t>
      </w:r>
      <w:bookmarkEnd w:id="127"/>
      <w:r>
        <w:rPr>
          <w:lang w:val="en-GB"/>
        </w:rPr>
        <w:t xml:space="preserve">) a </w:t>
      </w:r>
      <w:bookmarkStart w:id="128" w:name="_9kR3WTr26645ERtwuBfww"/>
      <w:r>
        <w:rPr>
          <w:lang w:val="en-GB"/>
        </w:rPr>
        <w:t>CSEP User</w:t>
      </w:r>
      <w:bookmarkEnd w:id="128"/>
      <w:r>
        <w:rPr>
          <w:lang w:val="en-GB"/>
        </w:rPr>
        <w:t>.</w:t>
      </w:r>
      <w:bookmarkStart w:id="129" w:name="_DV_M92"/>
      <w:bookmarkStart w:id="130" w:name="_Ref61424398"/>
      <w:bookmarkEnd w:id="129"/>
    </w:p>
    <w:p>
      <w:pPr>
        <w:pStyle w:val="Level-3"/>
        <w:rPr>
          <w:ins w:id="131" w:author="LOF" w:date="2018-05-08T12:50:00Z"/>
          <w:lang w:val="en-GB"/>
        </w:rPr>
      </w:pPr>
      <w:bookmarkStart w:id="132" w:name="_Ref513715082"/>
      <w:bookmarkStart w:id="133" w:name="_9kR3WTr299568AGOlcqn66x4F639oa6OGyvC0hI"/>
      <w:ins w:id="134" w:author="LOF" w:date="2018-05-08T12:50:00Z">
        <w:r>
          <w:rPr>
            <w:lang w:val="en-GB"/>
          </w:rPr>
          <w:t>"</w:t>
        </w:r>
        <w:bookmarkStart w:id="135" w:name="_9kR3WTr1896EJgZnk33u1C306lX3LDvs9xeFG9Q"/>
        <w:r>
          <w:rPr>
            <w:b/>
            <w:lang w:val="en-GB"/>
          </w:rPr>
          <w:t>Transmission Services Revenue Recovery Charges</w:t>
        </w:r>
        <w:bookmarkEnd w:id="135"/>
        <w:r>
          <w:rPr>
            <w:lang w:val="en-GB"/>
          </w:rPr>
          <w:t xml:space="preserve">" are </w:t>
        </w:r>
        <w:bookmarkStart w:id="136" w:name="_9kMHG5YVt9ID7GPugfqxlyvt960uqoAxU7GCI54"/>
        <w:r>
          <w:rPr>
            <w:lang w:val="en-GB"/>
          </w:rPr>
          <w:t xml:space="preserve">charges applied by </w:t>
        </w:r>
        <w:bookmarkStart w:id="137" w:name="_9kMIH5YVt3458FNfEr0w2poVW5s"/>
        <w:bookmarkStart w:id="138" w:name="_9kMHG5YVt4886ABWEr0w2poVW5sYJP"/>
        <w:r>
          <w:rPr>
            <w:lang w:val="en-GB"/>
          </w:rPr>
          <w:t>National Grid</w:t>
        </w:r>
        <w:bookmarkEnd w:id="137"/>
        <w:r>
          <w:rPr>
            <w:lang w:val="en-GB"/>
          </w:rPr>
          <w:t xml:space="preserve"> NTS</w:t>
        </w:r>
        <w:bookmarkEnd w:id="136"/>
        <w:bookmarkEnd w:id="138"/>
        <w:r>
          <w:rPr>
            <w:lang w:val="en-GB"/>
          </w:rPr>
          <w:t xml:space="preserve"> (and payable </w:t>
        </w:r>
        <w:bookmarkStart w:id="139" w:name="_9kMHG5YVt9ID7GKowqfwwBEBgN095Byx"/>
        <w:r>
          <w:rPr>
            <w:lang w:val="en-GB"/>
          </w:rPr>
          <w:t xml:space="preserve">by </w:t>
        </w:r>
        <w:bookmarkStart w:id="140" w:name="_9kR3WTr2664ELhbss7A7cJw517utabAxdOUqMAI"/>
        <w:r>
          <w:rPr>
            <w:lang w:val="en-GB"/>
          </w:rPr>
          <w:t xml:space="preserve">Users to </w:t>
        </w:r>
        <w:bookmarkStart w:id="141" w:name="_9kMJI5YVt3458FNfEr0w2poVW5s"/>
        <w:r>
          <w:rPr>
            <w:lang w:val="en-GB"/>
          </w:rPr>
          <w:t>National Grid</w:t>
        </w:r>
        <w:bookmarkEnd w:id="141"/>
        <w:r>
          <w:rPr>
            <w:lang w:val="en-GB"/>
          </w:rPr>
          <w:t xml:space="preserve"> NTS</w:t>
        </w:r>
        <w:bookmarkEnd w:id="139"/>
        <w:r>
          <w:rPr>
            <w:lang w:val="en-GB"/>
          </w:rPr>
          <w:t xml:space="preserve"> or </w:t>
        </w:r>
        <w:bookmarkStart w:id="142" w:name="_9kR3WTr7GB5EEiuuRevv67hLy739wv"/>
        <w:bookmarkStart w:id="143" w:name="_9kR3WTr7GB5EGkumQnw4uxok11GJGlS5EAG32"/>
        <w:bookmarkStart w:id="144" w:name="_9kR3WTr7GB5EImuoduu9C9eLy739wv"/>
        <w:r>
          <w:rPr>
            <w:lang w:val="en-GB"/>
          </w:rPr>
          <w:t xml:space="preserve">by </w:t>
        </w:r>
        <w:bookmarkStart w:id="145" w:name="_9kMKJ5YVt3458FNfEr0w2poVW5s"/>
        <w:r>
          <w:rPr>
            <w:lang w:val="en-GB"/>
          </w:rPr>
          <w:t>National Grid</w:t>
        </w:r>
        <w:bookmarkEnd w:id="145"/>
        <w:r>
          <w:rPr>
            <w:lang w:val="en-GB"/>
          </w:rPr>
          <w:t xml:space="preserve"> NTS</w:t>
        </w:r>
        <w:bookmarkEnd w:id="142"/>
        <w:bookmarkEnd w:id="143"/>
        <w:bookmarkEnd w:id="144"/>
        <w:r>
          <w:rPr>
            <w:lang w:val="en-GB"/>
          </w:rPr>
          <w:t xml:space="preserve"> to Users</w:t>
        </w:r>
        <w:bookmarkEnd w:id="140"/>
        <w:r>
          <w:rPr>
            <w:lang w:val="en-GB"/>
          </w:rPr>
          <w:t xml:space="preserve">) for the purposes of recovery of allowed transmission services revenue, as provided in the </w:t>
        </w:r>
        <w:bookmarkStart w:id="146" w:name="_9kMIH5YVt3AB8GJa7DEesp8B8BH12B7DcRw7E6E"/>
        <w:r>
          <w:rPr>
            <w:lang w:val="en-GB"/>
          </w:rPr>
          <w:t>NTS Transportation Charging Methodology</w:t>
        </w:r>
        <w:bookmarkEnd w:id="146"/>
        <w:r>
          <w:rPr>
            <w:lang w:val="en-GB"/>
          </w:rPr>
          <w:t>, and comprise:</w:t>
        </w:r>
        <w:bookmarkEnd w:id="132"/>
        <w:bookmarkEnd w:id="133"/>
      </w:ins>
    </w:p>
    <w:p>
      <w:pPr>
        <w:pStyle w:val="Level-4a"/>
        <w:ind w:left="2118" w:hanging="720"/>
        <w:rPr>
          <w:ins w:id="147" w:author="LOF" w:date="2018-05-08T12:50:00Z"/>
          <w:lang w:val="en-GB"/>
        </w:rPr>
      </w:pPr>
      <w:ins w:id="148" w:author="LOF" w:date="2018-05-08T12:50:00Z">
        <w:r>
          <w:rPr>
            <w:lang w:val="en-GB"/>
          </w:rPr>
          <w:t>charges ("</w:t>
        </w:r>
        <w:bookmarkStart w:id="149" w:name="_9kR3WTr1786DENG27Dqesp88z6H85Bqc8QI0xE2"/>
        <w:r>
          <w:rPr>
            <w:b/>
            <w:lang w:val="en-GB"/>
          </w:rPr>
          <w:t>Entry Transmission Services Revenue Recovery Charge</w:t>
        </w:r>
        <w:bookmarkEnd w:id="149"/>
        <w:r>
          <w:rPr>
            <w:lang w:val="en-GB"/>
          </w:rPr>
          <w:t xml:space="preserve">") payable in respect </w:t>
        </w:r>
        <w:bookmarkStart w:id="150" w:name="_9kMHG5YVt9ID8AE2qQ9F"/>
        <w:r>
          <w:rPr>
            <w:lang w:val="en-GB"/>
          </w:rPr>
          <w:t xml:space="preserve">of </w:t>
        </w:r>
        <w:bookmarkStart w:id="151" w:name="_9kR3WTr26649EY5BxJ5AGc9tuir9Q"/>
        <w:r>
          <w:rPr>
            <w:lang w:val="en-GB"/>
          </w:rPr>
          <w:t>NTS Entry Capacity</w:t>
        </w:r>
        <w:bookmarkEnd w:id="150"/>
        <w:bookmarkEnd w:id="151"/>
        <w:r>
          <w:rPr>
            <w:lang w:val="en-GB"/>
          </w:rPr>
          <w:t>, and</w:t>
        </w:r>
      </w:ins>
    </w:p>
    <w:p>
      <w:pPr>
        <w:pStyle w:val="Level-4a"/>
        <w:ind w:left="2118" w:hanging="720"/>
        <w:rPr>
          <w:ins w:id="152" w:author="LOF" w:date="2018-05-08T12:50:00Z"/>
          <w:lang w:val="en-GB"/>
        </w:rPr>
      </w:pPr>
      <w:bookmarkStart w:id="153" w:name="_Ref513715183"/>
      <w:bookmarkStart w:id="154" w:name="_9kR3WTr299569BGOtbihszn0bbC9vo2zII9GRIF"/>
      <w:ins w:id="155" w:author="LOF" w:date="2018-05-08T12:50:00Z">
        <w:r>
          <w:rPr>
            <w:lang w:val="en-GB"/>
          </w:rPr>
          <w:t>charges ("</w:t>
        </w:r>
        <w:bookmarkStart w:id="156" w:name="_9kR3WTr1786DFOQ1ykdro77y5G74Apb7PHzwD1i"/>
        <w:r>
          <w:rPr>
            <w:b/>
            <w:lang w:val="en-GB"/>
          </w:rPr>
          <w:t>Exit Transmission Services Revenue Recovery Charge</w:t>
        </w:r>
        <w:bookmarkEnd w:id="156"/>
        <w:r>
          <w:rPr>
            <w:lang w:val="en-GB"/>
          </w:rPr>
          <w:t xml:space="preserve">") payable in respect of </w:t>
        </w:r>
        <w:bookmarkStart w:id="157" w:name="_9kR3WTr26649Hb5BxT41"/>
        <w:r>
          <w:rPr>
            <w:lang w:val="en-GB"/>
          </w:rPr>
          <w:t>NTS Exit</w:t>
        </w:r>
        <w:bookmarkEnd w:id="157"/>
        <w:r>
          <w:rPr>
            <w:lang w:val="en-GB"/>
          </w:rPr>
          <w:t xml:space="preserve"> (</w:t>
        </w:r>
        <w:bookmarkStart w:id="158" w:name="_9kR3WTr26646FUFhq"/>
        <w:r>
          <w:rPr>
            <w:lang w:val="en-GB"/>
          </w:rPr>
          <w:t>Flat</w:t>
        </w:r>
        <w:bookmarkEnd w:id="158"/>
        <w:r>
          <w:rPr>
            <w:lang w:val="en-GB"/>
          </w:rPr>
          <w:t xml:space="preserve">) </w:t>
        </w:r>
        <w:bookmarkStart w:id="159" w:name="_9kR3WTr26645AN1lmaj1I"/>
        <w:r>
          <w:rPr>
            <w:lang w:val="en-GB"/>
          </w:rPr>
          <w:t>Capacity</w:t>
        </w:r>
        <w:bookmarkEnd w:id="159"/>
        <w:r>
          <w:rPr>
            <w:lang w:val="en-GB"/>
          </w:rPr>
          <w:t>.</w:t>
        </w:r>
        <w:bookmarkEnd w:id="153"/>
        <w:bookmarkEnd w:id="154"/>
      </w:ins>
    </w:p>
    <w:p>
      <w:pPr>
        <w:pStyle w:val="Level-3"/>
        <w:rPr>
          <w:ins w:id="160" w:author="LOF" w:date="2018-05-08T12:50:00Z"/>
          <w:lang w:val="en-GB"/>
        </w:rPr>
      </w:pPr>
      <w:ins w:id="161" w:author="LOF" w:date="2018-05-08T12:50:00Z">
        <w:r>
          <w:rPr>
            <w:lang w:val="en-GB"/>
          </w:rPr>
          <w:t>"</w:t>
        </w:r>
        <w:bookmarkStart w:id="162" w:name="_9kR3WTr25559AO9notqlZX4kjxuDD4BMDAGvhDV"/>
        <w:bookmarkStart w:id="163" w:name="_9kR3WTr1896DHS9notqlZX4kjxuDD4BMDAGvhDV"/>
        <w:r>
          <w:rPr>
            <w:b/>
            <w:lang w:val="en-GB"/>
          </w:rPr>
          <w:t>General Non-</w:t>
        </w:r>
        <w:bookmarkStart w:id="164" w:name="_9kMHG5YVt9ID8BHiNtB3lizYIny5t6"/>
        <w:r>
          <w:rPr>
            <w:b/>
            <w:lang w:val="en-GB"/>
          </w:rPr>
          <w:t>Transmission Services Charges</w:t>
        </w:r>
        <w:bookmarkEnd w:id="162"/>
        <w:bookmarkEnd w:id="163"/>
        <w:bookmarkEnd w:id="164"/>
        <w:r>
          <w:rPr>
            <w:lang w:val="en-GB"/>
          </w:rPr>
          <w:t xml:space="preserve">" are </w:t>
        </w:r>
        <w:bookmarkStart w:id="165" w:name="_9kMIH5YVt3AB8EHPHyx0sn4LfJoz6u"/>
        <w:r>
          <w:rPr>
            <w:lang w:val="en-GB"/>
          </w:rPr>
          <w:t>Commodity Charges</w:t>
        </w:r>
        <w:bookmarkEnd w:id="165"/>
        <w:r>
          <w:rPr>
            <w:lang w:val="en-GB"/>
          </w:rPr>
          <w:t xml:space="preserve"> payable </w:t>
        </w:r>
        <w:bookmarkStart w:id="166" w:name="_9kMHG5YVt9ID7GImwoSpy6wzqm33ILInU7GCI54"/>
        <w:r>
          <w:rPr>
            <w:lang w:val="en-GB"/>
          </w:rPr>
          <w:t xml:space="preserve">by </w:t>
        </w:r>
        <w:bookmarkStart w:id="167" w:name="_9kR3WTr2664BJgOlu2svmizzEHEjQ3C8E10hiH4"/>
        <w:r>
          <w:rPr>
            <w:lang w:val="en-GB"/>
          </w:rPr>
          <w:t xml:space="preserve">Shipper Users to </w:t>
        </w:r>
        <w:bookmarkStart w:id="168" w:name="_9kMLK5YVt3458FNfEr0w2poVW5s"/>
        <w:r>
          <w:rPr>
            <w:lang w:val="en-GB"/>
          </w:rPr>
          <w:t>National Grid</w:t>
        </w:r>
        <w:bookmarkEnd w:id="168"/>
        <w:r>
          <w:rPr>
            <w:lang w:val="en-GB"/>
          </w:rPr>
          <w:t xml:space="preserve"> NTS</w:t>
        </w:r>
        <w:bookmarkEnd w:id="166"/>
        <w:bookmarkEnd w:id="167"/>
        <w:r>
          <w:rPr>
            <w:lang w:val="en-GB"/>
          </w:rPr>
          <w:t xml:space="preserve"> as provided in the </w:t>
        </w:r>
        <w:bookmarkStart w:id="169" w:name="_9kMJI5YVt3AB8GJa7DEesp8B8BH12B7DcRw7E6E"/>
        <w:r>
          <w:rPr>
            <w:lang w:val="en-GB"/>
          </w:rPr>
          <w:t>NTS Transportation Charging Methodology</w:t>
        </w:r>
        <w:bookmarkEnd w:id="169"/>
        <w:r>
          <w:rPr>
            <w:lang w:val="en-GB"/>
          </w:rPr>
          <w:t>.</w:t>
        </w:r>
      </w:ins>
    </w:p>
    <w:p>
      <w:pPr>
        <w:pStyle w:val="Level-3"/>
        <w:rPr>
          <w:lang w:val="en-GB"/>
        </w:rPr>
      </w:pPr>
      <w:r>
        <w:rPr>
          <w:lang w:val="en-GB"/>
        </w:rPr>
        <w:t xml:space="preserve">The further provisions of the </w:t>
      </w:r>
      <w:bookmarkStart w:id="170" w:name="_9kMKJ5YVt48867ERHpg"/>
      <w:r>
        <w:rPr>
          <w:lang w:val="en-GB"/>
        </w:rPr>
        <w:t>Code</w:t>
      </w:r>
      <w:bookmarkEnd w:id="170"/>
      <w:r>
        <w:rPr>
          <w:lang w:val="en-GB"/>
        </w:rPr>
        <w:t xml:space="preserve"> set out the basis on which </w:t>
      </w:r>
      <w:bookmarkStart w:id="171" w:name="_9kMLK5YVt3AB8GMjbpm5858Eyz84AZOt4BzC"/>
      <w:r>
        <w:rPr>
          <w:lang w:val="en-GB"/>
        </w:rPr>
        <w:t>Transportation Charges</w:t>
      </w:r>
      <w:bookmarkEnd w:id="171"/>
      <w:r>
        <w:rPr>
          <w:lang w:val="en-GB"/>
        </w:rPr>
        <w:t xml:space="preserve"> and </w:t>
      </w:r>
      <w:bookmarkStart w:id="172" w:name="_9kMIH5YVt3AB8FLcHvwv0xwMIny5t6"/>
      <w:r>
        <w:rPr>
          <w:lang w:val="en-GB"/>
        </w:rPr>
        <w:t>Metering Charges</w:t>
      </w:r>
      <w:bookmarkEnd w:id="172"/>
      <w:r>
        <w:rPr>
          <w:lang w:val="en-GB"/>
        </w:rPr>
        <w:t xml:space="preserve"> are payable by </w:t>
      </w:r>
      <w:bookmarkStart w:id="173" w:name="_9kMKJ5YVt4886FLiduu"/>
      <w:r>
        <w:rPr>
          <w:lang w:val="en-GB"/>
        </w:rPr>
        <w:t>Users</w:t>
      </w:r>
      <w:bookmarkEnd w:id="173"/>
      <w:r>
        <w:rPr>
          <w:lang w:val="en-GB"/>
        </w:rPr>
        <w:t xml:space="preserve">; provided that (subject to </w:t>
      </w:r>
      <w:bookmarkStart w:id="174" w:name="_9kR3WTr2CC5AAwknoewrqyBQS"/>
      <w:r>
        <w:rPr>
          <w:lang w:val="en-GB"/>
        </w:rPr>
        <w:t>paragraph 1.8.2</w:t>
      </w:r>
      <w:bookmarkEnd w:id="174"/>
      <w:r>
        <w:rPr>
          <w:lang w:val="en-GB"/>
        </w:rPr>
        <w:t>) where:</w:t>
      </w:r>
      <w:bookmarkStart w:id="175" w:name="_DV_M93"/>
      <w:bookmarkEnd w:id="130"/>
      <w:bookmarkEnd w:id="175"/>
    </w:p>
    <w:p>
      <w:pPr>
        <w:pStyle w:val="Level-4a"/>
        <w:ind w:left="2118" w:hanging="720"/>
        <w:rPr>
          <w:lang w:val="en-GB"/>
        </w:rPr>
      </w:pPr>
      <w:r>
        <w:rPr>
          <w:lang w:val="en-GB"/>
        </w:rPr>
        <w:t xml:space="preserve">the prevailing </w:t>
      </w:r>
      <w:bookmarkStart w:id="176" w:name="_9kR3WTr2664DFbZnk3636Cwx628no349346MONw"/>
      <w:r>
        <w:rPr>
          <w:lang w:val="en-GB"/>
        </w:rPr>
        <w:t>Transportation Statement or Metering Charges Statement</w:t>
      </w:r>
      <w:bookmarkEnd w:id="176"/>
      <w:r>
        <w:rPr>
          <w:lang w:val="en-GB"/>
        </w:rPr>
        <w:t xml:space="preserve"> provides for any charge which is not provided for in the </w:t>
      </w:r>
      <w:bookmarkStart w:id="177" w:name="_9kMLK5YVt48867ERHpg"/>
      <w:r>
        <w:rPr>
          <w:lang w:val="en-GB"/>
        </w:rPr>
        <w:t>Code</w:t>
      </w:r>
      <w:bookmarkEnd w:id="177"/>
      <w:r>
        <w:rPr>
          <w:lang w:val="en-GB"/>
        </w:rPr>
        <w:t>; and</w:t>
      </w:r>
      <w:bookmarkStart w:id="178" w:name="_DV_M94"/>
      <w:bookmarkStart w:id="179" w:name="_Ref61323005"/>
      <w:bookmarkEnd w:id="178"/>
    </w:p>
    <w:p>
      <w:pPr>
        <w:pStyle w:val="Level-4a"/>
        <w:ind w:left="2118" w:hanging="720"/>
        <w:rPr>
          <w:lang w:val="en-GB"/>
        </w:rPr>
      </w:pPr>
      <w:r>
        <w:rPr>
          <w:lang w:val="en-GB"/>
        </w:rPr>
        <w:t xml:space="preserve">the amount payable by way of such charge in any case is capable of being determined by reference to the provisions of the </w:t>
      </w:r>
      <w:bookmarkStart w:id="180" w:name="_9kMML5YVt48867ERHpg"/>
      <w:r>
        <w:rPr>
          <w:lang w:val="en-GB"/>
        </w:rPr>
        <w:t>Code</w:t>
      </w:r>
      <w:bookmarkEnd w:id="180"/>
      <w:r>
        <w:rPr>
          <w:lang w:val="en-GB"/>
        </w:rPr>
        <w:t xml:space="preserve"> prevailing </w:t>
      </w:r>
      <w:r>
        <w:rPr>
          <w:lang w:val="en-GB"/>
        </w:rPr>
        <w:lastRenderedPageBreak/>
        <w:t>at the time</w:t>
      </w:r>
      <w:bookmarkEnd w:id="179"/>
    </w:p>
    <w:p>
      <w:pPr>
        <w:pStyle w:val="Level-3"/>
        <w:numPr>
          <w:ilvl w:val="0"/>
          <w:numId w:val="0"/>
        </w:numPr>
        <w:ind w:left="1398"/>
        <w:rPr>
          <w:lang w:val="en-GB"/>
        </w:rPr>
      </w:pPr>
      <w:bookmarkStart w:id="181" w:name="_DV_M95"/>
      <w:bookmarkEnd w:id="181"/>
      <w:r>
        <w:rPr>
          <w:lang w:val="en-GB"/>
        </w:rPr>
        <w:t xml:space="preserve">such charge shall be a </w:t>
      </w:r>
      <w:bookmarkStart w:id="182" w:name="_9kMML5YVt3AB8GMjbpm5858Eyz84AZOt4BzC"/>
      <w:r>
        <w:rPr>
          <w:lang w:val="en-GB"/>
        </w:rPr>
        <w:t>Transportation Charge</w:t>
      </w:r>
      <w:bookmarkEnd w:id="182"/>
      <w:r>
        <w:rPr>
          <w:lang w:val="en-GB"/>
        </w:rPr>
        <w:t xml:space="preserve"> or </w:t>
      </w:r>
      <w:bookmarkStart w:id="183" w:name="_9kMJI5YVt3AB8FLcHvwv0xwMIny5t6"/>
      <w:r>
        <w:rPr>
          <w:lang w:val="en-GB"/>
        </w:rPr>
        <w:t>Metering Charge</w:t>
      </w:r>
      <w:bookmarkEnd w:id="183"/>
      <w:r>
        <w:rPr>
          <w:lang w:val="en-GB"/>
        </w:rPr>
        <w:t xml:space="preserve"> and shall be payable by </w:t>
      </w:r>
      <w:bookmarkStart w:id="184" w:name="_9kR3WTr2664EIebss755mizzE"/>
      <w:r>
        <w:rPr>
          <w:lang w:val="en-GB"/>
        </w:rPr>
        <w:t>Users or Users</w:t>
      </w:r>
      <w:bookmarkEnd w:id="184"/>
      <w:r>
        <w:rPr>
          <w:lang w:val="en-GB"/>
        </w:rPr>
        <w:t xml:space="preserve"> of such class in accordance with the relevant provisions of the </w:t>
      </w:r>
      <w:bookmarkStart w:id="185" w:name="_9kR3WTr2664CMjZnk3636Cwx628no349346M"/>
      <w:r>
        <w:rPr>
          <w:lang w:val="en-GB"/>
        </w:rPr>
        <w:t>Transportation Statement</w:t>
      </w:r>
      <w:bookmarkEnd w:id="185"/>
      <w:r>
        <w:rPr>
          <w:lang w:val="en-GB"/>
        </w:rPr>
        <w:t xml:space="preserve"> or the </w:t>
      </w:r>
      <w:bookmarkStart w:id="186" w:name="_9kMHG5YVt48869IdHvwv0xwMIny5t6vr67C679P"/>
      <w:r>
        <w:rPr>
          <w:lang w:val="en-GB"/>
        </w:rPr>
        <w:t>Metering Charges Statement</w:t>
      </w:r>
      <w:bookmarkEnd w:id="186"/>
      <w:r>
        <w:rPr>
          <w:lang w:val="en-GB"/>
        </w:rPr>
        <w:t xml:space="preserve"> respectively.</w:t>
      </w:r>
      <w:bookmarkStart w:id="187" w:name="_DV_M96"/>
      <w:bookmarkEnd w:id="187"/>
    </w:p>
    <w:p>
      <w:pPr>
        <w:pStyle w:val="Level-3"/>
        <w:rPr>
          <w:lang w:val="en-GB"/>
        </w:rPr>
      </w:pPr>
      <w:r>
        <w:rPr>
          <w:lang w:val="en-GB"/>
        </w:rPr>
        <w:t xml:space="preserve">For the avoidance of doubt paragraph </w:t>
      </w:r>
      <w:r>
        <w:rPr>
          <w:lang w:val="en-GB"/>
        </w:rPr>
        <w:fldChar w:fldCharType="begin"/>
      </w:r>
      <w:r>
        <w:rPr>
          <w:lang w:val="en-GB"/>
        </w:rPr>
        <w:instrText xml:space="preserve"> REF _Ref513715183 \w \h </w:instrText>
      </w:r>
      <w:r>
        <w:rPr>
          <w:lang w:val="en-GB"/>
        </w:rPr>
      </w:r>
      <w:r>
        <w:rPr>
          <w:lang w:val="en-GB"/>
        </w:rPr>
        <w:fldChar w:fldCharType="separate"/>
      </w:r>
      <w:bookmarkStart w:id="188" w:name="_9kMHG5YVt4BB78BDIQvdkju1p2ddEBxq41KKBIT"/>
      <w:r>
        <w:rPr>
          <w:lang w:val="en-GB"/>
        </w:rPr>
        <w:t>1.7.8(b)</w:t>
      </w:r>
      <w:bookmarkEnd w:id="188"/>
      <w:r>
        <w:rPr>
          <w:lang w:val="en-GB"/>
        </w:rPr>
        <w:fldChar w:fldCharType="end"/>
      </w:r>
      <w:ins w:id="189" w:author="Dentons" w:date="2018-05-10T11:31:00Z">
        <w:r>
          <w:rPr>
            <w:lang w:val="en-GB"/>
          </w:rPr>
          <w:t xml:space="preserve"> </w:t>
        </w:r>
      </w:ins>
      <w:r>
        <w:rPr>
          <w:lang w:val="en-GB"/>
        </w:rPr>
        <w:t xml:space="preserve">shall not be taken as requiring that the </w:t>
      </w:r>
      <w:bookmarkStart w:id="190" w:name="_9kMNM5YVt48867ERHpg"/>
      <w:r>
        <w:rPr>
          <w:lang w:val="en-GB"/>
        </w:rPr>
        <w:t>Code</w:t>
      </w:r>
      <w:bookmarkEnd w:id="190"/>
      <w:r>
        <w:rPr>
          <w:lang w:val="en-GB"/>
        </w:rPr>
        <w:t xml:space="preserve"> should provide for the determination or (other than by virtue of paragraph </w:t>
      </w:r>
      <w:r>
        <w:rPr>
          <w:lang w:val="en-GB"/>
        </w:rPr>
        <w:fldChar w:fldCharType="begin"/>
      </w:r>
      <w:r>
        <w:rPr>
          <w:lang w:val="en-GB"/>
        </w:rPr>
        <w:instrText xml:space="preserve"> REF _Ref513715082 \w \h </w:instrText>
      </w:r>
      <w:r>
        <w:rPr>
          <w:lang w:val="en-GB"/>
        </w:rPr>
      </w:r>
      <w:r>
        <w:rPr>
          <w:lang w:val="en-GB"/>
        </w:rPr>
        <w:fldChar w:fldCharType="separate"/>
      </w:r>
      <w:bookmarkStart w:id="191" w:name="_9kMIH5YVt4BB78ACIQnesp88z6H85Bqc8QI0xE2"/>
      <w:r>
        <w:rPr>
          <w:lang w:val="en-GB"/>
        </w:rPr>
        <w:t>1.7.8</w:t>
      </w:r>
      <w:bookmarkEnd w:id="191"/>
      <w:r>
        <w:rPr>
          <w:lang w:val="en-GB"/>
        </w:rPr>
        <w:fldChar w:fldCharType="end"/>
      </w:r>
      <w:r>
        <w:rPr>
          <w:lang w:val="en-GB"/>
        </w:rPr>
        <w:t>) payment of any such charge as is therein referred to.</w:t>
      </w:r>
      <w:bookmarkStart w:id="192" w:name="_DV_M97"/>
      <w:bookmarkEnd w:id="192"/>
    </w:p>
    <w:p>
      <w:pPr>
        <w:pStyle w:val="Level-3"/>
        <w:rPr>
          <w:lang w:val="en-GB"/>
        </w:rPr>
      </w:pPr>
      <w:r>
        <w:rPr>
          <w:lang w:val="en-GB"/>
        </w:rPr>
        <w:t xml:space="preserve">The basis on which the </w:t>
      </w:r>
      <w:bookmarkStart w:id="193" w:name="_9kR3WTr2664DGcZnk3636C0z"/>
      <w:r>
        <w:rPr>
          <w:lang w:val="en-GB"/>
        </w:rPr>
        <w:t>Transporter</w:t>
      </w:r>
      <w:bookmarkEnd w:id="193"/>
      <w:r>
        <w:rPr>
          <w:lang w:val="en-GB"/>
        </w:rPr>
        <w:t xml:space="preserve"> will reduce any </w:t>
      </w:r>
      <w:bookmarkStart w:id="194" w:name="_9kMNM5YVt3AB8GMjbpm5858Eyz84AZOt4BzC"/>
      <w:r>
        <w:rPr>
          <w:lang w:val="en-GB"/>
        </w:rPr>
        <w:t>Transportation Charges</w:t>
      </w:r>
      <w:bookmarkEnd w:id="194"/>
      <w:r>
        <w:rPr>
          <w:lang w:val="en-GB"/>
        </w:rPr>
        <w:t xml:space="preserve"> pursuant to </w:t>
      </w:r>
      <w:bookmarkStart w:id="195" w:name="_9kR3WTr2664CDZapkocrvHN5vr895B"/>
      <w:r>
        <w:rPr>
          <w:lang w:val="en-GB"/>
        </w:rPr>
        <w:t>Standard Condition</w:t>
      </w:r>
      <w:bookmarkEnd w:id="195"/>
      <w:r>
        <w:rPr>
          <w:lang w:val="en-GB"/>
        </w:rPr>
        <w:t xml:space="preserve"> 7</w:t>
      </w:r>
      <w:bookmarkStart w:id="196" w:name="_9kR3WTr2CC59CF"/>
      <w:r>
        <w:rPr>
          <w:lang w:val="en-GB"/>
        </w:rPr>
        <w:t>(5)</w:t>
      </w:r>
      <w:bookmarkEnd w:id="196"/>
      <w:r>
        <w:rPr>
          <w:lang w:val="en-GB"/>
        </w:rPr>
        <w:t xml:space="preserve"> of the </w:t>
      </w:r>
      <w:bookmarkStart w:id="197" w:name="_9kR3WTr2664DHdZnk3636C0zEjUsp10s"/>
      <w:r>
        <w:rPr>
          <w:lang w:val="en-GB"/>
        </w:rPr>
        <w:t>Transporter's Licence</w:t>
      </w:r>
      <w:bookmarkEnd w:id="197"/>
      <w:r>
        <w:rPr>
          <w:lang w:val="en-GB"/>
        </w:rPr>
        <w:t xml:space="preserve"> is not contained in the </w:t>
      </w:r>
      <w:bookmarkStart w:id="198" w:name="_9kMON5YVt48867ERHpg"/>
      <w:r>
        <w:rPr>
          <w:lang w:val="en-GB"/>
        </w:rPr>
        <w:t>Code</w:t>
      </w:r>
      <w:bookmarkEnd w:id="198"/>
      <w:r>
        <w:rPr>
          <w:lang w:val="en-GB"/>
        </w:rPr>
        <w:t xml:space="preserve">; and nothing contained in the </w:t>
      </w:r>
      <w:bookmarkStart w:id="199" w:name="_9kMPO5YVt48867ERHpg"/>
      <w:r>
        <w:rPr>
          <w:lang w:val="en-GB"/>
        </w:rPr>
        <w:t>Code</w:t>
      </w:r>
      <w:bookmarkEnd w:id="199"/>
      <w:r>
        <w:rPr>
          <w:lang w:val="en-GB"/>
        </w:rPr>
        <w:t xml:space="preserve"> shall be taken to prevent the </w:t>
      </w:r>
      <w:bookmarkStart w:id="200" w:name="_9kMHG5YVt4886FIebpm5858E21"/>
      <w:r>
        <w:rPr>
          <w:lang w:val="en-GB"/>
        </w:rPr>
        <w:t>Transporter</w:t>
      </w:r>
      <w:bookmarkEnd w:id="200"/>
      <w:r>
        <w:rPr>
          <w:lang w:val="en-GB"/>
        </w:rPr>
        <w:t xml:space="preserve"> from reducing such charges in accordance with that </w:t>
      </w:r>
      <w:bookmarkStart w:id="201" w:name="_9kMHG5YVt4886EFbcrmqetxJP7xtAB7D"/>
      <w:r>
        <w:rPr>
          <w:lang w:val="en-GB"/>
        </w:rPr>
        <w:t>Standard Condition</w:t>
      </w:r>
      <w:bookmarkEnd w:id="201"/>
      <w:r>
        <w:rPr>
          <w:lang w:val="en-GB"/>
        </w:rPr>
        <w:t>.</w:t>
      </w:r>
      <w:bookmarkStart w:id="202" w:name="_DV_M98"/>
      <w:bookmarkStart w:id="203" w:name="_Toc2070911"/>
      <w:bookmarkStart w:id="204" w:name="_Toc6817853"/>
      <w:bookmarkStart w:id="205" w:name="_Toc77147526"/>
      <w:bookmarkEnd w:id="202"/>
    </w:p>
    <w:p>
      <w:pPr>
        <w:pStyle w:val="Level-2"/>
        <w:rPr>
          <w:lang w:val="en-GB"/>
        </w:rPr>
      </w:pPr>
      <w:r>
        <w:rPr>
          <w:lang w:val="en-GB"/>
        </w:rPr>
        <w:t xml:space="preserve">Rates and amounts of </w:t>
      </w:r>
      <w:bookmarkStart w:id="206" w:name="_9kMON5YVt3AB8GMjbpm5858Eyz84AZOt4BzC"/>
      <w:r>
        <w:rPr>
          <w:lang w:val="en-GB"/>
        </w:rPr>
        <w:t>Transportation Charges</w:t>
      </w:r>
      <w:bookmarkEnd w:id="203"/>
      <w:bookmarkEnd w:id="204"/>
      <w:bookmarkEnd w:id="205"/>
      <w:bookmarkEnd w:id="206"/>
    </w:p>
    <w:p>
      <w:pPr>
        <w:pStyle w:val="Level-3"/>
        <w:numPr>
          <w:ilvl w:val="0"/>
          <w:numId w:val="0"/>
        </w:numPr>
        <w:ind w:left="1398"/>
        <w:rPr>
          <w:lang w:val="en-GB"/>
        </w:rPr>
      </w:pPr>
      <w:bookmarkStart w:id="207" w:name="B_1_8_1"/>
      <w:bookmarkStart w:id="208" w:name="_DV_M99"/>
      <w:bookmarkStart w:id="209" w:name="_9kMHG5YVt8IE8DI"/>
      <w:bookmarkStart w:id="210" w:name="_Ref61424615"/>
      <w:bookmarkEnd w:id="207"/>
      <w:bookmarkEnd w:id="208"/>
      <w:r>
        <w:rPr>
          <w:lang w:val="en-GB"/>
        </w:rPr>
        <w:t>[…]</w:t>
      </w:r>
      <w:bookmarkEnd w:id="209"/>
    </w:p>
    <w:p>
      <w:pPr>
        <w:pStyle w:val="Level-3"/>
        <w:numPr>
          <w:ilvl w:val="2"/>
          <w:numId w:val="16"/>
        </w:numPr>
        <w:rPr>
          <w:lang w:val="en-GB"/>
        </w:rPr>
      </w:pPr>
      <w:bookmarkStart w:id="211" w:name="_Ref61424469"/>
      <w:bookmarkEnd w:id="210"/>
      <w:r>
        <w:rPr>
          <w:lang w:val="en-GB"/>
        </w:rPr>
        <w:t xml:space="preserve">In respect of any </w:t>
      </w:r>
      <w:bookmarkStart w:id="212" w:name="_9kMPO5YVt3AB8GMjbpm5858Eyz84AZOt4BzC"/>
      <w:r>
        <w:rPr>
          <w:lang w:val="en-GB"/>
        </w:rPr>
        <w:t>Transportation Charge</w:t>
      </w:r>
      <w:bookmarkEnd w:id="212"/>
      <w:r>
        <w:rPr>
          <w:lang w:val="en-GB"/>
        </w:rPr>
        <w:t xml:space="preserve"> in respect of any </w:t>
      </w:r>
      <w:bookmarkStart w:id="213" w:name="_9kMHG5YVt4886ELhhEAxrda00C"/>
      <w:r>
        <w:rPr>
          <w:lang w:val="en-GB"/>
        </w:rPr>
        <w:t>System Point</w:t>
      </w:r>
      <w:bookmarkEnd w:id="213"/>
      <w:r>
        <w:rPr>
          <w:lang w:val="en-GB"/>
        </w:rPr>
        <w:t>:</w:t>
      </w:r>
      <w:bookmarkStart w:id="214" w:name="_DV_M110"/>
      <w:bookmarkEnd w:id="211"/>
      <w:bookmarkEnd w:id="214"/>
    </w:p>
    <w:p>
      <w:pPr>
        <w:pStyle w:val="Level-4a"/>
        <w:ind w:left="2118" w:hanging="720"/>
        <w:rPr>
          <w:lang w:val="en-GB"/>
        </w:rPr>
      </w:pPr>
      <w:r>
        <w:rPr>
          <w:lang w:val="en-GB"/>
        </w:rPr>
        <w:t xml:space="preserve">in the case of a </w:t>
      </w:r>
      <w:bookmarkStart w:id="215" w:name="_9kMIH5YVt3AB8EEM3nocl3KeIny5t"/>
      <w:r>
        <w:rPr>
          <w:lang w:val="en-GB"/>
        </w:rPr>
        <w:t>Capacity Charge</w:t>
      </w:r>
      <w:bookmarkEnd w:id="215"/>
      <w:ins w:id="216" w:author="LOF" w:date="2018-05-08T12:50:00Z">
        <w:r>
          <w:rPr>
            <w:lang w:val="en-GB"/>
          </w:rPr>
          <w:t xml:space="preserve">, </w:t>
        </w:r>
        <w:bookmarkStart w:id="217" w:name="_9kMIH5YVt3AB8GLibpm55w3E528nZ5NFxuBzgHI"/>
        <w:r>
          <w:rPr>
            <w:lang w:val="en-GB"/>
          </w:rPr>
          <w:t>Transmission Services Revenue Recovery Charge</w:t>
        </w:r>
        <w:bookmarkEnd w:id="217"/>
        <w:r>
          <w:rPr>
            <w:lang w:val="en-GB"/>
          </w:rPr>
          <w:t>,</w:t>
        </w:r>
      </w:ins>
      <w:r>
        <w:rPr>
          <w:lang w:val="en-GB"/>
        </w:rPr>
        <w:t xml:space="preserve"> or the </w:t>
      </w:r>
      <w:bookmarkStart w:id="218" w:name="_9kMHG5YVt3AB8EGO3nocl3KxUx6qkw0SXEGJI9A"/>
      <w:r>
        <w:rPr>
          <w:lang w:val="en-GB"/>
        </w:rPr>
        <w:t>Capacity Variable Component</w:t>
      </w:r>
      <w:bookmarkEnd w:id="218"/>
      <w:r>
        <w:rPr>
          <w:lang w:val="en-GB"/>
        </w:rPr>
        <w:t xml:space="preserve"> of a </w:t>
      </w:r>
      <w:bookmarkStart w:id="219" w:name="_9kMJI5YVt3AB8EKSNAA71syXIny5t"/>
      <w:r>
        <w:rPr>
          <w:lang w:val="en-GB"/>
        </w:rPr>
        <w:t>Customer Charge</w:t>
      </w:r>
      <w:bookmarkEnd w:id="219"/>
      <w:r>
        <w:rPr>
          <w:lang w:val="en-GB"/>
        </w:rPr>
        <w:t xml:space="preserve">, the </w:t>
      </w:r>
      <w:r>
        <w:rPr>
          <w:b/>
          <w:lang w:val="en-GB"/>
        </w:rPr>
        <w:t>"</w:t>
      </w:r>
      <w:bookmarkStart w:id="220" w:name="_9kR3WTr1786BJQE0xrjccosLCo0HyV49"/>
      <w:r>
        <w:rPr>
          <w:b/>
          <w:lang w:val="en-GB"/>
        </w:rPr>
        <w:t xml:space="preserve">Applicable </w:t>
      </w:r>
      <w:bookmarkStart w:id="221" w:name="_9kR3WTr1456CKT2eq7"/>
      <w:r>
        <w:rPr>
          <w:b/>
          <w:lang w:val="en-GB"/>
        </w:rPr>
        <w:t>Daily</w:t>
      </w:r>
      <w:bookmarkEnd w:id="221"/>
      <w:r>
        <w:rPr>
          <w:b/>
          <w:lang w:val="en-GB"/>
        </w:rPr>
        <w:t xml:space="preserve"> Rate</w:t>
      </w:r>
      <w:bookmarkEnd w:id="220"/>
      <w:r>
        <w:rPr>
          <w:b/>
          <w:lang w:val="en-GB"/>
        </w:rPr>
        <w:t>"</w:t>
      </w:r>
      <w:r>
        <w:rPr>
          <w:lang w:val="en-GB"/>
        </w:rPr>
        <w:t xml:space="preserve"> is the </w:t>
      </w:r>
      <w:bookmarkStart w:id="222" w:name="_9kR3WTr1456CJsYeq7"/>
      <w:r>
        <w:rPr>
          <w:lang w:val="en-GB"/>
        </w:rPr>
        <w:t>daily</w:t>
      </w:r>
      <w:bookmarkEnd w:id="222"/>
      <w:r>
        <w:rPr>
          <w:lang w:val="en-GB"/>
        </w:rPr>
        <w:t xml:space="preserve"> rate of such charge, in pence per </w:t>
      </w:r>
      <w:bookmarkStart w:id="223" w:name="_9kR3WTr26647ExbT"/>
      <w:r>
        <w:rPr>
          <w:lang w:val="en-GB"/>
        </w:rPr>
        <w:t>kWh</w:t>
      </w:r>
      <w:bookmarkEnd w:id="223"/>
      <w:r>
        <w:rPr>
          <w:lang w:val="en-GB"/>
        </w:rPr>
        <w:t>/</w:t>
      </w:r>
      <w:bookmarkStart w:id="224" w:name="_9kR3WTr266468L2u9rWkHD0uTCwxluCT"/>
      <w:r>
        <w:rPr>
          <w:lang w:val="en-GB"/>
        </w:rPr>
        <w:t>Day of System Capacity</w:t>
      </w:r>
      <w:bookmarkEnd w:id="224"/>
      <w:r>
        <w:rPr>
          <w:lang w:val="en-GB"/>
        </w:rPr>
        <w:t>; and the "</w:t>
      </w:r>
      <w:bookmarkStart w:id="225" w:name="_9kR3WTr266458JE0xrjccosIM6E2umW5A"/>
      <w:r>
        <w:rPr>
          <w:lang w:val="en-GB"/>
        </w:rPr>
        <w:t>Applicable Annual Rate</w:t>
      </w:r>
      <w:bookmarkEnd w:id="225"/>
      <w:r>
        <w:rPr>
          <w:lang w:val="en-GB"/>
        </w:rPr>
        <w:t xml:space="preserve">" is 365 times the </w:t>
      </w:r>
      <w:bookmarkStart w:id="226" w:name="_9kMHG5YVt39A8DLSG2ztleequNEq2J0X6B"/>
      <w:r>
        <w:rPr>
          <w:lang w:val="en-GB"/>
        </w:rPr>
        <w:t xml:space="preserve">Applicable </w:t>
      </w:r>
      <w:bookmarkStart w:id="227" w:name="_9kMHG5YVt3678EMV4gs9"/>
      <w:r>
        <w:rPr>
          <w:lang w:val="en-GB"/>
        </w:rPr>
        <w:t>Daily</w:t>
      </w:r>
      <w:bookmarkEnd w:id="227"/>
      <w:r>
        <w:rPr>
          <w:lang w:val="en-GB"/>
        </w:rPr>
        <w:t xml:space="preserve"> Rate</w:t>
      </w:r>
      <w:bookmarkEnd w:id="226"/>
      <w:r>
        <w:rPr>
          <w:lang w:val="en-GB"/>
        </w:rPr>
        <w:t>;</w:t>
      </w:r>
      <w:bookmarkStart w:id="228" w:name="_DV_M111"/>
      <w:bookmarkStart w:id="229" w:name="_Ref61753556"/>
      <w:bookmarkEnd w:id="228"/>
    </w:p>
    <w:p>
      <w:pPr>
        <w:pStyle w:val="Level-4a"/>
        <w:ind w:left="2118" w:hanging="720"/>
        <w:rPr>
          <w:lang w:val="en-GB"/>
        </w:rPr>
      </w:pPr>
      <w:r>
        <w:rPr>
          <w:lang w:val="en-GB"/>
        </w:rPr>
        <w:t xml:space="preserve">for the purposes of </w:t>
      </w:r>
      <w:bookmarkStart w:id="230" w:name="_9kR3WTr2CC5BBwknoewrqyERQ"/>
      <w:r>
        <w:rPr>
          <w:lang w:val="en-GB"/>
        </w:rPr>
        <w:t>paragraph 4.6.2</w:t>
      </w:r>
      <w:bookmarkEnd w:id="230"/>
      <w:r>
        <w:rPr>
          <w:lang w:val="en-GB"/>
        </w:rPr>
        <w:t xml:space="preserve">, the </w:t>
      </w:r>
      <w:bookmarkStart w:id="231" w:name="_9kMIH5YVt39A8DLSG2ztleequNEq2J0X6B"/>
      <w:r>
        <w:rPr>
          <w:lang w:val="en-GB"/>
        </w:rPr>
        <w:t xml:space="preserve">Applicable </w:t>
      </w:r>
      <w:bookmarkStart w:id="232" w:name="_9kMIH5YVt3678EMV4gs9"/>
      <w:r>
        <w:rPr>
          <w:lang w:val="en-GB"/>
        </w:rPr>
        <w:t>Daily</w:t>
      </w:r>
      <w:bookmarkEnd w:id="232"/>
      <w:r>
        <w:rPr>
          <w:lang w:val="en-GB"/>
        </w:rPr>
        <w:t xml:space="preserve"> Rate</w:t>
      </w:r>
      <w:bookmarkEnd w:id="231"/>
      <w:r>
        <w:rPr>
          <w:lang w:val="en-GB"/>
        </w:rPr>
        <w:t xml:space="preserve"> and </w:t>
      </w:r>
      <w:bookmarkStart w:id="233" w:name="_9kMHG5YVt48867ALG2ztleequKO8G4woY7C"/>
      <w:r>
        <w:rPr>
          <w:lang w:val="en-GB"/>
        </w:rPr>
        <w:t>Applicable Annual Rate</w:t>
      </w:r>
      <w:bookmarkEnd w:id="233"/>
      <w:r>
        <w:rPr>
          <w:lang w:val="en-GB"/>
        </w:rPr>
        <w:t xml:space="preserve"> may be </w:t>
      </w:r>
      <w:bookmarkStart w:id="234" w:name="_9kR3WTr7GB6A90vhBH30umffrvNS98B3yFW5cBG"/>
      <w:r>
        <w:rPr>
          <w:lang w:val="en-GB"/>
        </w:rPr>
        <w:t xml:space="preserve">the rate determined </w:t>
      </w:r>
      <w:bookmarkStart w:id="235" w:name="_9kMHG5YVt9ID898rslber7xhsvn8DBBCDz"/>
      <w:r>
        <w:rPr>
          <w:lang w:val="en-GB"/>
        </w:rPr>
        <w:t>in accordance with</w:t>
      </w:r>
      <w:bookmarkEnd w:id="234"/>
      <w:r>
        <w:rPr>
          <w:lang w:val="en-GB"/>
        </w:rPr>
        <w:t xml:space="preserve"> the </w:t>
      </w:r>
      <w:bookmarkStart w:id="236" w:name="_9kMHG5YVt4886EOlbpm5858Eyz84Apq56B568O"/>
      <w:r>
        <w:rPr>
          <w:lang w:val="en-GB"/>
        </w:rPr>
        <w:t>Transportation Statement</w:t>
      </w:r>
      <w:bookmarkEnd w:id="235"/>
      <w:bookmarkEnd w:id="236"/>
      <w:r>
        <w:rPr>
          <w:lang w:val="en-GB"/>
        </w:rPr>
        <w:t xml:space="preserve"> by reference to the distance between the </w:t>
      </w:r>
      <w:bookmarkStart w:id="237" w:name="_9kR3WTr26647FZn2IZsglpqqmNcDAsi88K"/>
      <w:r>
        <w:rPr>
          <w:lang w:val="en-GB"/>
        </w:rPr>
        <w:t>LDZ Specified Exit Point</w:t>
      </w:r>
      <w:bookmarkEnd w:id="237"/>
      <w:r>
        <w:rPr>
          <w:lang w:val="en-GB"/>
        </w:rPr>
        <w:t xml:space="preserve"> and the </w:t>
      </w:r>
      <w:bookmarkStart w:id="238" w:name="_9kR3WTr26649BVQ3yu0nmaDJ3Q880q6D9FrnDDP"/>
      <w:r>
        <w:rPr>
          <w:lang w:val="en-GB"/>
        </w:rPr>
        <w:t>Notional NTS Connection Point</w:t>
      </w:r>
      <w:bookmarkEnd w:id="238"/>
      <w:r>
        <w:rPr>
          <w:lang w:val="en-GB"/>
        </w:rPr>
        <w:t xml:space="preserve"> and the capacity of the </w:t>
      </w:r>
      <w:bookmarkStart w:id="239" w:name="_9kMHG5YVt48869Hbp4KbuinrssoPeFCukAAM"/>
      <w:r>
        <w:rPr>
          <w:lang w:val="en-GB"/>
        </w:rPr>
        <w:t>LDZ Specified Exit Point</w:t>
      </w:r>
      <w:bookmarkEnd w:id="239"/>
      <w:r>
        <w:rPr>
          <w:lang w:val="en-GB"/>
        </w:rPr>
        <w:t xml:space="preserve"> determined in accordance with </w:t>
      </w:r>
      <w:bookmarkStart w:id="240" w:name="_9kMHG5YVt9JE78EeGpqgyts0"/>
      <w:bookmarkStart w:id="241" w:name="_9kR3WTr2CC5BCXEnoewrqyERX"/>
      <w:r>
        <w:rPr>
          <w:lang w:val="en-GB"/>
        </w:rPr>
        <w:t>Paragraph</w:t>
      </w:r>
      <w:bookmarkEnd w:id="240"/>
      <w:r>
        <w:rPr>
          <w:lang w:val="en-GB"/>
        </w:rPr>
        <w:t xml:space="preserve"> 4.6.9</w:t>
      </w:r>
      <w:bookmarkEnd w:id="241"/>
      <w:r>
        <w:rPr>
          <w:lang w:val="en-GB"/>
        </w:rPr>
        <w:t xml:space="preserve"> (the </w:t>
      </w:r>
      <w:r>
        <w:rPr>
          <w:b/>
          <w:lang w:val="en-GB"/>
        </w:rPr>
        <w:t>"</w:t>
      </w:r>
      <w:bookmarkStart w:id="242" w:name="_9kR3WTr1AB6BFXn2EV71x3qpSCwxluCT2Z8D"/>
      <w:bookmarkStart w:id="243" w:name="_9kR3WTr1786DIYn2EV71x3qpSCwxluCT2Z8D"/>
      <w:r>
        <w:rPr>
          <w:b/>
          <w:lang w:val="en-GB"/>
        </w:rPr>
        <w:t>LDZ Optional Capacity Rate</w:t>
      </w:r>
      <w:bookmarkEnd w:id="242"/>
      <w:bookmarkEnd w:id="243"/>
      <w:r>
        <w:rPr>
          <w:b/>
          <w:lang w:val="en-GB"/>
        </w:rPr>
        <w:t>"</w:t>
      </w:r>
      <w:r>
        <w:rPr>
          <w:lang w:val="en-GB"/>
        </w:rPr>
        <w:t>);</w:t>
      </w:r>
      <w:bookmarkStart w:id="244" w:name="_DV_M112"/>
      <w:bookmarkEnd w:id="229"/>
      <w:bookmarkEnd w:id="244"/>
      <w:ins w:id="245" w:author="LOF" w:date="2018-05-08T12:50:00Z">
        <w:r>
          <w:rPr>
            <w:lang w:val="en-GB"/>
          </w:rPr>
          <w:t xml:space="preserve"> or </w:t>
        </w:r>
      </w:ins>
    </w:p>
    <w:p>
      <w:pPr>
        <w:pStyle w:val="Level-4a"/>
        <w:ind w:left="2118" w:hanging="720"/>
        <w:rPr>
          <w:lang w:val="en-GB"/>
        </w:rPr>
      </w:pPr>
      <w:r>
        <w:rPr>
          <w:lang w:val="en-GB"/>
        </w:rPr>
        <w:t xml:space="preserve">in the case of a </w:t>
      </w:r>
      <w:bookmarkStart w:id="246" w:name="_9kMJI5YVt3AB8EHPHyx0sn4LfJoz6u"/>
      <w:r>
        <w:rPr>
          <w:lang w:val="en-GB"/>
        </w:rPr>
        <w:t>Commodity Charge</w:t>
      </w:r>
      <w:bookmarkEnd w:id="246"/>
      <w:r>
        <w:rPr>
          <w:lang w:val="en-GB"/>
        </w:rPr>
        <w:t xml:space="preserve"> or the </w:t>
      </w:r>
      <w:bookmarkStart w:id="247" w:name="_9kMHG5YVt3AB8EIQHyx0sn4LyVy7rlx1TYFHKJA"/>
      <w:r>
        <w:rPr>
          <w:lang w:val="en-GB"/>
        </w:rPr>
        <w:t>Commodity Variable Component</w:t>
      </w:r>
      <w:bookmarkEnd w:id="247"/>
      <w:r>
        <w:rPr>
          <w:lang w:val="en-GB"/>
        </w:rPr>
        <w:t xml:space="preserve"> of a </w:t>
      </w:r>
      <w:bookmarkStart w:id="248" w:name="_9kMKJ5YVt3AB8EKSNAA71syXIny5t"/>
      <w:r>
        <w:rPr>
          <w:lang w:val="en-GB"/>
        </w:rPr>
        <w:t>Customer Charge</w:t>
      </w:r>
      <w:bookmarkEnd w:id="248"/>
      <w:r>
        <w:rPr>
          <w:lang w:val="en-GB"/>
        </w:rPr>
        <w:t xml:space="preserve">, the </w:t>
      </w:r>
      <w:r>
        <w:rPr>
          <w:b/>
          <w:lang w:val="en-GB"/>
        </w:rPr>
        <w:t>"</w:t>
      </w:r>
      <w:bookmarkStart w:id="249" w:name="_9kR3WTr1786BIPE0xrjccosKP6580vCT2Z8D"/>
      <w:r>
        <w:rPr>
          <w:b/>
          <w:lang w:val="en-GB"/>
        </w:rPr>
        <w:t>Applicable Commodity Rate</w:t>
      </w:r>
      <w:bookmarkEnd w:id="249"/>
      <w:r>
        <w:rPr>
          <w:b/>
          <w:lang w:val="en-GB"/>
        </w:rPr>
        <w:t>"</w:t>
      </w:r>
      <w:r>
        <w:rPr>
          <w:lang w:val="en-GB"/>
        </w:rPr>
        <w:t xml:space="preserve"> is the rate of such charge, in pence per </w:t>
      </w:r>
      <w:bookmarkStart w:id="250" w:name="_9kMHG5YVt48869GzdV"/>
      <w:r>
        <w:rPr>
          <w:lang w:val="en-GB"/>
        </w:rPr>
        <w:t>kWh</w:t>
      </w:r>
      <w:bookmarkEnd w:id="250"/>
      <w:r>
        <w:rPr>
          <w:lang w:val="en-GB"/>
        </w:rPr>
        <w:t xml:space="preserve"> of gas flow; </w:t>
      </w:r>
      <w:bookmarkStart w:id="251" w:name="_DV_M113"/>
      <w:bookmarkEnd w:id="251"/>
      <w:del w:id="252" w:author="LOF" w:date="2018-05-08T12:50:00Z">
        <w:r>
          <w:delText>or</w:delText>
        </w:r>
      </w:del>
    </w:p>
    <w:p>
      <w:pPr>
        <w:pStyle w:val="Level-4a"/>
        <w:rPr>
          <w:del w:id="253" w:author="LOF" w:date="2018-05-08T12:50:00Z"/>
        </w:rPr>
      </w:pPr>
      <w:bookmarkStart w:id="254" w:name="_DV_M116"/>
      <w:bookmarkEnd w:id="254"/>
      <w:del w:id="255" w:author="LOF" w:date="2018-05-08T12:50:00Z">
        <w:r>
          <w:delText xml:space="preserve">for the purposes of paragraph </w:delText>
        </w:r>
        <w:bookmarkStart w:id="256" w:name="_DV_C70"/>
        <w:r>
          <w:delText>3.12.5,</w:delText>
        </w:r>
        <w:bookmarkStart w:id="257" w:name="_DV_M114"/>
        <w:bookmarkEnd w:id="256"/>
        <w:bookmarkEnd w:id="257"/>
        <w:r>
          <w:delText xml:space="preserve"> the Applicable Commodity Rate may be the rate determined in accordance with paragraph 3.5 of Chapter 3 of Part A of Section Y by reference to the distance between the Specified Exit Point and the Specified Entry Point and the capacity of the Specified Exit Point, determined in accordance with </w:delText>
        </w:r>
        <w:bookmarkStart w:id="258" w:name="_DV_C72"/>
        <w:r>
          <w:delText>paragraph 3.12.8</w:delText>
        </w:r>
        <w:bookmarkStart w:id="259" w:name="_DV_M115"/>
        <w:bookmarkEnd w:id="258"/>
        <w:bookmarkEnd w:id="259"/>
        <w:r>
          <w:delText xml:space="preserve"> (the </w:delText>
        </w:r>
        <w:r>
          <w:rPr>
            <w:b/>
            <w:bCs/>
          </w:rPr>
          <w:delText>"NTS Optional Commodity Rate"</w:delText>
        </w:r>
        <w:r>
          <w:delText>)</w:delText>
        </w:r>
      </w:del>
    </w:p>
    <w:p>
      <w:pPr>
        <w:pStyle w:val="Level-3"/>
        <w:numPr>
          <w:ilvl w:val="0"/>
          <w:numId w:val="0"/>
        </w:numPr>
        <w:ind w:left="1398"/>
        <w:rPr>
          <w:lang w:val="en-GB"/>
        </w:rPr>
      </w:pPr>
      <w:r>
        <w:rPr>
          <w:lang w:val="en-GB"/>
        </w:rPr>
        <w:t xml:space="preserve">in each case in accordance with and subject to </w:t>
      </w:r>
      <w:bookmarkStart w:id="260" w:name="_9kR3WTr2CC5BDyknoewrqy2NRS"/>
      <w:r>
        <w:rPr>
          <w:lang w:val="en-GB"/>
        </w:rPr>
        <w:t>paragraphs 1.8.1</w:t>
      </w:r>
      <w:bookmarkEnd w:id="260"/>
      <w:r>
        <w:rPr>
          <w:lang w:val="en-GB"/>
        </w:rPr>
        <w:t xml:space="preserve"> to </w:t>
      </w:r>
      <w:bookmarkStart w:id="261" w:name="_9kR3WTr2CC59DCHL"/>
      <w:r>
        <w:rPr>
          <w:lang w:val="en-GB"/>
        </w:rPr>
        <w:t>1.8.4</w:t>
      </w:r>
      <w:bookmarkEnd w:id="261"/>
      <w:r>
        <w:rPr>
          <w:lang w:val="en-GB"/>
        </w:rPr>
        <w:t>, and (where any such rate varies according to the time of year) as applicable from time to time.</w:t>
      </w:r>
      <w:bookmarkStart w:id="262" w:name="_DV_M117"/>
      <w:bookmarkStart w:id="263" w:name="_Toc2070912"/>
      <w:bookmarkStart w:id="264" w:name="_Toc6817854"/>
      <w:bookmarkEnd w:id="262"/>
    </w:p>
    <w:p>
      <w:pPr>
        <w:pStyle w:val="Body-2"/>
        <w:rPr>
          <w:lang w:val="en-GB"/>
        </w:rPr>
      </w:pPr>
      <w:bookmarkStart w:id="265" w:name="_9kMIH5YVt8IE8DI"/>
      <w:r>
        <w:rPr>
          <w:lang w:val="en-GB"/>
        </w:rPr>
        <w:t>[…]</w:t>
      </w:r>
      <w:bookmarkEnd w:id="265"/>
    </w:p>
    <w:p>
      <w:pPr>
        <w:pStyle w:val="Level-1"/>
      </w:pPr>
      <w:bookmarkStart w:id="266" w:name="B_2"/>
      <w:bookmarkStart w:id="267" w:name="_9kR3WTr8E85779"/>
      <w:bookmarkStart w:id="268" w:name="_Toc2070915"/>
      <w:bookmarkStart w:id="269" w:name="_Toc6817857"/>
      <w:bookmarkStart w:id="270" w:name="_Ref61424253"/>
      <w:bookmarkStart w:id="271" w:name="_Ref61425206"/>
      <w:bookmarkStart w:id="272" w:name="_Toc77147530"/>
      <w:bookmarkStart w:id="273" w:name="_9kR3WTrAG85668HMs3bAG2yEJPBo23r0IZ"/>
      <w:bookmarkEnd w:id="263"/>
      <w:bookmarkEnd w:id="264"/>
      <w:bookmarkEnd w:id="266"/>
      <w:bookmarkEnd w:id="267"/>
      <w:r>
        <w:lastRenderedPageBreak/>
        <w:t>NTS ENTRY CAPACITY</w:t>
      </w:r>
      <w:bookmarkEnd w:id="268"/>
      <w:bookmarkEnd w:id="269"/>
      <w:bookmarkEnd w:id="270"/>
      <w:bookmarkEnd w:id="271"/>
      <w:bookmarkEnd w:id="272"/>
      <w:bookmarkEnd w:id="273"/>
    </w:p>
    <w:p>
      <w:pPr>
        <w:pStyle w:val="Level-1"/>
        <w:numPr>
          <w:ilvl w:val="0"/>
          <w:numId w:val="0"/>
        </w:numPr>
        <w:ind w:left="1398"/>
      </w:pPr>
      <w:bookmarkStart w:id="274" w:name="_9kMJI5YVt8IE8DI"/>
      <w:r>
        <w:t>[…]</w:t>
      </w:r>
      <w:bookmarkEnd w:id="274"/>
    </w:p>
    <w:p>
      <w:pPr>
        <w:pStyle w:val="Level-2"/>
        <w:numPr>
          <w:ilvl w:val="1"/>
          <w:numId w:val="17"/>
        </w:numPr>
        <w:rPr>
          <w:lang w:val="en-GB"/>
        </w:rPr>
      </w:pPr>
      <w:bookmarkStart w:id="275" w:name="_Toc77147541"/>
      <w:r>
        <w:rPr>
          <w:lang w:val="en-GB"/>
        </w:rPr>
        <w:t xml:space="preserve">Entry Charges, </w:t>
      </w:r>
      <w:bookmarkStart w:id="276" w:name="_9kMHG5YVt3AB8FJUBpqvsnbZ6mlzwFF6DOFCIxj"/>
      <w:ins w:id="277" w:author="LOF" w:date="2018-05-08T12:50:00Z">
        <w:r>
          <w:rPr>
            <w:lang w:val="en-GB"/>
          </w:rPr>
          <w:t xml:space="preserve">General Non-Transmission Services </w:t>
        </w:r>
        <w:bookmarkStart w:id="278" w:name="_9kMHG5YVt9ID7HJNAfqxlyZPBGMzn1yHH8FQHEK"/>
        <w:r>
          <w:rPr>
            <w:lang w:val="en-GB"/>
          </w:rPr>
          <w:t>Charges</w:t>
        </w:r>
        <w:bookmarkEnd w:id="276"/>
        <w:r>
          <w:rPr>
            <w:lang w:val="en-GB"/>
          </w:rPr>
          <w:t xml:space="preserve">, </w:t>
        </w:r>
        <w:bookmarkStart w:id="279" w:name="_9kMHG5YVt39A8FGPI49FsgurAA18JA7DseASK2z"/>
        <w:r>
          <w:rPr>
            <w:lang w:val="en-GB"/>
          </w:rPr>
          <w:t xml:space="preserve">Entry </w:t>
        </w:r>
        <w:bookmarkStart w:id="280" w:name="_9kR3WTr7GB69EfLr91jgxWGlw3r4"/>
        <w:bookmarkStart w:id="281" w:name="_9kR3WTr7GB69GhLr91jgxWGlw3r4"/>
        <w:r>
          <w:rPr>
            <w:lang w:val="en-GB"/>
          </w:rPr>
          <w:t>Transmission Services</w:t>
        </w:r>
        <w:bookmarkEnd w:id="278"/>
        <w:r>
          <w:rPr>
            <w:lang w:val="en-GB"/>
          </w:rPr>
          <w:t xml:space="preserve"> Revenue Recovery </w:t>
        </w:r>
        <w:bookmarkStart w:id="282" w:name="_9kMHG5YVt9ID7HLPAfqxlyE4qXHN9VHMS5t74NN"/>
        <w:r>
          <w:rPr>
            <w:lang w:val="en-GB"/>
          </w:rPr>
          <w:t>Charges</w:t>
        </w:r>
        <w:bookmarkEnd w:id="279"/>
        <w:bookmarkEnd w:id="280"/>
        <w:r>
          <w:rPr>
            <w:lang w:val="en-GB"/>
          </w:rPr>
          <w:t>,</w:t>
        </w:r>
        <w:bookmarkEnd w:id="281"/>
        <w:r>
          <w:rPr>
            <w:lang w:val="en-GB"/>
          </w:rPr>
          <w:t xml:space="preserve"> the </w:t>
        </w:r>
      </w:ins>
      <w:r>
        <w:rPr>
          <w:lang w:val="en-GB"/>
        </w:rPr>
        <w:t xml:space="preserve">NTS Entry </w:t>
      </w:r>
      <w:del w:id="283" w:author="LOF" w:date="2018-05-08T12:50:00Z">
        <w:r>
          <w:delText xml:space="preserve">Commodity Charges </w:delText>
        </w:r>
      </w:del>
      <w:ins w:id="284" w:author="LOF" w:date="2018-05-08T12:50:00Z">
        <w:r>
          <w:rPr>
            <w:lang w:val="en-GB"/>
          </w:rPr>
          <w:t>Transmission Services</w:t>
        </w:r>
        <w:bookmarkEnd w:id="282"/>
        <w:r>
          <w:rPr>
            <w:lang w:val="en-GB"/>
          </w:rPr>
          <w:t xml:space="preserve"> Rebate Charge, </w:t>
        </w:r>
      </w:ins>
      <w:r>
        <w:rPr>
          <w:lang w:val="en-GB"/>
        </w:rPr>
        <w:t xml:space="preserve">and </w:t>
      </w:r>
      <w:bookmarkStart w:id="285" w:name="_9kMHG5YVt39A8EFN3nocl3KulHF300s7gRw7E2"/>
      <w:r>
        <w:rPr>
          <w:lang w:val="en-GB"/>
        </w:rPr>
        <w:t>Capacity Surrender Charges</w:t>
      </w:r>
      <w:bookmarkEnd w:id="275"/>
      <w:bookmarkEnd w:id="285"/>
    </w:p>
    <w:p>
      <w:pPr>
        <w:pStyle w:val="Level-3"/>
        <w:rPr>
          <w:del w:id="286" w:author="LOF" w:date="2018-05-08T12:50:00Z"/>
          <w:noProof/>
        </w:rPr>
      </w:pPr>
    </w:p>
    <w:p>
      <w:pPr>
        <w:pStyle w:val="Level-3"/>
        <w:rPr>
          <w:ins w:id="287" w:author="LOF" w:date="2018-05-08T12:50:00Z"/>
          <w:lang w:val="en-GB"/>
        </w:rPr>
      </w:pPr>
      <w:del w:id="288" w:author="LOF" w:date="2018-05-08T12:50:00Z">
        <w:r>
          <w:rPr>
            <w:noProof/>
          </w:rPr>
          <w:delText>A</w:delText>
        </w:r>
      </w:del>
      <w:ins w:id="289" w:author="LOF" w:date="2018-05-08T12:50:00Z">
        <w:r>
          <w:rPr>
            <w:lang w:val="en-GB"/>
          </w:rPr>
          <w:t xml:space="preserve">Entry-related </w:t>
        </w:r>
        <w:bookmarkStart w:id="290" w:name="_9kMHzG6ZWu4BC9HNkcqn6969Fz095BaPu5C0D"/>
        <w:r>
          <w:rPr>
            <w:lang w:val="en-GB"/>
          </w:rPr>
          <w:t>Transportation Charges</w:t>
        </w:r>
        <w:bookmarkEnd w:id="290"/>
        <w:r>
          <w:rPr>
            <w:lang w:val="en-GB"/>
          </w:rPr>
          <w:t xml:space="preserve"> are payable in respect of the NTS as follows:</w:t>
        </w:r>
      </w:ins>
    </w:p>
    <w:p>
      <w:pPr>
        <w:pStyle w:val="Level-4a"/>
        <w:ind w:left="2118" w:hanging="720"/>
        <w:rPr>
          <w:lang w:val="en-GB"/>
        </w:rPr>
      </w:pPr>
      <w:ins w:id="291" w:author="LOF" w:date="2018-05-08T12:50:00Z">
        <w:r>
          <w:rPr>
            <w:lang w:val="en-GB"/>
          </w:rPr>
          <w:t>a</w:t>
        </w:r>
      </w:ins>
      <w:r>
        <w:rPr>
          <w:lang w:val="en-GB"/>
        </w:rPr>
        <w:t xml:space="preserve"> </w:t>
      </w:r>
      <w:bookmarkStart w:id="292" w:name="_9kMLK5YVt4886FLiduu"/>
      <w:r>
        <w:rPr>
          <w:lang w:val="en-GB"/>
        </w:rPr>
        <w:t>User</w:t>
      </w:r>
      <w:bookmarkEnd w:id="292"/>
      <w:r>
        <w:rPr>
          <w:lang w:val="en-GB"/>
        </w:rPr>
        <w:t xml:space="preserve"> shall pay </w:t>
      </w:r>
      <w:bookmarkStart w:id="293" w:name="_9kMJI5YVt3AB8EEM3nocl3KeIny5t"/>
      <w:r>
        <w:rPr>
          <w:lang w:val="en-GB"/>
        </w:rPr>
        <w:t>Capacity Charges</w:t>
      </w:r>
      <w:bookmarkEnd w:id="293"/>
      <w:r>
        <w:rPr>
          <w:lang w:val="en-GB"/>
        </w:rPr>
        <w:t xml:space="preserve"> ("</w:t>
      </w:r>
      <w:bookmarkStart w:id="294" w:name="_9kR3WTr1786EDU5BxJ5AGc9tuir9QkOt4BzC"/>
      <w:r>
        <w:rPr>
          <w:b/>
          <w:lang w:val="en-GB"/>
        </w:rPr>
        <w:t>NTS Entry Capacity Charges</w:t>
      </w:r>
      <w:bookmarkEnd w:id="294"/>
      <w:r>
        <w:rPr>
          <w:lang w:val="en-GB"/>
        </w:rPr>
        <w:t xml:space="preserve">") </w:t>
      </w:r>
      <w:ins w:id="295" w:author="LOF" w:date="2018-05-08T12:50:00Z">
        <w:r>
          <w:rPr>
            <w:lang w:val="en-GB"/>
          </w:rPr>
          <w:t xml:space="preserve">to </w:t>
        </w:r>
        <w:bookmarkStart w:id="296" w:name="_9kMML5YVt3458FNfEr0w2poVW5s"/>
        <w:bookmarkStart w:id="297" w:name="_9kMIH5YVt4886ABWEr0w2poVW5sYJP"/>
        <w:r>
          <w:rPr>
            <w:lang w:val="en-GB"/>
          </w:rPr>
          <w:t>National Grid</w:t>
        </w:r>
        <w:bookmarkEnd w:id="296"/>
        <w:r>
          <w:rPr>
            <w:lang w:val="en-GB"/>
          </w:rPr>
          <w:t xml:space="preserve"> NTS</w:t>
        </w:r>
        <w:bookmarkEnd w:id="297"/>
        <w:r>
          <w:rPr>
            <w:lang w:val="en-GB"/>
          </w:rPr>
          <w:t xml:space="preserve"> </w:t>
        </w:r>
      </w:ins>
      <w:r>
        <w:rPr>
          <w:lang w:val="en-GB"/>
        </w:rPr>
        <w:t xml:space="preserve">in respect </w:t>
      </w:r>
      <w:bookmarkStart w:id="298" w:name="_9kMHG5YVt9ID8ABzql0BkRns5H434r"/>
      <w:r>
        <w:rPr>
          <w:lang w:val="en-GB"/>
        </w:rPr>
        <w:t xml:space="preserve">of its </w:t>
      </w:r>
      <w:bookmarkStart w:id="299" w:name="_9kR3WTr2664AHeKglyAxwxkUFL7TFKQmJ34s1Ja"/>
      <w:r>
        <w:rPr>
          <w:lang w:val="en-GB"/>
        </w:rPr>
        <w:t>Registered NTS Entry Capacity</w:t>
      </w:r>
      <w:bookmarkEnd w:id="298"/>
      <w:r>
        <w:rPr>
          <w:lang w:val="en-GB"/>
        </w:rPr>
        <w:t xml:space="preserve"> at Aggregate System Entry Points</w:t>
      </w:r>
      <w:bookmarkEnd w:id="299"/>
      <w:del w:id="300" w:author="LOF" w:date="2018-05-08T12:50:00Z">
        <w:r>
          <w:rPr>
            <w:noProof/>
          </w:rPr>
          <w:delText>.</w:delText>
        </w:r>
      </w:del>
      <w:ins w:id="301" w:author="LOF" w:date="2018-05-08T12:50:00Z">
        <w:r>
          <w:rPr>
            <w:lang w:val="en-GB"/>
          </w:rPr>
          <w:t xml:space="preserve"> </w:t>
        </w:r>
        <w:bookmarkStart w:id="302" w:name="_9kR3WTr1456DClZYgI6y"/>
        <w:r>
          <w:rPr>
            <w:lang w:val="en-GB"/>
          </w:rPr>
          <w:t>each Day</w:t>
        </w:r>
        <w:bookmarkEnd w:id="302"/>
        <w:r>
          <w:rPr>
            <w:lang w:val="en-GB"/>
          </w:rPr>
          <w:t xml:space="preserve">, in accordance with </w:t>
        </w:r>
        <w:bookmarkStart w:id="303" w:name="_9kR3WTr7HC56CcEnoewrqy"/>
        <w:r>
          <w:rPr>
            <w:lang w:val="en-GB"/>
          </w:rPr>
          <w:t>paragraph</w:t>
        </w:r>
        <w:bookmarkEnd w:id="303"/>
        <w:r>
          <w:rPr>
            <w:lang w:val="en-GB"/>
          </w:rPr>
          <w:t xml:space="preserve"> </w:t>
        </w:r>
      </w:ins>
      <w:ins w:id="304" w:author="Dentons" w:date="2018-05-10T11:31:00Z">
        <w:r>
          <w:rPr>
            <w:lang w:val="en-GB"/>
          </w:rPr>
          <w:fldChar w:fldCharType="begin"/>
        </w:r>
        <w:r>
          <w:rPr>
            <w:lang w:val="en-GB"/>
          </w:rPr>
          <w:instrText xml:space="preserve"> REF _Ref61428160 \w \h </w:instrText>
        </w:r>
      </w:ins>
      <w:r>
        <w:rPr>
          <w:lang w:val="en-GB"/>
        </w:rPr>
      </w:r>
      <w:r>
        <w:rPr>
          <w:lang w:val="en-GB"/>
        </w:rPr>
        <w:fldChar w:fldCharType="separate"/>
      </w:r>
      <w:bookmarkStart w:id="305" w:name="_9kMHG5YVt56579FHDDGjVnUEK6SEJPlI23r0IZt"/>
      <w:r>
        <w:rPr>
          <w:lang w:val="en-GB"/>
        </w:rPr>
        <w:t>2.11.2</w:t>
      </w:r>
      <w:bookmarkEnd w:id="305"/>
      <w:ins w:id="306" w:author="Dentons" w:date="2018-05-10T11:31:00Z">
        <w:r>
          <w:rPr>
            <w:lang w:val="en-GB"/>
          </w:rPr>
          <w:fldChar w:fldCharType="end"/>
        </w:r>
        <w:r>
          <w:rPr>
            <w:lang w:val="en-GB"/>
          </w:rPr>
          <w:t xml:space="preserve"> </w:t>
        </w:r>
      </w:ins>
      <w:ins w:id="307" w:author="LOF" w:date="2018-05-08T12:50:00Z">
        <w:r>
          <w:rPr>
            <w:lang w:val="en-GB"/>
          </w:rPr>
          <w:t xml:space="preserve">to </w:t>
        </w:r>
      </w:ins>
      <w:ins w:id="308" w:author="Dentons" w:date="2018-05-10T11:31:00Z">
        <w:r>
          <w:rPr>
            <w:lang w:val="en-GB"/>
          </w:rPr>
          <w:fldChar w:fldCharType="begin"/>
        </w:r>
        <w:r>
          <w:rPr>
            <w:lang w:val="en-GB"/>
          </w:rPr>
          <w:instrText xml:space="preserve"> REF _Ref513715239 \w \h </w:instrText>
        </w:r>
      </w:ins>
      <w:r>
        <w:rPr>
          <w:lang w:val="en-GB"/>
        </w:rPr>
      </w:r>
      <w:r>
        <w:rPr>
          <w:lang w:val="en-GB"/>
        </w:rPr>
        <w:fldChar w:fldCharType="separate"/>
      </w:r>
      <w:bookmarkStart w:id="309" w:name="_9kMHG5YVt56579GIDDIXO7D4qzGJFDH89K8A69A"/>
      <w:r>
        <w:rPr>
          <w:lang w:val="en-GB"/>
        </w:rPr>
        <w:t>2.11.4</w:t>
      </w:r>
      <w:bookmarkEnd w:id="309"/>
      <w:ins w:id="310" w:author="Dentons" w:date="2018-05-10T11:31:00Z">
        <w:r>
          <w:rPr>
            <w:lang w:val="en-GB"/>
          </w:rPr>
          <w:fldChar w:fldCharType="end"/>
        </w:r>
      </w:ins>
      <w:ins w:id="311" w:author="LOF" w:date="2018-05-08T12:50:00Z">
        <w:r>
          <w:rPr>
            <w:lang w:val="en-GB"/>
          </w:rPr>
          <w:t>;</w:t>
        </w:r>
      </w:ins>
    </w:p>
    <w:p>
      <w:pPr>
        <w:pStyle w:val="Level-4a"/>
        <w:ind w:left="2118" w:hanging="720"/>
        <w:rPr>
          <w:ins w:id="312" w:author="LOF" w:date="2018-05-08T12:50:00Z"/>
          <w:lang w:val="en-GB"/>
        </w:rPr>
      </w:pPr>
      <w:del w:id="313" w:author="LOF" w:date="2018-05-08T12:50:00Z">
        <w:r>
          <w:tab/>
        </w:r>
        <w:r>
          <w:tab/>
          <w:delText xml:space="preserve">(b) </w:delText>
        </w:r>
        <w:r>
          <w:tab/>
          <w:delText>A User</w:delText>
        </w:r>
      </w:del>
      <w:bookmarkStart w:id="314" w:name="_9kMNM5YVt3458FNfEr0w2poVW5s"/>
      <w:bookmarkStart w:id="315" w:name="_9kMJI5YVt4886ABWEr0w2poVW5sYJP"/>
      <w:ins w:id="316" w:author="LOF" w:date="2018-05-08T12:50:00Z">
        <w:r>
          <w:rPr>
            <w:lang w:val="en-GB"/>
          </w:rPr>
          <w:t>National Grid</w:t>
        </w:r>
        <w:bookmarkEnd w:id="314"/>
        <w:r>
          <w:rPr>
            <w:lang w:val="en-GB"/>
          </w:rPr>
          <w:t xml:space="preserve"> </w:t>
        </w:r>
        <w:bookmarkStart w:id="317" w:name="_9kMHG5YVt9ID89Db7Ddzinz4u4hEyznwEV5wSQE"/>
        <w:r>
          <w:rPr>
            <w:lang w:val="en-GB"/>
          </w:rPr>
          <w:t>NTS</w:t>
        </w:r>
      </w:ins>
      <w:bookmarkEnd w:id="315"/>
      <w:r>
        <w:rPr>
          <w:lang w:val="en-GB"/>
        </w:rPr>
        <w:t xml:space="preserve"> shall pay </w:t>
      </w:r>
      <w:bookmarkStart w:id="318" w:name="_9kMHG5YVt3DE6GOS3nocl3KulHF300s7gRw7E2"/>
      <w:bookmarkStart w:id="319" w:name="_9kMIH5YVt39A8EFN3nocl3KulHF300s7gRw7E2"/>
      <w:ins w:id="320" w:author="LOF" w:date="2018-05-08T12:50:00Z">
        <w:r>
          <w:rPr>
            <w:lang w:val="en-GB"/>
          </w:rPr>
          <w:t>Capacity Surrender Charges</w:t>
        </w:r>
        <w:bookmarkEnd w:id="317"/>
        <w:bookmarkEnd w:id="318"/>
        <w:bookmarkEnd w:id="319"/>
        <w:r>
          <w:rPr>
            <w:lang w:val="en-GB"/>
          </w:rPr>
          <w:t xml:space="preserve"> to a </w:t>
        </w:r>
        <w:bookmarkStart w:id="321" w:name="_9kMML5YVt4886FLiduu"/>
        <w:r>
          <w:rPr>
            <w:lang w:val="en-GB"/>
          </w:rPr>
          <w:t>User</w:t>
        </w:r>
        <w:bookmarkEnd w:id="321"/>
        <w:r>
          <w:rPr>
            <w:lang w:val="en-GB"/>
          </w:rPr>
          <w:t xml:space="preserve">, in accordance with paragraph </w:t>
        </w:r>
      </w:ins>
      <w:ins w:id="322" w:author="Dentons" w:date="2018-05-10T11:32:00Z">
        <w:r>
          <w:rPr>
            <w:lang w:val="en-GB"/>
          </w:rPr>
          <w:fldChar w:fldCharType="begin"/>
        </w:r>
        <w:r>
          <w:rPr>
            <w:lang w:val="en-GB"/>
          </w:rPr>
          <w:instrText xml:space="preserve"> REF _Ref513715249 \w \h </w:instrText>
        </w:r>
      </w:ins>
      <w:r>
        <w:rPr>
          <w:lang w:val="en-GB"/>
        </w:rPr>
      </w:r>
      <w:r>
        <w:rPr>
          <w:lang w:val="en-GB"/>
        </w:rPr>
        <w:fldChar w:fldCharType="separate"/>
      </w:r>
      <w:bookmarkStart w:id="323" w:name="_9kMHG5YVt56579HJDDJpYnyzWN095ByxefE1hSY"/>
      <w:r>
        <w:rPr>
          <w:lang w:val="en-GB"/>
        </w:rPr>
        <w:t>2.11.5</w:t>
      </w:r>
      <w:bookmarkEnd w:id="323"/>
      <w:ins w:id="324" w:author="Dentons" w:date="2018-05-10T11:32:00Z">
        <w:r>
          <w:rPr>
            <w:lang w:val="en-GB"/>
          </w:rPr>
          <w:fldChar w:fldCharType="end"/>
        </w:r>
      </w:ins>
      <w:ins w:id="325" w:author="LOF" w:date="2018-05-08T12:50:00Z">
        <w:r>
          <w:rPr>
            <w:lang w:val="en-GB"/>
          </w:rPr>
          <w:t>;</w:t>
        </w:r>
      </w:ins>
    </w:p>
    <w:p>
      <w:pPr>
        <w:pStyle w:val="Level-4a"/>
        <w:ind w:left="2118" w:hanging="720"/>
        <w:rPr>
          <w:lang w:val="en-GB"/>
        </w:rPr>
      </w:pPr>
      <w:ins w:id="326" w:author="LOF" w:date="2018-05-08T12:50:00Z">
        <w:r>
          <w:rPr>
            <w:lang w:val="en-GB"/>
          </w:rPr>
          <w:tab/>
        </w:r>
        <w:bookmarkStart w:id="327" w:name="_9kMHG5YVt9ID7FMqPRox5vypl22"/>
        <w:r>
          <w:rPr>
            <w:lang w:val="en-GB"/>
          </w:rPr>
          <w:t xml:space="preserve">a </w:t>
        </w:r>
      </w:ins>
      <w:bookmarkStart w:id="328" w:name="_9kR3WTr2664BIfOlu2svmizz"/>
      <w:ins w:id="329" w:author="Dentons" w:date="2018-05-10T11:27:00Z">
        <w:r>
          <w:rPr>
            <w:lang w:val="en-GB"/>
          </w:rPr>
          <w:t xml:space="preserve">Shipper </w:t>
        </w:r>
      </w:ins>
      <w:ins w:id="330" w:author="LOF" w:date="2018-05-08T12:50:00Z">
        <w:r>
          <w:rPr>
            <w:lang w:val="en-GB"/>
          </w:rPr>
          <w:t>User</w:t>
        </w:r>
        <w:bookmarkEnd w:id="328"/>
        <w:r>
          <w:rPr>
            <w:lang w:val="en-GB"/>
          </w:rPr>
          <w:t xml:space="preserve"> shall pay</w:t>
        </w:r>
        <w:bookmarkEnd w:id="327"/>
        <w:r>
          <w:rPr>
            <w:lang w:val="en-GB"/>
          </w:rPr>
          <w:t xml:space="preserve"> </w:t>
        </w:r>
        <w:bookmarkStart w:id="331" w:name="_9kR3WTr26647AP9notqlZX4kjxuDD4BMDAGvhDV"/>
        <w:r>
          <w:rPr>
            <w:lang w:val="en-GB"/>
          </w:rPr>
          <w:t>General Non-</w:t>
        </w:r>
        <w:bookmarkStart w:id="332" w:name="_9kMIH5YVt9ID8BGhNtB3lizYIny5t6"/>
        <w:r>
          <w:rPr>
            <w:lang w:val="en-GB"/>
          </w:rPr>
          <w:t>Transmission Services Charges</w:t>
        </w:r>
        <w:bookmarkEnd w:id="332"/>
        <w:r>
          <w:rPr>
            <w:lang w:val="en-GB"/>
          </w:rPr>
          <w:t xml:space="preserve"> as </w:t>
        </w:r>
      </w:ins>
      <w:r>
        <w:rPr>
          <w:lang w:val="en-GB"/>
        </w:rPr>
        <w:t xml:space="preserve">Commodity Charges </w:t>
      </w:r>
      <w:del w:id="333" w:author="LOF" w:date="2018-05-08T12:50:00Z">
        <w:r>
          <w:delText>("</w:delText>
        </w:r>
      </w:del>
      <w:ins w:id="334" w:author="LOF" w:date="2018-05-08T12:50:00Z">
        <w:r>
          <w:rPr>
            <w:lang w:val="en-GB"/>
          </w:rPr>
          <w:t xml:space="preserve">to </w:t>
        </w:r>
        <w:bookmarkStart w:id="335" w:name="_9kMON5YVt3458FNfEr0w2poVW5s"/>
        <w:r>
          <w:rPr>
            <w:lang w:val="en-GB"/>
          </w:rPr>
          <w:t>National Grid</w:t>
        </w:r>
        <w:bookmarkEnd w:id="335"/>
        <w:r>
          <w:rPr>
            <w:lang w:val="en-GB"/>
          </w:rPr>
          <w:t xml:space="preserve"> </w:t>
        </w:r>
      </w:ins>
      <w:r>
        <w:rPr>
          <w:lang w:val="en-GB"/>
        </w:rPr>
        <w:t>NTS</w:t>
      </w:r>
      <w:bookmarkEnd w:id="331"/>
      <w:r>
        <w:rPr>
          <w:lang w:val="en-GB"/>
        </w:rPr>
        <w:t xml:space="preserve"> </w:t>
      </w:r>
      <w:del w:id="336" w:author="LOF" w:date="2018-05-08T12:50:00Z">
        <w:r>
          <w:rPr>
            <w:b/>
            <w:bCs/>
          </w:rPr>
          <w:delText>Entry Commodity Charges</w:delText>
        </w:r>
        <w:r>
          <w:delText xml:space="preserve">") in </w:delText>
        </w:r>
      </w:del>
      <w:ins w:id="337" w:author="LOF" w:date="2018-05-08T12:50:00Z">
        <w:r>
          <w:rPr>
            <w:lang w:val="en-GB"/>
          </w:rPr>
          <w:t xml:space="preserve">in </w:t>
        </w:r>
      </w:ins>
      <w:r>
        <w:rPr>
          <w:lang w:val="en-GB"/>
        </w:rPr>
        <w:t xml:space="preserve">respect of </w:t>
      </w:r>
      <w:ins w:id="338" w:author="LOF" w:date="2018-05-08T12:50:00Z">
        <w:r>
          <w:rPr>
            <w:lang w:val="en-GB"/>
          </w:rPr>
          <w:t xml:space="preserve">its use of </w:t>
        </w:r>
      </w:ins>
      <w:r>
        <w:rPr>
          <w:lang w:val="en-GB"/>
        </w:rPr>
        <w:t xml:space="preserve">the </w:t>
      </w:r>
      <w:del w:id="339" w:author="LOF" w:date="2018-05-08T12:50:00Z">
        <w:r>
          <w:delText>flow</w:delText>
        </w:r>
      </w:del>
      <w:ins w:id="340" w:author="LOF" w:date="2018-05-08T12:50:00Z">
        <w:r>
          <w:rPr>
            <w:lang w:val="en-GB"/>
          </w:rPr>
          <w:t>NTS for the delivery</w:t>
        </w:r>
      </w:ins>
      <w:r>
        <w:rPr>
          <w:lang w:val="en-GB"/>
        </w:rPr>
        <w:t xml:space="preserve"> of gas </w:t>
      </w:r>
      <w:del w:id="341" w:author="LOF" w:date="2018-05-08T12:50:00Z">
        <w:r>
          <w:delText>in</w:delText>
        </w:r>
      </w:del>
      <w:r>
        <w:rPr>
          <w:lang w:val="en-GB"/>
        </w:rPr>
        <w:t xml:space="preserve">to the </w:t>
      </w:r>
      <w:del w:id="342" w:author="LOF" w:date="2018-05-08T12:50:00Z">
        <w:r>
          <w:delText>NTS</w:delText>
        </w:r>
      </w:del>
      <w:bookmarkStart w:id="343" w:name="_9kR3WTr2664CKhW3qjckHD0u"/>
      <w:ins w:id="344" w:author="LOF" w:date="2018-05-08T12:50:00Z">
        <w:r>
          <w:rPr>
            <w:lang w:val="en-GB"/>
          </w:rPr>
          <w:t>Total System</w:t>
        </w:r>
      </w:ins>
      <w:bookmarkEnd w:id="343"/>
      <w:r>
        <w:rPr>
          <w:lang w:val="en-GB"/>
        </w:rPr>
        <w:t xml:space="preserve"> on any </w:t>
      </w:r>
      <w:del w:id="345" w:author="LOF" w:date="2018-05-08T12:50:00Z">
        <w:r>
          <w:delText>day</w:delText>
        </w:r>
      </w:del>
      <w:ins w:id="346" w:author="LOF" w:date="2018-05-08T12:50:00Z">
        <w:r>
          <w:rPr>
            <w:lang w:val="en-GB"/>
          </w:rPr>
          <w:t xml:space="preserve">Day, in accordance with paragraph </w:t>
        </w:r>
      </w:ins>
      <w:ins w:id="347" w:author="Dentons" w:date="2018-05-10T11:32:00Z">
        <w:r>
          <w:rPr>
            <w:lang w:val="en-GB"/>
          </w:rPr>
          <w:fldChar w:fldCharType="begin"/>
        </w:r>
        <w:r>
          <w:rPr>
            <w:lang w:val="en-GB"/>
          </w:rPr>
          <w:instrText xml:space="preserve"> REF _Ref513715262 \w \h </w:instrText>
        </w:r>
      </w:ins>
      <w:r>
        <w:rPr>
          <w:lang w:val="en-GB"/>
        </w:rPr>
      </w:r>
      <w:r>
        <w:rPr>
          <w:lang w:val="en-GB"/>
        </w:rPr>
        <w:fldChar w:fldCharType="separate"/>
      </w:r>
      <w:bookmarkStart w:id="348" w:name="_9kMHG5YVt56579IKDDKnVnNIwx2zuigDts63MMD"/>
      <w:r>
        <w:rPr>
          <w:lang w:val="en-GB"/>
        </w:rPr>
        <w:t>2.11.6</w:t>
      </w:r>
      <w:bookmarkEnd w:id="348"/>
      <w:ins w:id="349" w:author="Dentons" w:date="2018-05-10T11:32:00Z">
        <w:r>
          <w:rPr>
            <w:lang w:val="en-GB"/>
          </w:rPr>
          <w:fldChar w:fldCharType="end"/>
        </w:r>
      </w:ins>
      <w:r>
        <w:rPr>
          <w:lang w:val="en-GB"/>
        </w:rPr>
        <w:t xml:space="preserve">, or a charge calculated by reference to </w:t>
      </w:r>
      <w:bookmarkStart w:id="350" w:name="_9kMIH5YVt4886DMjYrfkjnQO6ws9A6C"/>
      <w:r>
        <w:rPr>
          <w:lang w:val="en-GB"/>
        </w:rPr>
        <w:t>Special Condition</w:t>
      </w:r>
      <w:bookmarkEnd w:id="350"/>
      <w:r>
        <w:rPr>
          <w:lang w:val="en-GB"/>
        </w:rPr>
        <w:t xml:space="preserve"> 2A and 3A of </w:t>
      </w:r>
      <w:bookmarkStart w:id="351" w:name="_9kMPO5YVt3458FNfEr0w2poVW5s"/>
      <w:bookmarkStart w:id="352" w:name="_9kR3WTr26648GbCpyu0nmTU3qWHNnvp30JMJMSG"/>
      <w:r>
        <w:rPr>
          <w:lang w:val="en-GB"/>
        </w:rPr>
        <w:t>National Grid</w:t>
      </w:r>
      <w:bookmarkEnd w:id="351"/>
      <w:r>
        <w:rPr>
          <w:lang w:val="en-GB"/>
        </w:rPr>
        <w:t xml:space="preserve"> NTS's Transporter's Licence</w:t>
      </w:r>
      <w:bookmarkEnd w:id="352"/>
      <w:del w:id="353" w:author="LOF" w:date="2018-05-08T12:50:00Z">
        <w:r>
          <w:delText xml:space="preserve">. </w:delText>
        </w:r>
      </w:del>
      <w:ins w:id="354" w:author="LOF" w:date="2018-05-08T12:50:00Z">
        <w:r>
          <w:rPr>
            <w:lang w:val="en-GB"/>
          </w:rPr>
          <w:t>;</w:t>
        </w:r>
      </w:ins>
    </w:p>
    <w:p>
      <w:pPr>
        <w:pStyle w:val="Level-4a"/>
        <w:ind w:left="2118" w:hanging="720"/>
        <w:rPr>
          <w:ins w:id="355" w:author="LOF" w:date="2018-05-08T12:50:00Z"/>
          <w:lang w:val="en-GB"/>
        </w:rPr>
      </w:pPr>
      <w:ins w:id="356" w:author="LOF" w:date="2018-05-08T12:50:00Z">
        <w:r>
          <w:rPr>
            <w:lang w:val="en-GB"/>
          </w:rPr>
          <w:t xml:space="preserve">a </w:t>
        </w:r>
        <w:bookmarkStart w:id="357" w:name="_9kMNM5YVt4886FLiduu"/>
        <w:r>
          <w:rPr>
            <w:lang w:val="en-GB"/>
          </w:rPr>
          <w:t>User</w:t>
        </w:r>
        <w:bookmarkEnd w:id="357"/>
        <w:r>
          <w:rPr>
            <w:lang w:val="en-GB"/>
          </w:rPr>
          <w:t xml:space="preserve"> shall pay to </w:t>
        </w:r>
        <w:bookmarkStart w:id="358" w:name="_9kMHzG6ZWu4569GOgFs1x3qpWX6t"/>
        <w:bookmarkStart w:id="359" w:name="_9kMKJ5YVt4886ABWEr0w2poVW5sYJP"/>
        <w:r>
          <w:rPr>
            <w:lang w:val="en-GB"/>
          </w:rPr>
          <w:t>National Grid</w:t>
        </w:r>
        <w:bookmarkEnd w:id="358"/>
        <w:r>
          <w:rPr>
            <w:lang w:val="en-GB"/>
          </w:rPr>
          <w:t xml:space="preserve"> NTS</w:t>
        </w:r>
        <w:bookmarkEnd w:id="359"/>
        <w:r>
          <w:rPr>
            <w:lang w:val="en-GB"/>
          </w:rPr>
          <w:t xml:space="preserve">, or (where the </w:t>
        </w:r>
        <w:bookmarkStart w:id="360" w:name="_9kMJI5YVt39A8DLSG2ztleequNEq2J0X6B"/>
        <w:r>
          <w:rPr>
            <w:lang w:val="en-GB"/>
          </w:rPr>
          <w:t xml:space="preserve">Applicable </w:t>
        </w:r>
        <w:bookmarkStart w:id="361" w:name="_9kMJI5YVt3678EMV4gs9"/>
        <w:r>
          <w:rPr>
            <w:lang w:val="en-GB"/>
          </w:rPr>
          <w:t>Daily</w:t>
        </w:r>
        <w:bookmarkEnd w:id="361"/>
        <w:r>
          <w:rPr>
            <w:lang w:val="en-GB"/>
          </w:rPr>
          <w:t xml:space="preserve"> Rate</w:t>
        </w:r>
        <w:bookmarkEnd w:id="360"/>
        <w:r>
          <w:rPr>
            <w:lang w:val="en-GB"/>
          </w:rPr>
          <w:t xml:space="preserve"> is negative) </w:t>
        </w:r>
        <w:bookmarkStart w:id="362" w:name="_9kMH0H6ZWu4569GOgFs1x3qpWX6t"/>
        <w:bookmarkStart w:id="363" w:name="_9kMLK5YVt4886ABWEr0w2poVW5sYJP"/>
        <w:r>
          <w:rPr>
            <w:lang w:val="en-GB"/>
          </w:rPr>
          <w:t>National Grid</w:t>
        </w:r>
        <w:bookmarkEnd w:id="362"/>
        <w:r>
          <w:rPr>
            <w:lang w:val="en-GB"/>
          </w:rPr>
          <w:t xml:space="preserve"> NTS</w:t>
        </w:r>
        <w:bookmarkEnd w:id="363"/>
        <w:r>
          <w:rPr>
            <w:lang w:val="en-GB"/>
          </w:rPr>
          <w:t xml:space="preserve"> shall pay to the </w:t>
        </w:r>
        <w:bookmarkStart w:id="364" w:name="_9kMON5YVt4886FLiduu"/>
        <w:r>
          <w:rPr>
            <w:lang w:val="en-GB"/>
          </w:rPr>
          <w:t>User</w:t>
        </w:r>
        <w:bookmarkEnd w:id="364"/>
        <w:r>
          <w:rPr>
            <w:lang w:val="en-GB"/>
          </w:rPr>
          <w:t xml:space="preserve">, </w:t>
        </w:r>
        <w:bookmarkStart w:id="365" w:name="_9kMHG5YVt9ID8CF6xjHL7CIvjxuDD4BMDAGvhDV"/>
        <w:r>
          <w:rPr>
            <w:lang w:val="en-GB"/>
          </w:rPr>
          <w:t xml:space="preserve">the </w:t>
        </w:r>
        <w:bookmarkStart w:id="366" w:name="_9kMIH5YVt39A8FGPI49FsgurAA18JA7DseASK2z"/>
        <w:r>
          <w:rPr>
            <w:lang w:val="en-GB"/>
          </w:rPr>
          <w:t>Entry Transmission Services Revenue Recovery Charge</w:t>
        </w:r>
        <w:bookmarkEnd w:id="365"/>
        <w:bookmarkEnd w:id="366"/>
        <w:r>
          <w:rPr>
            <w:lang w:val="en-GB"/>
          </w:rPr>
          <w:t xml:space="preserve"> </w:t>
        </w:r>
        <w:bookmarkStart w:id="367" w:name="_9kMHG5YVt9ID8AF3qQ9F1N9EKgDxymvDUGts0"/>
        <w:r>
          <w:rPr>
            <w:lang w:val="en-GB"/>
          </w:rPr>
          <w:t xml:space="preserve">in respect of </w:t>
        </w:r>
        <w:bookmarkStart w:id="368" w:name="_9kMHG5YVt4886BGa7DzL7CIeBvwktBS"/>
        <w:r>
          <w:rPr>
            <w:lang w:val="en-GB"/>
          </w:rPr>
          <w:t>NTS Entry Capacity</w:t>
        </w:r>
        <w:bookmarkEnd w:id="368"/>
        <w:r>
          <w:rPr>
            <w:lang w:val="en-GB"/>
          </w:rPr>
          <w:t xml:space="preserve"> </w:t>
        </w:r>
        <w:bookmarkStart w:id="369" w:name="_9kMHG5YVt3678FEnbaiK80"/>
        <w:r>
          <w:rPr>
            <w:lang w:val="en-GB"/>
          </w:rPr>
          <w:t>each Day</w:t>
        </w:r>
        <w:bookmarkEnd w:id="367"/>
        <w:bookmarkEnd w:id="369"/>
        <w:r>
          <w:rPr>
            <w:lang w:val="en-GB"/>
          </w:rPr>
          <w:t xml:space="preserve">, in accordance with paragraph </w:t>
        </w:r>
      </w:ins>
      <w:ins w:id="370" w:author="Dentons" w:date="2018-05-10T11:32:00Z">
        <w:r>
          <w:rPr>
            <w:lang w:val="en-GB"/>
          </w:rPr>
          <w:fldChar w:fldCharType="begin"/>
        </w:r>
        <w:r>
          <w:rPr>
            <w:lang w:val="en-GB"/>
          </w:rPr>
          <w:instrText xml:space="preserve"> REF _Ref513715272 \w \h </w:instrText>
        </w:r>
      </w:ins>
      <w:r>
        <w:rPr>
          <w:lang w:val="en-GB"/>
        </w:rPr>
      </w:r>
      <w:r>
        <w:rPr>
          <w:lang w:val="en-GB"/>
        </w:rPr>
        <w:fldChar w:fldCharType="separate"/>
      </w:r>
      <w:bookmarkStart w:id="371" w:name="_9kMHG5YVt5657AABDDLoVnLPBGMzn1yHH8FQHEK"/>
      <w:r>
        <w:rPr>
          <w:lang w:val="en-GB"/>
        </w:rPr>
        <w:t>2.11.7</w:t>
      </w:r>
      <w:bookmarkEnd w:id="371"/>
      <w:ins w:id="372" w:author="Dentons" w:date="2018-05-10T11:32:00Z">
        <w:r>
          <w:rPr>
            <w:lang w:val="en-GB"/>
          </w:rPr>
          <w:fldChar w:fldCharType="end"/>
        </w:r>
      </w:ins>
      <w:ins w:id="373" w:author="LOF" w:date="2018-05-08T12:50:00Z">
        <w:r>
          <w:rPr>
            <w:lang w:val="en-GB"/>
          </w:rPr>
          <w:t>;</w:t>
        </w:r>
      </w:ins>
    </w:p>
    <w:p>
      <w:pPr>
        <w:pStyle w:val="Level-4a"/>
        <w:ind w:left="2118" w:hanging="720"/>
        <w:rPr>
          <w:ins w:id="374" w:author="LOF" w:date="2018-05-08T12:50:00Z"/>
          <w:lang w:val="en-GB"/>
        </w:rPr>
      </w:pPr>
      <w:ins w:id="375" w:author="LOF" w:date="2018-05-08T12:50:00Z">
        <w:r>
          <w:rPr>
            <w:lang w:val="en-GB"/>
          </w:rPr>
          <w:t xml:space="preserve">if applicable, </w:t>
        </w:r>
        <w:bookmarkStart w:id="376" w:name="_9kMH1I6ZWu4569GOgFs1x3qpWX6t"/>
        <w:bookmarkStart w:id="377" w:name="_9kMML5YVt4886ABWEr0w2poVW5sYJP"/>
        <w:r>
          <w:rPr>
            <w:lang w:val="en-GB"/>
          </w:rPr>
          <w:t>National Grid</w:t>
        </w:r>
        <w:bookmarkEnd w:id="376"/>
        <w:r>
          <w:rPr>
            <w:lang w:val="en-GB"/>
          </w:rPr>
          <w:t xml:space="preserve"> NTS</w:t>
        </w:r>
        <w:bookmarkEnd w:id="377"/>
        <w:r>
          <w:rPr>
            <w:lang w:val="en-GB"/>
          </w:rPr>
          <w:t xml:space="preserve"> shall pay to a </w:t>
        </w:r>
        <w:bookmarkStart w:id="378" w:name="_9kR3WTr2664DNkbss8zlSCI4QCHN0o2zII9GRIF"/>
        <w:r>
          <w:rPr>
            <w:lang w:val="en-GB"/>
          </w:rPr>
          <w:t xml:space="preserve">User the NTS </w:t>
        </w:r>
        <w:bookmarkStart w:id="379" w:name="_9kMIH5YVt9ID8BJkNtB3liznUli16QOt4Bz"/>
        <w:r>
          <w:rPr>
            <w:lang w:val="en-GB"/>
          </w:rPr>
          <w:t>Entry Transmission Services Rebate Charge</w:t>
        </w:r>
        <w:bookmarkEnd w:id="378"/>
        <w:bookmarkEnd w:id="379"/>
        <w:r>
          <w:rPr>
            <w:lang w:val="en-GB"/>
          </w:rPr>
          <w:t xml:space="preserve">, in accordance with paragraph </w:t>
        </w:r>
      </w:ins>
      <w:ins w:id="380" w:author="Dentons" w:date="2018-05-10T11:32:00Z">
        <w:r>
          <w:rPr>
            <w:lang w:val="en-GB"/>
          </w:rPr>
          <w:fldChar w:fldCharType="begin"/>
        </w:r>
        <w:r>
          <w:rPr>
            <w:lang w:val="en-GB"/>
          </w:rPr>
          <w:instrText xml:space="preserve"> REF _Ref513715282 \w \h </w:instrText>
        </w:r>
      </w:ins>
      <w:r>
        <w:rPr>
          <w:lang w:val="en-GB"/>
        </w:rPr>
      </w:r>
      <w:r>
        <w:rPr>
          <w:lang w:val="en-GB"/>
        </w:rPr>
        <w:fldChar w:fldCharType="separate"/>
      </w:r>
      <w:bookmarkStart w:id="381" w:name="_9kMHG5YVt5657ABCDDMsYnyzjyEEEJExuv0Bwiz"/>
      <w:r>
        <w:rPr>
          <w:lang w:val="en-GB"/>
        </w:rPr>
        <w:t>2.11.8</w:t>
      </w:r>
      <w:bookmarkEnd w:id="381"/>
      <w:ins w:id="382" w:author="Dentons" w:date="2018-05-10T11:32:00Z">
        <w:r>
          <w:rPr>
            <w:lang w:val="en-GB"/>
          </w:rPr>
          <w:fldChar w:fldCharType="end"/>
        </w:r>
      </w:ins>
      <w:ins w:id="383" w:author="LOF" w:date="2018-05-08T12:50:00Z">
        <w:r>
          <w:rPr>
            <w:lang w:val="en-GB"/>
          </w:rPr>
          <w:t>.</w:t>
        </w:r>
      </w:ins>
    </w:p>
    <w:p>
      <w:pPr>
        <w:pStyle w:val="Level-3"/>
        <w:rPr>
          <w:lang w:val="en-GB"/>
        </w:rPr>
      </w:pPr>
      <w:bookmarkStart w:id="384" w:name="B_2_11_2"/>
      <w:bookmarkStart w:id="385" w:name="B_2_12"/>
      <w:bookmarkStart w:id="386" w:name="_9kR3WTr8E8578ABBE"/>
      <w:bookmarkStart w:id="387" w:name="_9kMHG5YVt9ID7HNTI49Fb8sthq8PjNs3Ay"/>
      <w:bookmarkStart w:id="388" w:name="_Ref61428160"/>
      <w:bookmarkStart w:id="389" w:name="_9kR3WTr34357DFBBEhTlSCI4QCHNjG01pyGXrV0"/>
      <w:bookmarkEnd w:id="384"/>
      <w:bookmarkEnd w:id="385"/>
      <w:bookmarkEnd w:id="386"/>
      <w:r>
        <w:rPr>
          <w:lang w:val="en-GB"/>
        </w:rPr>
        <w:t xml:space="preserve">The </w:t>
      </w:r>
      <w:bookmarkStart w:id="390" w:name="_9kMHG5YVt39A8GFW7DzL7CIeBvwktBSmQv6D1E"/>
      <w:r>
        <w:rPr>
          <w:lang w:val="en-GB"/>
        </w:rPr>
        <w:t>NTS Entry Capacity Charge</w:t>
      </w:r>
      <w:bookmarkEnd w:id="387"/>
      <w:bookmarkEnd w:id="390"/>
      <w:r>
        <w:rPr>
          <w:lang w:val="en-GB"/>
        </w:rPr>
        <w:t xml:space="preserve"> payable by a </w:t>
      </w:r>
      <w:bookmarkStart w:id="391" w:name="_9kMPO5YVt4886FLiduu"/>
      <w:r>
        <w:rPr>
          <w:lang w:val="en-GB"/>
        </w:rPr>
        <w:t>User</w:t>
      </w:r>
      <w:bookmarkEnd w:id="391"/>
      <w:r>
        <w:rPr>
          <w:lang w:val="en-GB"/>
        </w:rPr>
        <w:t xml:space="preserve"> in respect of </w:t>
      </w:r>
      <w:bookmarkStart w:id="392" w:name="_9kMIH5YVt3678FEnbaiK80"/>
      <w:r>
        <w:rPr>
          <w:lang w:val="en-GB"/>
        </w:rPr>
        <w:t>each Day</w:t>
      </w:r>
      <w:bookmarkEnd w:id="392"/>
      <w:r>
        <w:rPr>
          <w:lang w:val="en-GB"/>
        </w:rPr>
        <w:t xml:space="preserve"> will be determined for each </w:t>
      </w:r>
      <w:bookmarkStart w:id="393" w:name="_9kR3WTr266457I5iutjguzZoLH4yZVHMS1mCCO"/>
      <w:r>
        <w:rPr>
          <w:lang w:val="en-GB"/>
        </w:rPr>
        <w:t>Aggregate System Entry Point</w:t>
      </w:r>
      <w:bookmarkEnd w:id="393"/>
      <w:r>
        <w:rPr>
          <w:lang w:val="en-GB"/>
        </w:rPr>
        <w:t xml:space="preserve"> and each class (as described in </w:t>
      </w:r>
      <w:bookmarkStart w:id="394" w:name="_9kR3WTr2CC5ABxknoewrqyCKN"/>
      <w:r>
        <w:rPr>
          <w:lang w:val="en-GB"/>
        </w:rPr>
        <w:t>paragraph 2.1.4</w:t>
      </w:r>
      <w:bookmarkEnd w:id="394"/>
      <w:r>
        <w:rPr>
          <w:lang w:val="en-GB"/>
        </w:rPr>
        <w:t xml:space="preserve">) </w:t>
      </w:r>
      <w:bookmarkStart w:id="395" w:name="_9kMIH5YVt9ID8AE2qQ9F"/>
      <w:r>
        <w:rPr>
          <w:lang w:val="en-GB"/>
        </w:rPr>
        <w:t xml:space="preserve">of </w:t>
      </w:r>
      <w:bookmarkStart w:id="396" w:name="_9kMIH5YVt4886BGa7DzL7CIeBvwktBS"/>
      <w:r>
        <w:rPr>
          <w:lang w:val="en-GB"/>
        </w:rPr>
        <w:t>NTS Entry Capacity</w:t>
      </w:r>
      <w:bookmarkEnd w:id="395"/>
      <w:bookmarkEnd w:id="396"/>
      <w:r>
        <w:rPr>
          <w:lang w:val="en-GB"/>
        </w:rPr>
        <w:t xml:space="preserve">, as the amount of the </w:t>
      </w:r>
      <w:bookmarkStart w:id="397" w:name="_9kMJI5YVt8957FH"/>
      <w:bookmarkStart w:id="398" w:name="_9kMHG5YVt4886GIeduu9kRns5H434rbMSEaMRXt"/>
      <w:r>
        <w:rPr>
          <w:lang w:val="en-GB"/>
        </w:rPr>
        <w:t>User’s</w:t>
      </w:r>
      <w:bookmarkEnd w:id="397"/>
      <w:r>
        <w:rPr>
          <w:lang w:val="en-GB"/>
        </w:rPr>
        <w:t xml:space="preserve"> Registered NTS Entry Capacity</w:t>
      </w:r>
      <w:bookmarkEnd w:id="398"/>
      <w:r>
        <w:rPr>
          <w:lang w:val="en-GB"/>
        </w:rPr>
        <w:t xml:space="preserve"> (of the relevant class, and in the case </w:t>
      </w:r>
      <w:bookmarkStart w:id="399" w:name="_9kMHG5YVt9ID8AG4qTdusC0z7FsIO"/>
      <w:r>
        <w:rPr>
          <w:lang w:val="en-GB"/>
        </w:rPr>
        <w:t xml:space="preserve">of </w:t>
      </w:r>
      <w:bookmarkStart w:id="400" w:name="_9kR3WTr1456EIcZqo8wv3B"/>
      <w:bookmarkStart w:id="401" w:name="_9kR3WTr2664AGcZqo8wv3BoEK6SEJPlI23r0IZH"/>
      <w:r>
        <w:rPr>
          <w:lang w:val="en-GB"/>
        </w:rPr>
        <w:t>Quarterly</w:t>
      </w:r>
      <w:bookmarkEnd w:id="400"/>
      <w:r>
        <w:rPr>
          <w:lang w:val="en-GB"/>
        </w:rPr>
        <w:t xml:space="preserve"> NTS Entry Capacity</w:t>
      </w:r>
      <w:bookmarkEnd w:id="399"/>
      <w:r>
        <w:rPr>
          <w:lang w:val="en-GB"/>
        </w:rPr>
        <w:t xml:space="preserve"> and </w:t>
      </w:r>
      <w:bookmarkStart w:id="402" w:name="_9kR3WTr1456DKbPx3yr9"/>
      <w:r>
        <w:rPr>
          <w:lang w:val="en-GB"/>
        </w:rPr>
        <w:t>Monthly</w:t>
      </w:r>
      <w:bookmarkEnd w:id="402"/>
      <w:r>
        <w:rPr>
          <w:lang w:val="en-GB"/>
        </w:rPr>
        <w:t xml:space="preserve"> NTS Entry Capacity</w:t>
      </w:r>
      <w:bookmarkEnd w:id="401"/>
      <w:r>
        <w:rPr>
          <w:lang w:val="en-GB"/>
        </w:rPr>
        <w:t xml:space="preserve">, applied for pursuant to </w:t>
      </w:r>
      <w:bookmarkStart w:id="403" w:name="_9kR3WTr2CC5BEzknoewrqy2OM"/>
      <w:r>
        <w:rPr>
          <w:lang w:val="en-GB"/>
        </w:rPr>
        <w:t>paragraphs 2.2</w:t>
      </w:r>
      <w:bookmarkEnd w:id="403"/>
      <w:r>
        <w:rPr>
          <w:lang w:val="en-GB"/>
        </w:rPr>
        <w:t xml:space="preserve"> and/or </w:t>
      </w:r>
      <w:bookmarkStart w:id="404" w:name="_9kR3WTr2CC59GGD"/>
      <w:r>
        <w:rPr>
          <w:lang w:val="en-GB"/>
        </w:rPr>
        <w:t>2.3</w:t>
      </w:r>
      <w:bookmarkEnd w:id="404"/>
      <w:r>
        <w:rPr>
          <w:lang w:val="en-GB"/>
        </w:rPr>
        <w:t xml:space="preserve"> and/or reserved under </w:t>
      </w:r>
      <w:bookmarkStart w:id="405" w:name="_9kR3WTr2CC59I5knoewrqyBJN"/>
      <w:r>
        <w:rPr>
          <w:lang w:val="en-GB"/>
        </w:rPr>
        <w:t>paragraph 1.14</w:t>
      </w:r>
      <w:bookmarkEnd w:id="405"/>
      <w:r>
        <w:rPr>
          <w:lang w:val="en-GB"/>
        </w:rPr>
        <w:t xml:space="preserve">, and allocated following an invitation date and/or allocated under a PARCA pursuant to </w:t>
      </w:r>
      <w:bookmarkStart w:id="406" w:name="_9kMHG5YVt4EE7BK7mpqgyts0DLP"/>
      <w:r>
        <w:rPr>
          <w:lang w:val="en-GB"/>
        </w:rPr>
        <w:t>paragraph 1.14</w:t>
      </w:r>
      <w:bookmarkEnd w:id="406"/>
      <w:r>
        <w:rPr>
          <w:lang w:val="en-GB"/>
        </w:rPr>
        <w:t xml:space="preserve">) multiplied by the </w:t>
      </w:r>
      <w:bookmarkStart w:id="407" w:name="_9kMKJ5YVt39A8DLSG2ztleequNEq2J0X6B"/>
      <w:r>
        <w:rPr>
          <w:lang w:val="en-GB"/>
        </w:rPr>
        <w:t xml:space="preserve">Applicable </w:t>
      </w:r>
      <w:bookmarkStart w:id="408" w:name="_9kMKJ5YVt3678EMV4gs9"/>
      <w:r>
        <w:rPr>
          <w:lang w:val="en-GB"/>
        </w:rPr>
        <w:t>Daily</w:t>
      </w:r>
      <w:bookmarkEnd w:id="408"/>
      <w:r>
        <w:rPr>
          <w:lang w:val="en-GB"/>
        </w:rPr>
        <w:t xml:space="preserve"> Rate</w:t>
      </w:r>
      <w:bookmarkEnd w:id="407"/>
      <w:r>
        <w:rPr>
          <w:lang w:val="en-GB"/>
        </w:rPr>
        <w:t>.</w:t>
      </w:r>
      <w:bookmarkEnd w:id="388"/>
      <w:bookmarkEnd w:id="389"/>
    </w:p>
    <w:p>
      <w:pPr>
        <w:pStyle w:val="Level-3"/>
        <w:keepNext/>
        <w:rPr>
          <w:lang w:val="en-GB"/>
        </w:rPr>
      </w:pPr>
      <w:r>
        <w:rPr>
          <w:lang w:val="en-GB"/>
        </w:rPr>
        <w:t xml:space="preserve">The </w:t>
      </w:r>
      <w:bookmarkStart w:id="409" w:name="_9kMLK5YVt39A8DLSG2ztleequNEq2J0X6B"/>
      <w:r>
        <w:rPr>
          <w:lang w:val="en-GB"/>
        </w:rPr>
        <w:t xml:space="preserve">Applicable </w:t>
      </w:r>
      <w:bookmarkStart w:id="410" w:name="_9kMLK5YVt3678EMV4gs9"/>
      <w:r>
        <w:rPr>
          <w:lang w:val="en-GB"/>
        </w:rPr>
        <w:t>Daily</w:t>
      </w:r>
      <w:bookmarkEnd w:id="410"/>
      <w:r>
        <w:rPr>
          <w:lang w:val="en-GB"/>
        </w:rPr>
        <w:t xml:space="preserve"> Rate</w:t>
      </w:r>
      <w:bookmarkEnd w:id="409"/>
      <w:r>
        <w:rPr>
          <w:lang w:val="en-GB"/>
        </w:rPr>
        <w:t xml:space="preserve"> </w:t>
      </w:r>
      <w:bookmarkStart w:id="411" w:name="_9kMJI5YVt9ID8AE2qQ9F"/>
      <w:ins w:id="412" w:author="LOF" w:date="2018-05-08T12:50:00Z">
        <w:r>
          <w:rPr>
            <w:lang w:val="en-GB"/>
          </w:rPr>
          <w:t xml:space="preserve">of </w:t>
        </w:r>
        <w:bookmarkStart w:id="413" w:name="_9kR3WTr7GB67BZ5Bbxglx2s2fCwxluCT3uQOC99"/>
        <w:bookmarkStart w:id="414" w:name="_9kMIH5YVt39A8GFW7DzL7CIeBvwktBSmQv6D1E"/>
        <w:r>
          <w:rPr>
            <w:lang w:val="en-GB"/>
          </w:rPr>
          <w:t>NTS Entry Capacity</w:t>
        </w:r>
        <w:bookmarkEnd w:id="411"/>
        <w:r>
          <w:rPr>
            <w:lang w:val="en-GB"/>
          </w:rPr>
          <w:t xml:space="preserve"> Charges</w:t>
        </w:r>
        <w:bookmarkEnd w:id="413"/>
        <w:bookmarkEnd w:id="414"/>
        <w:r>
          <w:rPr>
            <w:lang w:val="en-GB"/>
          </w:rPr>
          <w:t xml:space="preserve"> </w:t>
        </w:r>
      </w:ins>
      <w:r>
        <w:rPr>
          <w:lang w:val="en-GB"/>
        </w:rPr>
        <w:t>shall be:</w:t>
      </w:r>
    </w:p>
    <w:p>
      <w:pPr>
        <w:pStyle w:val="Level-4a"/>
        <w:rPr>
          <w:lang w:val="en-GB"/>
        </w:rPr>
      </w:pPr>
      <w:r>
        <w:rPr>
          <w:lang w:val="en-GB"/>
        </w:rPr>
        <w:t xml:space="preserve">in respect </w:t>
      </w:r>
      <w:bookmarkStart w:id="415" w:name="_9kMIH5YVt9ID8AG4qTdusC0z7FsIO"/>
      <w:r>
        <w:rPr>
          <w:lang w:val="en-GB"/>
        </w:rPr>
        <w:t xml:space="preserve">of </w:t>
      </w:r>
      <w:bookmarkStart w:id="416" w:name="_9kMHG5YVt3678GKebsqAyx5D"/>
      <w:bookmarkStart w:id="417" w:name="_9kR3WTr2664AFbZqo8wv3BoEK6SEJPlI23r0IZ"/>
      <w:r>
        <w:rPr>
          <w:lang w:val="en-GB"/>
        </w:rPr>
        <w:t>Quarterly</w:t>
      </w:r>
      <w:bookmarkEnd w:id="416"/>
      <w:r>
        <w:rPr>
          <w:lang w:val="en-GB"/>
        </w:rPr>
        <w:t xml:space="preserve"> NTS Entry Capacity</w:t>
      </w:r>
      <w:bookmarkEnd w:id="415"/>
      <w:bookmarkEnd w:id="417"/>
      <w:r>
        <w:rPr>
          <w:lang w:val="en-GB"/>
        </w:rPr>
        <w:t>;</w:t>
      </w:r>
    </w:p>
    <w:p>
      <w:pPr>
        <w:pStyle w:val="Level-5r"/>
        <w:ind w:left="3198" w:hanging="1080"/>
        <w:rPr>
          <w:noProof w:val="0"/>
        </w:rPr>
      </w:pPr>
      <w:r>
        <w:rPr>
          <w:noProof w:val="0"/>
        </w:rPr>
        <w:t xml:space="preserve">applied for pursuant to an </w:t>
      </w:r>
      <w:bookmarkStart w:id="418" w:name="_9kR3WTr1456BHoiw4sk"/>
      <w:r>
        <w:rPr>
          <w:noProof w:val="0"/>
        </w:rPr>
        <w:t>annual</w:t>
      </w:r>
      <w:bookmarkEnd w:id="418"/>
      <w:r>
        <w:rPr>
          <w:noProof w:val="0"/>
        </w:rPr>
        <w:t xml:space="preserve"> invitation under </w:t>
      </w:r>
      <w:bookmarkStart w:id="419" w:name="_9kR3WTr2CC5ADzknoewrqyCL"/>
      <w:r>
        <w:rPr>
          <w:noProof w:val="0"/>
        </w:rPr>
        <w:t>paragraph 2.2</w:t>
      </w:r>
      <w:bookmarkEnd w:id="419"/>
      <w:r>
        <w:rPr>
          <w:noProof w:val="0"/>
        </w:rPr>
        <w:t xml:space="preserve">, the </w:t>
      </w:r>
      <w:del w:id="420" w:author="LOF" w:date="2018-05-08T12:50:00Z">
        <w:r>
          <w:delText>applicable reserve or cleared price (for the calendar quarter) as</w:delText>
        </w:r>
      </w:del>
      <w:ins w:id="421" w:author="LOF" w:date="2018-05-08T12:50:00Z">
        <w:r>
          <w:rPr>
            <w:noProof w:val="0"/>
          </w:rPr>
          <w:t>rate</w:t>
        </w:r>
      </w:ins>
      <w:r>
        <w:rPr>
          <w:noProof w:val="0"/>
        </w:rPr>
        <w:t xml:space="preserve"> determined </w:t>
      </w:r>
      <w:del w:id="422" w:author="LOF" w:date="2018-05-08T12:50:00Z">
        <w:r>
          <w:delText xml:space="preserve">following the relevant annual invitation date </w:delText>
        </w:r>
      </w:del>
      <w:r>
        <w:rPr>
          <w:noProof w:val="0"/>
        </w:rPr>
        <w:t xml:space="preserve">in accordance with </w:t>
      </w:r>
      <w:del w:id="423" w:author="LOF" w:date="2018-05-08T12:50:00Z">
        <w:r>
          <w:delText>paragraph</w:delText>
        </w:r>
      </w:del>
      <w:bookmarkStart w:id="424" w:name="_9kMHG5YVtCIA788AJOu5dCI40GLRDq45t2Kb"/>
      <w:ins w:id="425" w:author="LOF" w:date="2018-05-08T12:50:00Z">
        <w:r>
          <w:rPr>
            <w:noProof w:val="0"/>
          </w:rPr>
          <w:t>Section</w:t>
        </w:r>
      </w:ins>
      <w:r>
        <w:rPr>
          <w:noProof w:val="0"/>
        </w:rPr>
        <w:t xml:space="preserve"> 2</w:t>
      </w:r>
      <w:bookmarkEnd w:id="424"/>
      <w:del w:id="426" w:author="LOF" w:date="2018-05-08T12:50:00Z">
        <w:r>
          <w:delText>.6</w:delText>
        </w:r>
      </w:del>
      <w:ins w:id="427" w:author="LOF" w:date="2018-05-08T12:50:00Z">
        <w:r>
          <w:rPr>
            <w:noProof w:val="0"/>
          </w:rPr>
          <w:t xml:space="preserve"> of </w:t>
        </w:r>
        <w:r>
          <w:rPr>
            <w:noProof w:val="0"/>
          </w:rPr>
          <w:lastRenderedPageBreak/>
          <w:t xml:space="preserve">the </w:t>
        </w:r>
        <w:bookmarkStart w:id="428" w:name="_9kMKJ5YVt3AB8GJa7DEesp8B8BH12B7DcRw7E6E"/>
        <w:r>
          <w:rPr>
            <w:noProof w:val="0"/>
          </w:rPr>
          <w:t>NTS Transportation Charging Methodology</w:t>
        </w:r>
      </w:ins>
      <w:bookmarkEnd w:id="428"/>
      <w:r>
        <w:rPr>
          <w:noProof w:val="0"/>
        </w:rPr>
        <w:t>; and</w:t>
      </w:r>
    </w:p>
    <w:p>
      <w:pPr>
        <w:pStyle w:val="Level-5r"/>
        <w:ind w:left="3198" w:hanging="1080"/>
        <w:rPr>
          <w:noProof w:val="0"/>
        </w:rPr>
      </w:pPr>
      <w:r>
        <w:rPr>
          <w:noProof w:val="0"/>
        </w:rPr>
        <w:t xml:space="preserve">applied for, reserved and registered under a PARCA pursuant to </w:t>
      </w:r>
      <w:bookmarkStart w:id="429" w:name="_9kMIH5YVt4EE7BK7mpqgyts0DLP"/>
      <w:r>
        <w:rPr>
          <w:noProof w:val="0"/>
        </w:rPr>
        <w:t>paragraph 1.14</w:t>
      </w:r>
      <w:bookmarkEnd w:id="429"/>
      <w:r>
        <w:rPr>
          <w:noProof w:val="0"/>
        </w:rPr>
        <w:t xml:space="preserve"> the applicable price as </w:t>
      </w:r>
      <w:bookmarkStart w:id="430" w:name="_9kMHG5YVt9ID7FK7xjuvqr2zsCtm0xGJGJP9AJF"/>
      <w:r>
        <w:rPr>
          <w:noProof w:val="0"/>
        </w:rPr>
        <w:t xml:space="preserve">set out in the relevant </w:t>
      </w:r>
      <w:bookmarkStart w:id="431" w:name="_9kMIH5YVt4886EOlbpm5858Eyz84Apq56B568O"/>
      <w:r>
        <w:rPr>
          <w:noProof w:val="0"/>
        </w:rPr>
        <w:t>Transportation Statement</w:t>
      </w:r>
      <w:bookmarkEnd w:id="430"/>
      <w:bookmarkEnd w:id="431"/>
      <w:r>
        <w:rPr>
          <w:noProof w:val="0"/>
        </w:rPr>
        <w:t>.</w:t>
      </w:r>
    </w:p>
    <w:p>
      <w:pPr>
        <w:pStyle w:val="Level-4a"/>
        <w:ind w:left="2118" w:hanging="720"/>
        <w:rPr>
          <w:lang w:val="en-GB"/>
        </w:rPr>
      </w:pPr>
      <w:r>
        <w:rPr>
          <w:lang w:val="en-GB"/>
        </w:rPr>
        <w:t xml:space="preserve">in respect </w:t>
      </w:r>
      <w:bookmarkStart w:id="432" w:name="_9kMHG5YVt9ID8AD1qPT172vDqGM"/>
      <w:r>
        <w:rPr>
          <w:lang w:val="en-GB"/>
        </w:rPr>
        <w:t xml:space="preserve">of </w:t>
      </w:r>
      <w:bookmarkStart w:id="433" w:name="_9kMHG5YVt3678FMdRz50tB"/>
      <w:bookmarkStart w:id="434" w:name="_9kR3WTr26647HcPx3yr9mCI4QCHNjG01pyGX"/>
      <w:r>
        <w:rPr>
          <w:lang w:val="en-GB"/>
        </w:rPr>
        <w:t>Monthly</w:t>
      </w:r>
      <w:bookmarkEnd w:id="433"/>
      <w:r>
        <w:rPr>
          <w:lang w:val="en-GB"/>
        </w:rPr>
        <w:t xml:space="preserve"> NTS Entry Capacity</w:t>
      </w:r>
      <w:bookmarkEnd w:id="432"/>
      <w:bookmarkEnd w:id="434"/>
      <w:r>
        <w:rPr>
          <w:lang w:val="en-GB"/>
        </w:rPr>
        <w:t xml:space="preserve"> applied for pursuant to an invitation under </w:t>
      </w:r>
      <w:bookmarkStart w:id="435" w:name="_9kMHG5YVt4EE7DG1mpqgyts04QO"/>
      <w:r>
        <w:rPr>
          <w:lang w:val="en-GB"/>
        </w:rPr>
        <w:t>paragraphs 2.2</w:t>
      </w:r>
      <w:bookmarkEnd w:id="435"/>
      <w:r>
        <w:rPr>
          <w:lang w:val="en-GB"/>
        </w:rPr>
        <w:t xml:space="preserve"> and </w:t>
      </w:r>
      <w:bookmarkStart w:id="436" w:name="_9kMHG5YVt4EE7BIIF"/>
      <w:r>
        <w:rPr>
          <w:lang w:val="en-GB"/>
        </w:rPr>
        <w:t>2.3</w:t>
      </w:r>
      <w:bookmarkEnd w:id="436"/>
      <w:r>
        <w:rPr>
          <w:lang w:val="en-GB"/>
        </w:rPr>
        <w:t xml:space="preserve">, the bid price tendered </w:t>
      </w:r>
      <w:bookmarkStart w:id="437" w:name="_9kMHG5YVt9ID7GJnwFzlZizz"/>
      <w:r>
        <w:rPr>
          <w:lang w:val="en-GB"/>
        </w:rPr>
        <w:t xml:space="preserve">by the </w:t>
      </w:r>
      <w:bookmarkStart w:id="438" w:name="_9kMHzG6ZWu5997GMjevv"/>
      <w:r>
        <w:rPr>
          <w:lang w:val="en-GB"/>
        </w:rPr>
        <w:t>User</w:t>
      </w:r>
      <w:bookmarkEnd w:id="438"/>
      <w:r>
        <w:rPr>
          <w:lang w:val="en-GB"/>
        </w:rPr>
        <w:t xml:space="preserve"> in respect of</w:t>
      </w:r>
      <w:bookmarkEnd w:id="437"/>
      <w:r>
        <w:rPr>
          <w:lang w:val="en-GB"/>
        </w:rPr>
        <w:t xml:space="preserve"> </w:t>
      </w:r>
      <w:bookmarkStart w:id="439" w:name="_9kMHG5YVt9ID8CH8xjPU283wErHN"/>
      <w:r>
        <w:rPr>
          <w:lang w:val="en-GB"/>
        </w:rPr>
        <w:t xml:space="preserve">the </w:t>
      </w:r>
      <w:bookmarkStart w:id="440" w:name="_9kMIH5YVt3678FMdRz50tB"/>
      <w:bookmarkStart w:id="441" w:name="_9kMHG5YVt48869JeRz50tBoEK6SEJPlI23r0IZ"/>
      <w:r>
        <w:rPr>
          <w:lang w:val="en-GB"/>
        </w:rPr>
        <w:t>Monthly</w:t>
      </w:r>
      <w:bookmarkEnd w:id="440"/>
      <w:r>
        <w:rPr>
          <w:lang w:val="en-GB"/>
        </w:rPr>
        <w:t xml:space="preserve"> NTS Entry Capacity</w:t>
      </w:r>
      <w:bookmarkEnd w:id="439"/>
      <w:bookmarkEnd w:id="441"/>
      <w:r>
        <w:rPr>
          <w:lang w:val="en-GB"/>
        </w:rPr>
        <w:t xml:space="preserve"> allocated for the relevant </w:t>
      </w:r>
      <w:bookmarkStart w:id="442" w:name="_9kR3WTr1456CBjXhmppds535B6"/>
      <w:r>
        <w:rPr>
          <w:lang w:val="en-GB"/>
        </w:rPr>
        <w:t>calendar month</w:t>
      </w:r>
      <w:bookmarkEnd w:id="442"/>
      <w:r>
        <w:rPr>
          <w:lang w:val="en-GB"/>
        </w:rPr>
        <w:t xml:space="preserve"> pursuant to </w:t>
      </w:r>
      <w:bookmarkStart w:id="443" w:name="_9kR3WTr2CC5AE0knoewrqyCQR"/>
      <w:r>
        <w:rPr>
          <w:lang w:val="en-GB"/>
        </w:rPr>
        <w:t>paragraph 2.7.2</w:t>
      </w:r>
      <w:bookmarkEnd w:id="443"/>
      <w:r>
        <w:rPr>
          <w:lang w:val="en-GB"/>
        </w:rPr>
        <w:t>;</w:t>
      </w:r>
    </w:p>
    <w:p>
      <w:pPr>
        <w:pStyle w:val="Level-4a"/>
        <w:ind w:left="2118" w:hanging="720"/>
        <w:rPr>
          <w:lang w:val="en-GB"/>
        </w:rPr>
      </w:pPr>
      <w:r>
        <w:rPr>
          <w:lang w:val="en-GB"/>
        </w:rPr>
        <w:t xml:space="preserve">in respect </w:t>
      </w:r>
      <w:bookmarkStart w:id="444" w:name="_9kMHG5YVt9ID8AAyqG6iuBoEK"/>
      <w:r>
        <w:rPr>
          <w:lang w:val="en-GB"/>
        </w:rPr>
        <w:t xml:space="preserve">of </w:t>
      </w:r>
      <w:bookmarkStart w:id="445" w:name="_9kMML5YVt3678EMV4gs9"/>
      <w:bookmarkStart w:id="446" w:name="_9kR3WTr266467K2eq7kAG2OAFLhEyznwEV"/>
      <w:r>
        <w:rPr>
          <w:lang w:val="en-GB"/>
        </w:rPr>
        <w:t>Daily</w:t>
      </w:r>
      <w:bookmarkEnd w:id="445"/>
      <w:r>
        <w:rPr>
          <w:lang w:val="en-GB"/>
        </w:rPr>
        <w:t xml:space="preserve"> NTS Entry Capacity</w:t>
      </w:r>
      <w:bookmarkEnd w:id="444"/>
      <w:bookmarkEnd w:id="446"/>
      <w:r>
        <w:rPr>
          <w:lang w:val="en-GB"/>
        </w:rPr>
        <w:t xml:space="preserve">, the bid price tendered </w:t>
      </w:r>
      <w:bookmarkStart w:id="447" w:name="_9kMIH5YVt9ID7GJnwFzlZizz"/>
      <w:r>
        <w:rPr>
          <w:lang w:val="en-GB"/>
        </w:rPr>
        <w:t xml:space="preserve">by the </w:t>
      </w:r>
      <w:bookmarkStart w:id="448" w:name="_9kMH0H6ZWu5997GMjevv"/>
      <w:r>
        <w:rPr>
          <w:lang w:val="en-GB"/>
        </w:rPr>
        <w:t>User</w:t>
      </w:r>
      <w:bookmarkEnd w:id="448"/>
      <w:r>
        <w:rPr>
          <w:lang w:val="en-GB"/>
        </w:rPr>
        <w:t xml:space="preserve"> in respect of</w:t>
      </w:r>
      <w:bookmarkEnd w:id="447"/>
      <w:r>
        <w:rPr>
          <w:lang w:val="en-GB"/>
        </w:rPr>
        <w:t xml:space="preserve"> </w:t>
      </w:r>
      <w:bookmarkStart w:id="449" w:name="_9kMHG5YVt9ID8CE5xjG7jvCpFL"/>
      <w:r>
        <w:rPr>
          <w:lang w:val="en-GB"/>
        </w:rPr>
        <w:t xml:space="preserve">the </w:t>
      </w:r>
      <w:bookmarkStart w:id="450" w:name="_9kMNM5YVt3678EMV4gs9"/>
      <w:bookmarkStart w:id="451" w:name="_9kMHG5YVt488689M4gs9mCI4QCHNjG01pyGX"/>
      <w:r>
        <w:rPr>
          <w:lang w:val="en-GB"/>
        </w:rPr>
        <w:t>Daily</w:t>
      </w:r>
      <w:bookmarkEnd w:id="450"/>
      <w:r>
        <w:rPr>
          <w:lang w:val="en-GB"/>
        </w:rPr>
        <w:t xml:space="preserve"> NTS Entry Capacity</w:t>
      </w:r>
      <w:bookmarkEnd w:id="449"/>
      <w:bookmarkEnd w:id="451"/>
      <w:r>
        <w:rPr>
          <w:lang w:val="en-GB"/>
        </w:rPr>
        <w:t xml:space="preserve"> allocated for the Day pursuant to </w:t>
      </w:r>
      <w:bookmarkStart w:id="452" w:name="_9kMHG5YVt4EE7CG2mpqgyts0EST"/>
      <w:r>
        <w:rPr>
          <w:lang w:val="en-GB"/>
        </w:rPr>
        <w:t>paragraph 2.7.2</w:t>
      </w:r>
      <w:bookmarkEnd w:id="452"/>
      <w:r>
        <w:rPr>
          <w:lang w:val="en-GB"/>
        </w:rPr>
        <w:t>; and</w:t>
      </w:r>
    </w:p>
    <w:p>
      <w:pPr>
        <w:pStyle w:val="Level-4a"/>
        <w:ind w:left="2118" w:hanging="720"/>
        <w:rPr>
          <w:lang w:val="en-GB"/>
        </w:rPr>
      </w:pPr>
      <w:r>
        <w:rPr>
          <w:lang w:val="en-GB"/>
        </w:rPr>
        <w:t xml:space="preserve">in respect </w:t>
      </w:r>
      <w:bookmarkStart w:id="453" w:name="_9kMHG5YVt9ID8A9xqG6iuBjTB32GKJJDw04hRX"/>
      <w:r>
        <w:rPr>
          <w:lang w:val="en-GB"/>
        </w:rPr>
        <w:t xml:space="preserve">of </w:t>
      </w:r>
      <w:bookmarkStart w:id="454" w:name="_9kMON5YVt3678EMV4gs9"/>
      <w:bookmarkStart w:id="455" w:name="_9kR3WTr26645FT2eq7fP7zyCGFF9sw0dNTFbNSY"/>
      <w:r>
        <w:rPr>
          <w:lang w:val="en-GB"/>
        </w:rPr>
        <w:t>Daily</w:t>
      </w:r>
      <w:bookmarkEnd w:id="454"/>
      <w:r>
        <w:rPr>
          <w:lang w:val="en-GB"/>
        </w:rPr>
        <w:t xml:space="preserve"> Interruptible NTS Entry Capacity</w:t>
      </w:r>
      <w:bookmarkEnd w:id="453"/>
      <w:bookmarkEnd w:id="455"/>
      <w:r>
        <w:rPr>
          <w:lang w:val="en-GB"/>
        </w:rPr>
        <w:t xml:space="preserve">, the bid price tendered </w:t>
      </w:r>
      <w:bookmarkStart w:id="456" w:name="_9kMJI5YVt9ID7GJnwFzlZizz"/>
      <w:r>
        <w:rPr>
          <w:lang w:val="en-GB"/>
        </w:rPr>
        <w:t xml:space="preserve">by the </w:t>
      </w:r>
      <w:bookmarkStart w:id="457" w:name="_9kMH1I6ZWu5997GMjevv"/>
      <w:r>
        <w:rPr>
          <w:lang w:val="en-GB"/>
        </w:rPr>
        <w:t>User</w:t>
      </w:r>
      <w:bookmarkEnd w:id="457"/>
      <w:r>
        <w:rPr>
          <w:lang w:val="en-GB"/>
        </w:rPr>
        <w:t xml:space="preserve"> in respect of</w:t>
      </w:r>
      <w:bookmarkEnd w:id="456"/>
      <w:r>
        <w:rPr>
          <w:lang w:val="en-GB"/>
        </w:rPr>
        <w:t xml:space="preserve"> </w:t>
      </w:r>
      <w:bookmarkStart w:id="458" w:name="_9kMHG5YVt9ID8CD4xjG7jvCkUC43HLKKEx15iSY"/>
      <w:r>
        <w:rPr>
          <w:lang w:val="en-GB"/>
        </w:rPr>
        <w:t xml:space="preserve">the </w:t>
      </w:r>
      <w:bookmarkStart w:id="459" w:name="_9kMPO5YVt3678EMV4gs9"/>
      <w:bookmarkStart w:id="460" w:name="_9kMHG5YVt48867HV4gs9hR910EIHHBuy2fPVHdP"/>
      <w:r>
        <w:rPr>
          <w:lang w:val="en-GB"/>
        </w:rPr>
        <w:t>Daily</w:t>
      </w:r>
      <w:bookmarkEnd w:id="459"/>
      <w:r>
        <w:rPr>
          <w:lang w:val="en-GB"/>
        </w:rPr>
        <w:t xml:space="preserve"> Interruptible NTS Entry Capacity</w:t>
      </w:r>
      <w:bookmarkEnd w:id="458"/>
      <w:bookmarkEnd w:id="460"/>
      <w:r>
        <w:rPr>
          <w:lang w:val="en-GB"/>
        </w:rPr>
        <w:t xml:space="preserve"> allocated for the Day pursuant to </w:t>
      </w:r>
      <w:bookmarkStart w:id="461" w:name="_9kMIH5YVt4EE7CG2mpqgyts0EST"/>
      <w:r>
        <w:rPr>
          <w:lang w:val="en-GB"/>
        </w:rPr>
        <w:t>paragraph 2.7.2</w:t>
      </w:r>
      <w:bookmarkEnd w:id="461"/>
      <w:r>
        <w:rPr>
          <w:lang w:val="en-GB"/>
        </w:rPr>
        <w:t>.</w:t>
      </w:r>
    </w:p>
    <w:p>
      <w:pPr>
        <w:pStyle w:val="Level-3"/>
        <w:rPr>
          <w:lang w:val="en-GB"/>
        </w:rPr>
      </w:pPr>
      <w:bookmarkStart w:id="462" w:name="_9kR3WTr34357EGBBGVM5B2oxEHDBF67I68478yG"/>
      <w:bookmarkStart w:id="463" w:name="_Ref513715239"/>
      <w:r>
        <w:rPr>
          <w:lang w:val="en-GB"/>
        </w:rPr>
        <w:t xml:space="preserve">For the purposes of paragraph </w:t>
      </w:r>
      <w:r>
        <w:rPr>
          <w:lang w:val="en-GB"/>
        </w:rPr>
        <w:fldChar w:fldCharType="begin"/>
      </w:r>
      <w:r>
        <w:rPr>
          <w:lang w:val="en-GB"/>
        </w:rPr>
        <w:instrText xml:space="preserve"> REF _Ref61428160 \w \h </w:instrText>
      </w:r>
      <w:r>
        <w:rPr>
          <w:lang w:val="en-GB"/>
        </w:rPr>
      </w:r>
      <w:r>
        <w:rPr>
          <w:lang w:val="en-GB"/>
        </w:rPr>
        <w:fldChar w:fldCharType="separate"/>
      </w:r>
      <w:bookmarkStart w:id="464" w:name="_9kMIH5YVt56579FHDDGjVnUEK6SEJPlI23r0IZt"/>
      <w:r>
        <w:rPr>
          <w:lang w:val="en-GB"/>
        </w:rPr>
        <w:t>2.11.2</w:t>
      </w:r>
      <w:bookmarkEnd w:id="464"/>
      <w:r>
        <w:rPr>
          <w:lang w:val="en-GB"/>
        </w:rPr>
        <w:fldChar w:fldCharType="end"/>
      </w:r>
      <w:bookmarkEnd w:id="462"/>
      <w:r>
        <w:rPr>
          <w:lang w:val="en-GB"/>
        </w:rPr>
        <w:t xml:space="preserve">, the amount </w:t>
      </w:r>
      <w:bookmarkStart w:id="465" w:name="_9kR3WTr7GB687voE4gs9hR910EIHHBuy2fPV"/>
      <w:bookmarkStart w:id="466" w:name="_9kR3WTr7GB688woE4gs9mCI"/>
      <w:bookmarkStart w:id="467" w:name="_9kR3WTr7GB689xojy9iPlq3F212p"/>
      <w:bookmarkStart w:id="468" w:name="_9kR3WTr7GB68BzoNRz50tBoEK"/>
      <w:bookmarkStart w:id="469" w:name="_9kR3WTr7GB68C0oO7D"/>
      <w:bookmarkStart w:id="470" w:name="_9kR3WTr7GB68E2oRbsqAyx5DqGM"/>
      <w:bookmarkStart w:id="471" w:name="_9kR3WTr7GB68G4ov435zpSDJ"/>
      <w:bookmarkStart w:id="472" w:name="_9kR3WTr7GB698vobRevvAlSot6I545s"/>
      <w:bookmarkStart w:id="473" w:name="_9kR3WTr7GB6AA1vhDIqhJN9EK"/>
      <w:r>
        <w:rPr>
          <w:lang w:val="en-GB"/>
        </w:rPr>
        <w:t xml:space="preserve">of </w:t>
      </w:r>
      <w:bookmarkStart w:id="474" w:name="_9kR3WTr7GB6AB2vhE5htAiSA21FJIICvz3gQW"/>
      <w:bookmarkStart w:id="475" w:name="_9kR3WTr7GB6AC3vhE5htAnDJ"/>
      <w:bookmarkStart w:id="476" w:name="_9kR3WTr7GB6AF6vhNS061uCpFL"/>
      <w:bookmarkStart w:id="477" w:name="_9kR3WTr7GB6AH8vhVevvAZW91FfFvDNNAvSfC0C"/>
      <w:r>
        <w:rPr>
          <w:lang w:val="en-GB"/>
        </w:rPr>
        <w:t xml:space="preserve">the </w:t>
      </w:r>
      <w:bookmarkStart w:id="478" w:name="_9kMKJ5YVt8957FH"/>
      <w:bookmarkStart w:id="479" w:name="_9kMIH5YVt4886GIeduu9kRns5H434rbMSEaMRXt"/>
      <w:r>
        <w:rPr>
          <w:lang w:val="en-GB"/>
        </w:rPr>
        <w:t>User’s</w:t>
      </w:r>
      <w:bookmarkEnd w:id="478"/>
      <w:r>
        <w:rPr>
          <w:lang w:val="en-GB"/>
        </w:rPr>
        <w:t xml:space="preserve"> Registered NTS Entry Capacity</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9"/>
      <w:r>
        <w:rPr>
          <w:lang w:val="en-GB"/>
        </w:rPr>
        <w:t xml:space="preserve"> shall be determined </w:t>
      </w:r>
      <w:bookmarkStart w:id="480" w:name="_9kR3WTr2664DIfWjak2CCzk"/>
      <w:r>
        <w:rPr>
          <w:lang w:val="en-GB"/>
        </w:rPr>
        <w:t>Unadjusted</w:t>
      </w:r>
      <w:bookmarkEnd w:id="480"/>
      <w:r>
        <w:rPr>
          <w:lang w:val="en-GB"/>
        </w:rPr>
        <w:t xml:space="preserve"> pursuant to </w:t>
      </w:r>
      <w:bookmarkStart w:id="481" w:name="_9kR3WTr2CC5AF1knoewrqyCSV"/>
      <w:r>
        <w:rPr>
          <w:lang w:val="en-GB"/>
        </w:rPr>
        <w:t>paragraph 2.9.4</w:t>
      </w:r>
      <w:bookmarkEnd w:id="481"/>
      <w:r>
        <w:rPr>
          <w:lang w:val="en-GB"/>
        </w:rPr>
        <w:t xml:space="preserve"> (but for the avoidance of doubt </w:t>
      </w:r>
      <w:bookmarkStart w:id="482" w:name="_9kMHG5YVt4886FKhYlcm4EE1m"/>
      <w:r>
        <w:rPr>
          <w:lang w:val="en-GB"/>
        </w:rPr>
        <w:t>Unadjusted</w:t>
      </w:r>
      <w:bookmarkEnd w:id="482"/>
      <w:r>
        <w:rPr>
          <w:lang w:val="en-GB"/>
        </w:rPr>
        <w:t xml:space="preserve"> pursuant to </w:t>
      </w:r>
      <w:bookmarkStart w:id="483" w:name="_9kR3WTr2CC5BF0knoewrqy2OSV"/>
      <w:r>
        <w:rPr>
          <w:lang w:val="en-GB"/>
        </w:rPr>
        <w:t>paragraphs 2.8.4</w:t>
      </w:r>
      <w:bookmarkEnd w:id="483"/>
      <w:r>
        <w:rPr>
          <w:lang w:val="en-GB"/>
        </w:rPr>
        <w:t xml:space="preserve">, </w:t>
      </w:r>
      <w:bookmarkStart w:id="484" w:name="_9kR3WTr2CC59EEBAI"/>
      <w:r>
        <w:rPr>
          <w:lang w:val="en-GB"/>
        </w:rPr>
        <w:t>2.10.8</w:t>
      </w:r>
      <w:bookmarkEnd w:id="484"/>
      <w:r>
        <w:rPr>
          <w:lang w:val="en-GB"/>
        </w:rPr>
        <w:t xml:space="preserve"> and </w:t>
      </w:r>
      <w:bookmarkStart w:id="485" w:name="_9kR3WTr2CC59FFBHQ"/>
      <w:r>
        <w:rPr>
          <w:lang w:val="en-GB"/>
        </w:rPr>
        <w:t>2.17.9</w:t>
      </w:r>
      <w:bookmarkEnd w:id="485"/>
      <w:r>
        <w:rPr>
          <w:lang w:val="en-GB"/>
        </w:rPr>
        <w:t>).</w:t>
      </w:r>
      <w:bookmarkEnd w:id="463"/>
    </w:p>
    <w:p>
      <w:pPr>
        <w:pStyle w:val="Level-3"/>
        <w:rPr>
          <w:lang w:val="en-GB"/>
        </w:rPr>
      </w:pPr>
      <w:bookmarkStart w:id="486" w:name="_Ref513715249"/>
      <w:bookmarkStart w:id="487" w:name="_9kR3WTr34357FHBBHnWlwxULy739wvcdCzfQWev"/>
      <w:r>
        <w:rPr>
          <w:lang w:val="en-GB"/>
        </w:rPr>
        <w:t xml:space="preserve">Where </w:t>
      </w:r>
      <w:bookmarkStart w:id="488" w:name="_9kMH2J6ZWu4569GOgFs1x3qpWX6t"/>
      <w:bookmarkStart w:id="489" w:name="_9kMNM5YVt4886ABWEr0w2poVW5sYJP"/>
      <w:r>
        <w:rPr>
          <w:lang w:val="en-GB"/>
        </w:rPr>
        <w:t>National Grid</w:t>
      </w:r>
      <w:bookmarkEnd w:id="488"/>
      <w:r>
        <w:rPr>
          <w:lang w:val="en-GB"/>
        </w:rPr>
        <w:t xml:space="preserve"> NTS</w:t>
      </w:r>
      <w:bookmarkEnd w:id="489"/>
      <w:r>
        <w:rPr>
          <w:lang w:val="en-GB"/>
        </w:rPr>
        <w:t xml:space="preserve"> accepts a </w:t>
      </w:r>
      <w:bookmarkStart w:id="490" w:name="_9kMHG5YVt3678ELuags9"/>
      <w:r>
        <w:rPr>
          <w:lang w:val="en-GB"/>
        </w:rPr>
        <w:t>daily</w:t>
      </w:r>
      <w:bookmarkEnd w:id="490"/>
      <w:r>
        <w:rPr>
          <w:lang w:val="en-GB"/>
        </w:rPr>
        <w:t xml:space="preserve"> capacity offer pursuant to </w:t>
      </w:r>
      <w:bookmarkStart w:id="491" w:name="_9kR3WTr2CC5ACyknoewrqyCKJ"/>
      <w:r>
        <w:rPr>
          <w:lang w:val="en-GB"/>
        </w:rPr>
        <w:t>paragraph 2.10</w:t>
      </w:r>
      <w:bookmarkEnd w:id="491"/>
      <w:r>
        <w:rPr>
          <w:lang w:val="en-GB"/>
        </w:rPr>
        <w:t xml:space="preserve"> </w:t>
      </w:r>
      <w:bookmarkStart w:id="492" w:name="_9kMH3K6ZWu4569GOgFs1x3qpWX6t"/>
      <w:bookmarkStart w:id="493" w:name="_9kMON5YVt4886ABWEr0w2poVW5sYJP"/>
      <w:bookmarkStart w:id="494" w:name="_9kMHG5YVt9ID89Ec7Dh4uy3t3"/>
      <w:r>
        <w:rPr>
          <w:lang w:val="en-GB"/>
        </w:rPr>
        <w:t>National Grid</w:t>
      </w:r>
      <w:bookmarkEnd w:id="492"/>
      <w:r>
        <w:rPr>
          <w:lang w:val="en-GB"/>
        </w:rPr>
        <w:t xml:space="preserve"> NTS</w:t>
      </w:r>
      <w:bookmarkEnd w:id="493"/>
      <w:r>
        <w:rPr>
          <w:lang w:val="en-GB"/>
        </w:rPr>
        <w:t xml:space="preserve"> will pay to</w:t>
      </w:r>
      <w:bookmarkEnd w:id="494"/>
      <w:r>
        <w:rPr>
          <w:lang w:val="en-GB"/>
        </w:rPr>
        <w:t xml:space="preserve"> the </w:t>
      </w:r>
      <w:bookmarkStart w:id="495" w:name="_9kMH2J6ZWu5997GMjevv"/>
      <w:r>
        <w:rPr>
          <w:lang w:val="en-GB"/>
        </w:rPr>
        <w:t>User</w:t>
      </w:r>
      <w:bookmarkEnd w:id="495"/>
      <w:r>
        <w:rPr>
          <w:lang w:val="en-GB"/>
        </w:rPr>
        <w:t xml:space="preserve"> a charge ("</w:t>
      </w:r>
      <w:bookmarkStart w:id="496" w:name="_9kR3WTr1BC4EMQ1lmaj1IsjFD1yyq5ePu5C0"/>
      <w:bookmarkStart w:id="497" w:name="_9kR3WTr1786CDL1lmaj1IsjFD1yyq5ePu5C0"/>
      <w:r>
        <w:rPr>
          <w:b/>
          <w:lang w:val="en-GB"/>
        </w:rPr>
        <w:t>Capacity Surrender Charge</w:t>
      </w:r>
      <w:bookmarkEnd w:id="496"/>
      <w:bookmarkEnd w:id="497"/>
      <w:r>
        <w:rPr>
          <w:lang w:val="en-GB"/>
        </w:rPr>
        <w:t xml:space="preserve">") in an amount determined as the amount </w:t>
      </w:r>
      <w:bookmarkStart w:id="498" w:name="_9kMKJ5YVt9ID8AE2qQ9F"/>
      <w:r>
        <w:rPr>
          <w:lang w:val="en-GB"/>
        </w:rPr>
        <w:t xml:space="preserve">of </w:t>
      </w:r>
      <w:bookmarkStart w:id="499" w:name="_9kMJI5YVt4886BGa7DzL7CIeBvwktBS"/>
      <w:r>
        <w:rPr>
          <w:lang w:val="en-GB"/>
        </w:rPr>
        <w:t>NTS Entry Capacity</w:t>
      </w:r>
      <w:bookmarkEnd w:id="498"/>
      <w:bookmarkEnd w:id="499"/>
      <w:r>
        <w:rPr>
          <w:lang w:val="en-GB"/>
        </w:rPr>
        <w:t xml:space="preserve"> for which the </w:t>
      </w:r>
      <w:bookmarkStart w:id="500" w:name="_9kMIH5YVt3678ELuags9"/>
      <w:r>
        <w:rPr>
          <w:lang w:val="en-GB"/>
        </w:rPr>
        <w:t>daily</w:t>
      </w:r>
      <w:bookmarkEnd w:id="500"/>
      <w:r>
        <w:rPr>
          <w:lang w:val="en-GB"/>
        </w:rPr>
        <w:t xml:space="preserve"> capacity offer was accepted by </w:t>
      </w:r>
      <w:bookmarkStart w:id="501" w:name="_9kMH4L6ZWu4569GOgFs1x3qpWX6t"/>
      <w:bookmarkStart w:id="502" w:name="_9kMPO5YVt4886ABWEr0w2poVW5sYJP"/>
      <w:r>
        <w:rPr>
          <w:lang w:val="en-GB"/>
        </w:rPr>
        <w:t>National Grid</w:t>
      </w:r>
      <w:bookmarkEnd w:id="501"/>
      <w:r>
        <w:rPr>
          <w:lang w:val="en-GB"/>
        </w:rPr>
        <w:t xml:space="preserve"> NTS</w:t>
      </w:r>
      <w:bookmarkEnd w:id="502"/>
      <w:r>
        <w:rPr>
          <w:lang w:val="en-GB"/>
        </w:rPr>
        <w:t xml:space="preserve"> multiplied by the offer price specified in the </w:t>
      </w:r>
      <w:bookmarkStart w:id="503" w:name="_9kMJI5YVt3678ELuags9"/>
      <w:r>
        <w:rPr>
          <w:lang w:val="en-GB"/>
        </w:rPr>
        <w:t>daily</w:t>
      </w:r>
      <w:bookmarkEnd w:id="503"/>
      <w:r>
        <w:rPr>
          <w:lang w:val="en-GB"/>
        </w:rPr>
        <w:t xml:space="preserve"> capacity offer.</w:t>
      </w:r>
      <w:bookmarkEnd w:id="486"/>
      <w:bookmarkEnd w:id="487"/>
    </w:p>
    <w:p>
      <w:pPr>
        <w:pStyle w:val="Level-3"/>
        <w:rPr>
          <w:lang w:val="en-GB"/>
        </w:rPr>
      </w:pPr>
      <w:bookmarkStart w:id="504" w:name="_Ref513715262"/>
      <w:bookmarkStart w:id="505" w:name="_9kR3WTr34357GIBBIlTlLGuv0xsgeBrq41KKBIT"/>
      <w:r>
        <w:rPr>
          <w:lang w:val="en-GB"/>
        </w:rPr>
        <w:t xml:space="preserve">The </w:t>
      </w:r>
      <w:del w:id="506" w:author="LOF" w:date="2018-05-08T12:50:00Z">
        <w:r>
          <w:rPr>
            <w:lang w:val="en-GB"/>
          </w:rPr>
          <w:delText>NTS Entry Commodity</w:delText>
        </w:r>
      </w:del>
      <w:bookmarkStart w:id="507" w:name="_9kMIH5YVt3AB8FJUBpqvsnbZ6mlzwFF6DOFCIxj"/>
      <w:ins w:id="508" w:author="LOF" w:date="2018-05-08T12:50:00Z">
        <w:r>
          <w:rPr>
            <w:lang w:val="en-GB"/>
          </w:rPr>
          <w:t>General Non-</w:t>
        </w:r>
        <w:bookmarkStart w:id="509" w:name="_9kMHG5YVt9ID8BFgNtB3lizYIny5t"/>
        <w:r>
          <w:rPr>
            <w:lang w:val="en-GB"/>
          </w:rPr>
          <w:t>Transmission Services</w:t>
        </w:r>
      </w:ins>
      <w:r>
        <w:rPr>
          <w:lang w:val="en-GB"/>
        </w:rPr>
        <w:t xml:space="preserve"> Charge</w:t>
      </w:r>
      <w:bookmarkEnd w:id="507"/>
      <w:bookmarkEnd w:id="509"/>
      <w:r>
        <w:rPr>
          <w:lang w:val="en-GB"/>
        </w:rPr>
        <w:t xml:space="preserve"> payable by a </w:t>
      </w:r>
      <w:bookmarkStart w:id="510" w:name="_9kMH3K6ZWu5997GMjevv"/>
      <w:r>
        <w:rPr>
          <w:lang w:val="en-GB"/>
        </w:rPr>
        <w:t>User</w:t>
      </w:r>
      <w:bookmarkEnd w:id="510"/>
      <w:r>
        <w:rPr>
          <w:lang w:val="en-GB"/>
        </w:rPr>
        <w:t xml:space="preserve"> in respect of </w:t>
      </w:r>
      <w:bookmarkStart w:id="511" w:name="_9kMJI5YVt3678FEnbaiK80"/>
      <w:r>
        <w:rPr>
          <w:lang w:val="en-GB"/>
        </w:rPr>
        <w:t>each Day</w:t>
      </w:r>
      <w:bookmarkEnd w:id="511"/>
      <w:r>
        <w:rPr>
          <w:lang w:val="en-GB"/>
        </w:rPr>
        <w:t xml:space="preserve"> will be determined for each </w:t>
      </w:r>
      <w:bookmarkStart w:id="512" w:name="_9kR3WTr26649FZ5BxJ5AGpa00C"/>
      <w:r>
        <w:rPr>
          <w:lang w:val="en-GB"/>
        </w:rPr>
        <w:t>NTS Entry Point</w:t>
      </w:r>
      <w:bookmarkEnd w:id="512"/>
      <w:ins w:id="513" w:author="LOF" w:date="2018-05-08T12:50:00Z">
        <w:r>
          <w:rPr>
            <w:lang w:val="en-GB"/>
          </w:rPr>
          <w:t xml:space="preserve">, excluding </w:t>
        </w:r>
        <w:bookmarkStart w:id="514" w:name="_9kR3WTr2664CEaa32pfkHM44wm295Bnj99L"/>
        <w:r>
          <w:rPr>
            <w:lang w:val="en-GB"/>
          </w:rPr>
          <w:t>Storage Connection Points</w:t>
        </w:r>
        <w:bookmarkEnd w:id="514"/>
        <w:r>
          <w:rPr>
            <w:lang w:val="en-GB"/>
          </w:rPr>
          <w:t>,</w:t>
        </w:r>
      </w:ins>
      <w:r>
        <w:rPr>
          <w:lang w:val="en-GB"/>
        </w:rPr>
        <w:t xml:space="preserve"> as the </w:t>
      </w:r>
      <w:bookmarkStart w:id="515" w:name="_9kR3WTr2664DKhbssS6iuBriztD9ARrbFNS"/>
      <w:r>
        <w:rPr>
          <w:lang w:val="en-GB"/>
        </w:rPr>
        <w:t xml:space="preserve">User </w:t>
      </w:r>
      <w:bookmarkStart w:id="516" w:name="_9kMHzG6ZWu4789FNW5htA"/>
      <w:r>
        <w:rPr>
          <w:lang w:val="en-GB"/>
        </w:rPr>
        <w:t>Daily</w:t>
      </w:r>
      <w:bookmarkEnd w:id="516"/>
      <w:r>
        <w:rPr>
          <w:lang w:val="en-GB"/>
        </w:rPr>
        <w:t xml:space="preserve"> Quantity Input</w:t>
      </w:r>
      <w:bookmarkEnd w:id="515"/>
      <w:r>
        <w:rPr>
          <w:lang w:val="en-GB"/>
        </w:rPr>
        <w:t xml:space="preserve"> </w:t>
      </w:r>
      <w:del w:id="517" w:author="LOF" w:date="2018-05-08T12:50:00Z">
        <w:r>
          <w:rPr>
            <w:lang w:val="en-GB"/>
          </w:rPr>
          <w:delText xml:space="preserve">less any quantity to which the NTS Optional Commodity Rate applies in accordance with Code </w:delText>
        </w:r>
      </w:del>
      <w:r>
        <w:rPr>
          <w:lang w:val="en-GB"/>
        </w:rPr>
        <w:t xml:space="preserve">multiplied by the </w:t>
      </w:r>
      <w:bookmarkStart w:id="518" w:name="_9kMHG5YVt39A8DKRG2ztleequMR87A2xEV4bAF"/>
      <w:r>
        <w:rPr>
          <w:lang w:val="en-GB"/>
        </w:rPr>
        <w:t xml:space="preserve">Applicable Commodity </w:t>
      </w:r>
      <w:bookmarkStart w:id="519" w:name="_9kR3WTr7GB69BbGpuqsxDym"/>
      <w:bookmarkStart w:id="520" w:name="_9kR3WTr7GB69C2mpuqsxDymnony5twB7uBCBKCE"/>
      <w:r>
        <w:rPr>
          <w:lang w:val="en-GB"/>
        </w:rPr>
        <w:t>Rate</w:t>
      </w:r>
      <w:bookmarkEnd w:id="518"/>
      <w:r>
        <w:rPr>
          <w:lang w:val="en-GB"/>
        </w:rPr>
        <w:t xml:space="preserve"> for </w:t>
      </w:r>
      <w:bookmarkStart w:id="521" w:name="_9kR3WTr7GB5FKpctut2uwtkp0tjmzF5p03vGLJJ"/>
      <w:r>
        <w:rPr>
          <w:lang w:val="en-GB"/>
        </w:rPr>
        <w:t xml:space="preserve">such </w:t>
      </w:r>
      <w:del w:id="522" w:author="Dentons" w:date="2018-05-10T11:27:00Z">
        <w:r>
          <w:rPr>
            <w:lang w:val="en-GB"/>
          </w:rPr>
          <w:delText>Commodity C</w:delText>
        </w:r>
      </w:del>
      <w:ins w:id="523" w:author="Dentons" w:date="2018-05-10T11:27:00Z">
        <w:r>
          <w:rPr>
            <w:lang w:val="en-GB"/>
          </w:rPr>
          <w:t>c</w:t>
        </w:r>
      </w:ins>
      <w:r>
        <w:rPr>
          <w:lang w:val="en-GB"/>
        </w:rPr>
        <w:t>harge</w:t>
      </w:r>
      <w:ins w:id="524" w:author="LOF" w:date="2018-05-08T12:50:00Z">
        <w:r>
          <w:rPr>
            <w:lang w:val="en-GB"/>
          </w:rPr>
          <w:t xml:space="preserve"> as determined</w:t>
        </w:r>
        <w:bookmarkEnd w:id="519"/>
        <w:bookmarkEnd w:id="520"/>
        <w:r>
          <w:rPr>
            <w:lang w:val="en-GB"/>
          </w:rPr>
          <w:t xml:space="preserve"> under </w:t>
        </w:r>
        <w:bookmarkStart w:id="525" w:name="_9kR3WTr2CC5BJhLcszv1I"/>
        <w:r>
          <w:rPr>
            <w:lang w:val="en-GB"/>
          </w:rPr>
          <w:t>Section</w:t>
        </w:r>
        <w:bookmarkEnd w:id="521"/>
        <w:r>
          <w:rPr>
            <w:lang w:val="en-GB"/>
          </w:rPr>
          <w:t xml:space="preserve"> </w:t>
        </w:r>
      </w:ins>
      <w:ins w:id="526" w:author="Dentons" w:date="2018-05-10T11:27:00Z">
        <w:r>
          <w:rPr>
            <w:lang w:val="en-GB"/>
          </w:rPr>
          <w:t>4</w:t>
        </w:r>
      </w:ins>
      <w:bookmarkEnd w:id="525"/>
      <w:ins w:id="527" w:author="LOF" w:date="2018-05-08T12:50:00Z">
        <w:r>
          <w:rPr>
            <w:lang w:val="en-GB"/>
          </w:rPr>
          <w:t xml:space="preserve"> of the </w:t>
        </w:r>
        <w:bookmarkStart w:id="528" w:name="_9kMLK5YVt3AB8GJa7DEesp8B8BH12B7DcRw7E6E"/>
        <w:r>
          <w:rPr>
            <w:lang w:val="en-GB"/>
          </w:rPr>
          <w:t>NTS Transportation Charging Methodology</w:t>
        </w:r>
        <w:bookmarkEnd w:id="528"/>
        <w:r>
          <w:rPr>
            <w:lang w:val="en-GB"/>
          </w:rPr>
          <w:t xml:space="preserve"> and set out in the </w:t>
        </w:r>
        <w:bookmarkStart w:id="529" w:name="_9kMJI5YVt4886EOlbpm5858Eyz84Apq56B568O"/>
        <w:r>
          <w:rPr>
            <w:lang w:val="en-GB"/>
          </w:rPr>
          <w:t>Transportation Statement</w:t>
        </w:r>
      </w:ins>
      <w:bookmarkEnd w:id="529"/>
      <w:r>
        <w:rPr>
          <w:lang w:val="en-GB"/>
        </w:rPr>
        <w:t>.</w:t>
      </w:r>
      <w:bookmarkEnd w:id="504"/>
      <w:bookmarkEnd w:id="505"/>
    </w:p>
    <w:p>
      <w:pPr>
        <w:pStyle w:val="Level-3"/>
        <w:rPr>
          <w:ins w:id="530" w:author="LOF" w:date="2018-05-08T12:50:00Z"/>
          <w:lang w:val="en-GB"/>
        </w:rPr>
      </w:pPr>
      <w:bookmarkStart w:id="531" w:name="_9kMHG5YVt9ID8CGhRjHL7CIvjxuDD4BMDAGvhDV"/>
      <w:bookmarkStart w:id="532" w:name="_Ref513715272"/>
      <w:bookmarkStart w:id="533" w:name="_9kR3WTr3435889BBJmTlJN9EKxlzwFF6DOFCIxj"/>
      <w:ins w:id="534" w:author="LOF" w:date="2018-05-08T12:50:00Z">
        <w:r>
          <w:rPr>
            <w:lang w:val="en-GB"/>
          </w:rPr>
          <w:t xml:space="preserve">The </w:t>
        </w:r>
        <w:bookmarkStart w:id="535" w:name="_9kR3WTr7GB69HiLr91jgxlSjgz4OMr29x"/>
        <w:bookmarkStart w:id="536" w:name="_9kMJI5YVt39A8FGPI49FsgurAA18JA7DseASK2z"/>
        <w:r>
          <w:rPr>
            <w:lang w:val="en-GB"/>
          </w:rPr>
          <w:t>Entry Transmission Services Revenue Recovery Charge</w:t>
        </w:r>
        <w:bookmarkEnd w:id="531"/>
        <w:bookmarkEnd w:id="535"/>
        <w:bookmarkEnd w:id="536"/>
        <w:r>
          <w:rPr>
            <w:lang w:val="en-GB"/>
          </w:rPr>
          <w:t xml:space="preserve"> payable </w:t>
        </w:r>
        <w:bookmarkStart w:id="537" w:name="_9kMHG5YVt9ID7GGkwwTgxx89jN095Byx"/>
        <w:r>
          <w:rPr>
            <w:lang w:val="en-GB"/>
          </w:rPr>
          <w:t xml:space="preserve">by a </w:t>
        </w:r>
        <w:bookmarkStart w:id="538" w:name="_9kR3WTr2664DMjbss34eIv406tsZa9wcNT"/>
        <w:r>
          <w:rPr>
            <w:lang w:val="en-GB"/>
          </w:rPr>
          <w:t xml:space="preserve">User or </w:t>
        </w:r>
        <w:bookmarkStart w:id="539" w:name="_9kMH5M6ZWu4569GOgFs1x3qpWX6t"/>
        <w:r>
          <w:rPr>
            <w:lang w:val="en-GB"/>
          </w:rPr>
          <w:t>National Grid</w:t>
        </w:r>
        <w:bookmarkEnd w:id="539"/>
        <w:r>
          <w:rPr>
            <w:lang w:val="en-GB"/>
          </w:rPr>
          <w:t xml:space="preserve"> NTS</w:t>
        </w:r>
        <w:bookmarkEnd w:id="537"/>
        <w:bookmarkEnd w:id="538"/>
        <w:r>
          <w:rPr>
            <w:lang w:val="en-GB"/>
          </w:rPr>
          <w:t xml:space="preserve"> in respect of </w:t>
        </w:r>
        <w:bookmarkStart w:id="540" w:name="_9kMKJ5YVt3678FEnbaiK80"/>
        <w:r>
          <w:rPr>
            <w:lang w:val="en-GB"/>
          </w:rPr>
          <w:t>each Day</w:t>
        </w:r>
        <w:bookmarkEnd w:id="540"/>
        <w:r>
          <w:rPr>
            <w:lang w:val="en-GB"/>
          </w:rPr>
          <w:t xml:space="preserve"> will be determined for each </w:t>
        </w:r>
        <w:bookmarkStart w:id="541" w:name="_9kMHG5YVt488679K7kwvliw1bqNJ60bXJOU3oEE"/>
        <w:r>
          <w:rPr>
            <w:lang w:val="en-GB"/>
          </w:rPr>
          <w:t>Aggregate System Entry Point</w:t>
        </w:r>
        <w:bookmarkEnd w:id="541"/>
        <w:r>
          <w:rPr>
            <w:lang w:val="en-GB"/>
          </w:rPr>
          <w:t xml:space="preserve"> as </w:t>
        </w:r>
        <w:bookmarkStart w:id="542" w:name="_9kMHG5YVt9ID8CJAxjXgxxCbYB3HhHxFPPCxUhE"/>
        <w:r>
          <w:rPr>
            <w:lang w:val="en-GB"/>
          </w:rPr>
          <w:t xml:space="preserve">the </w:t>
        </w:r>
        <w:bookmarkStart w:id="543" w:name="_9kR3WTr2664EHdbss7WT6yCcCsAKK7sPc9x92t5"/>
        <w:r>
          <w:rPr>
            <w:lang w:val="en-GB"/>
          </w:rPr>
          <w:t>User's Fully Adjusted Available NTS Entry Capacity</w:t>
        </w:r>
        <w:bookmarkEnd w:id="542"/>
        <w:bookmarkEnd w:id="543"/>
        <w:r>
          <w:rPr>
            <w:lang w:val="en-GB"/>
          </w:rPr>
          <w:t xml:space="preserve">, </w:t>
        </w:r>
        <w:bookmarkStart w:id="544" w:name="_9kR3WTr26646ESQvk3wlwvNZA6I943Rb8w81s48"/>
        <w:r>
          <w:rPr>
            <w:lang w:val="en-GB"/>
          </w:rPr>
          <w:t>Excluding Existing Available Holding</w:t>
        </w:r>
        <w:del w:id="545" w:author="Dentons 2)" w:date="2019-02-25T16:47:00Z">
          <w:r>
            <w:rPr>
              <w:lang w:val="en-GB"/>
            </w:rPr>
            <w:delText xml:space="preserve"> for Storage Connection Points</w:delText>
          </w:r>
        </w:del>
        <w:bookmarkEnd w:id="544"/>
        <w:r>
          <w:rPr>
            <w:lang w:val="en-GB"/>
          </w:rPr>
          <w:t xml:space="preserve">, multiplied by the </w:t>
        </w:r>
        <w:bookmarkStart w:id="546" w:name="_9kMML5YVt39A8DLSG2ztleequNEq2J0X6B"/>
        <w:r>
          <w:rPr>
            <w:lang w:val="en-GB"/>
          </w:rPr>
          <w:t xml:space="preserve">Applicable </w:t>
        </w:r>
        <w:bookmarkStart w:id="547" w:name="_9kMH0H6ZWu4789FNW5htA"/>
        <w:r>
          <w:rPr>
            <w:lang w:val="en-GB"/>
          </w:rPr>
          <w:t>Daily</w:t>
        </w:r>
        <w:bookmarkEnd w:id="547"/>
        <w:r>
          <w:rPr>
            <w:lang w:val="en-GB"/>
          </w:rPr>
          <w:t xml:space="preserve"> Rate</w:t>
        </w:r>
        <w:bookmarkEnd w:id="546"/>
        <w:r>
          <w:rPr>
            <w:lang w:val="en-GB"/>
          </w:rPr>
          <w:t xml:space="preserve"> for </w:t>
        </w:r>
        <w:bookmarkStart w:id="548" w:name="_9kMHG5YVt9ID7HMrevwv4wyvmr2vlo1H7r25xIN"/>
        <w:r>
          <w:rPr>
            <w:lang w:val="en-GB"/>
          </w:rPr>
          <w:t xml:space="preserve">such charge as determined in accordance with </w:t>
        </w:r>
        <w:bookmarkStart w:id="549" w:name="_9kMHG5YVtCIA789BJOu6eCI4AFC7p34s1Ja"/>
        <w:r>
          <w:rPr>
            <w:lang w:val="en-GB"/>
          </w:rPr>
          <w:t>Section</w:t>
        </w:r>
        <w:bookmarkEnd w:id="548"/>
        <w:r>
          <w:rPr>
            <w:lang w:val="en-GB"/>
          </w:rPr>
          <w:t xml:space="preserve"> 3</w:t>
        </w:r>
        <w:bookmarkEnd w:id="549"/>
        <w:r>
          <w:rPr>
            <w:lang w:val="en-GB"/>
          </w:rPr>
          <w:t xml:space="preserve"> of the </w:t>
        </w:r>
        <w:bookmarkStart w:id="550" w:name="_9kMML5YVt3AB8GJa7DEesp8B8BH12B7DcRw7E6E"/>
        <w:r>
          <w:rPr>
            <w:lang w:val="en-GB"/>
          </w:rPr>
          <w:t>NTS Transportation Charging Methodology</w:t>
        </w:r>
        <w:bookmarkEnd w:id="550"/>
        <w:r>
          <w:rPr>
            <w:lang w:val="en-GB"/>
          </w:rPr>
          <w:t xml:space="preserve"> and set out in the </w:t>
        </w:r>
        <w:bookmarkStart w:id="551" w:name="_9kMKJ5YVt4886EOlbpm5858Eyz84Apq56B568O"/>
        <w:r>
          <w:rPr>
            <w:lang w:val="en-GB"/>
          </w:rPr>
          <w:t>Transportation Statement</w:t>
        </w:r>
        <w:bookmarkEnd w:id="551"/>
        <w:r>
          <w:rPr>
            <w:lang w:val="en-GB"/>
          </w:rPr>
          <w:t>.</w:t>
        </w:r>
        <w:bookmarkEnd w:id="532"/>
        <w:bookmarkEnd w:id="533"/>
      </w:ins>
    </w:p>
    <w:p>
      <w:pPr>
        <w:pStyle w:val="Level-3"/>
        <w:rPr>
          <w:ins w:id="552" w:author="LOF" w:date="2018-05-08T12:50:00Z"/>
          <w:lang w:val="en-GB"/>
        </w:rPr>
      </w:pPr>
      <w:bookmarkStart w:id="553" w:name="_Ref513715282"/>
      <w:bookmarkStart w:id="554" w:name="_9kR3WTr343589ABBKqWlwxhwCCCHCvsty9ugxDK"/>
      <w:ins w:id="555" w:author="LOF" w:date="2018-05-08T12:50:00Z">
        <w:r>
          <w:rPr>
            <w:lang w:val="en-GB"/>
          </w:rPr>
          <w:t xml:space="preserve">Where (as provided in </w:t>
        </w:r>
        <w:bookmarkStart w:id="556" w:name="_9kR3WTr2CC5BHfLcszv1HML"/>
        <w:r>
          <w:rPr>
            <w:lang w:val="en-GB"/>
          </w:rPr>
          <w:t>Section 3.4.1</w:t>
        </w:r>
        <w:bookmarkEnd w:id="556"/>
        <w:r>
          <w:rPr>
            <w:lang w:val="en-GB"/>
          </w:rPr>
          <w:t xml:space="preserve"> of the </w:t>
        </w:r>
        <w:bookmarkStart w:id="557" w:name="_9kMNM5YVt3AB8GJa7DEesp8B8BH12B7DcRw7E6E"/>
        <w:r>
          <w:rPr>
            <w:lang w:val="en-GB"/>
          </w:rPr>
          <w:t>NTS Transportation Charging Methodology</w:t>
        </w:r>
        <w:bookmarkEnd w:id="557"/>
        <w:r>
          <w:rPr>
            <w:lang w:val="en-GB"/>
          </w:rPr>
          <w:t xml:space="preserve">) the </w:t>
        </w:r>
        <w:bookmarkStart w:id="558" w:name="_9kMHG5YVt4886BIc7DzL7CIvjxuDD4BMDAGvhDV"/>
        <w:r>
          <w:rPr>
            <w:lang w:val="en-GB"/>
          </w:rPr>
          <w:t xml:space="preserve">NTS </w:t>
        </w:r>
        <w:bookmarkStart w:id="559" w:name="_9kMJI5YVt9ID8BJkNtB3liznUli16QOt4Bz"/>
        <w:r>
          <w:rPr>
            <w:lang w:val="en-GB"/>
          </w:rPr>
          <w:t>Entry Transmission Services Rebate Charge</w:t>
        </w:r>
        <w:bookmarkEnd w:id="558"/>
        <w:bookmarkEnd w:id="559"/>
        <w:r>
          <w:rPr>
            <w:lang w:val="en-GB"/>
          </w:rPr>
          <w:t xml:space="preserve"> is payable in respect of a </w:t>
        </w:r>
        <w:bookmarkStart w:id="560" w:name="_9kR3WTr266478MI1044lZYhv"/>
        <w:r>
          <w:rPr>
            <w:lang w:val="en-GB"/>
          </w:rPr>
          <w:t>Formula Year</w:t>
        </w:r>
        <w:bookmarkEnd w:id="560"/>
        <w:r>
          <w:rPr>
            <w:lang w:val="en-GB"/>
          </w:rPr>
          <w:t>:</w:t>
        </w:r>
        <w:bookmarkEnd w:id="553"/>
        <w:bookmarkEnd w:id="554"/>
      </w:ins>
    </w:p>
    <w:p>
      <w:pPr>
        <w:pStyle w:val="Level-4a"/>
        <w:ind w:left="2118" w:hanging="720"/>
        <w:rPr>
          <w:ins w:id="561" w:author="LOF" w:date="2018-05-08T12:50:00Z"/>
          <w:lang w:val="en-GB"/>
        </w:rPr>
      </w:pPr>
      <w:ins w:id="562" w:author="LOF" w:date="2018-05-08T12:50:00Z">
        <w:r>
          <w:rPr>
            <w:lang w:val="en-GB"/>
          </w:rPr>
          <w:t xml:space="preserve">the amount of such </w:t>
        </w:r>
        <w:bookmarkStart w:id="563" w:name="_9kMHG5YVt9ID8BC0mwxbnr0Bt"/>
        <w:r>
          <w:rPr>
            <w:lang w:val="en-GB"/>
          </w:rPr>
          <w:t xml:space="preserve">charge payable to a </w:t>
        </w:r>
        <w:bookmarkStart w:id="564" w:name="_9kMH4L6ZWu5997GMjevv"/>
        <w:r>
          <w:rPr>
            <w:lang w:val="en-GB"/>
          </w:rPr>
          <w:t>User</w:t>
        </w:r>
        <w:bookmarkEnd w:id="563"/>
        <w:bookmarkEnd w:id="564"/>
        <w:r>
          <w:rPr>
            <w:lang w:val="en-GB"/>
          </w:rPr>
          <w:t xml:space="preserve"> will be determined as </w:t>
        </w:r>
        <w:bookmarkStart w:id="565" w:name="_9kMHG5YVt9ID8CI9xjvC72w25rfo55Kvcy3GSFE"/>
        <w:r>
          <w:rPr>
            <w:lang w:val="en-GB"/>
          </w:rPr>
          <w:t xml:space="preserve">the sum of the </w:t>
        </w:r>
        <w:bookmarkStart w:id="566" w:name="_9kMLK5YVt8957FH"/>
        <w:bookmarkStart w:id="567" w:name="_9kMJI5YVt4886GIeduu9kRns5H434rbMSEaMRXt"/>
        <w:r>
          <w:rPr>
            <w:lang w:val="en-GB"/>
          </w:rPr>
          <w:t>User’s</w:t>
        </w:r>
        <w:bookmarkEnd w:id="566"/>
        <w:r>
          <w:rPr>
            <w:lang w:val="en-GB"/>
          </w:rPr>
          <w:t xml:space="preserve"> Registered NTS</w:t>
        </w:r>
        <w:bookmarkEnd w:id="565"/>
        <w:r>
          <w:rPr>
            <w:lang w:val="en-GB"/>
          </w:rPr>
          <w:t xml:space="preserve"> Entry Capacity</w:t>
        </w:r>
        <w:bookmarkEnd w:id="567"/>
        <w:r>
          <w:rPr>
            <w:lang w:val="en-GB"/>
          </w:rPr>
          <w:t xml:space="preserve"> for all Days of the </w:t>
        </w:r>
        <w:bookmarkStart w:id="568" w:name="_9kMHG5YVt48869AOK3266nbajx"/>
        <w:r>
          <w:rPr>
            <w:lang w:val="en-GB"/>
          </w:rPr>
          <w:t>Formula Year</w:t>
        </w:r>
        <w:bookmarkEnd w:id="568"/>
        <w:r>
          <w:rPr>
            <w:lang w:val="en-GB"/>
          </w:rPr>
          <w:t xml:space="preserve"> and for all </w:t>
        </w:r>
        <w:bookmarkStart w:id="569" w:name="_9kMHG5YVt4886BHb7DzL7CIrc22E"/>
        <w:r>
          <w:rPr>
            <w:lang w:val="en-GB"/>
          </w:rPr>
          <w:t>NTS Entry Points</w:t>
        </w:r>
        <w:bookmarkEnd w:id="569"/>
        <w:r>
          <w:rPr>
            <w:lang w:val="en-GB"/>
          </w:rPr>
          <w:t xml:space="preserve"> </w:t>
        </w:r>
        <w:bookmarkStart w:id="570" w:name="_9kMHG5YVt9ID7FOsm2ztleequ1y16"/>
        <w:r>
          <w:rPr>
            <w:lang w:val="en-GB"/>
          </w:rPr>
          <w:t xml:space="preserve">multiplied by the </w:t>
        </w:r>
        <w:bookmarkStart w:id="571" w:name="_9kMHG5YVt9JE78Dom2ztleequ"/>
        <w:r>
          <w:rPr>
            <w:lang w:val="en-GB"/>
          </w:rPr>
          <w:t>applicable</w:t>
        </w:r>
        <w:bookmarkEnd w:id="571"/>
        <w:r>
          <w:rPr>
            <w:lang w:val="en-GB"/>
          </w:rPr>
          <w:t xml:space="preserve"> rate</w:t>
        </w:r>
        <w:bookmarkEnd w:id="570"/>
        <w:r>
          <w:rPr>
            <w:lang w:val="en-GB"/>
          </w:rPr>
          <w:t xml:space="preserve"> of such charge as determined under </w:t>
        </w:r>
        <w:bookmarkStart w:id="572" w:name="_9kR3WTr2CC5BIgLcszv1HMM"/>
        <w:r>
          <w:rPr>
            <w:lang w:val="en-GB"/>
          </w:rPr>
          <w:t>Section 3.4.2</w:t>
        </w:r>
        <w:bookmarkEnd w:id="572"/>
        <w:r>
          <w:rPr>
            <w:lang w:val="en-GB"/>
          </w:rPr>
          <w:t xml:space="preserve"> of the </w:t>
        </w:r>
        <w:bookmarkStart w:id="573" w:name="_9kMON5YVt3AB8GJa7DEesp8B8BH12B7DcRw7E6E"/>
        <w:r>
          <w:rPr>
            <w:lang w:val="en-GB"/>
          </w:rPr>
          <w:t>NTS Transportation Charging Methodology</w:t>
        </w:r>
        <w:bookmarkEnd w:id="573"/>
        <w:r>
          <w:rPr>
            <w:lang w:val="en-GB"/>
          </w:rPr>
          <w:t>;</w:t>
        </w:r>
      </w:ins>
    </w:p>
    <w:p>
      <w:pPr>
        <w:pStyle w:val="Level-4a"/>
        <w:ind w:left="2118" w:hanging="720"/>
        <w:rPr>
          <w:ins w:id="574" w:author="LOF" w:date="2018-05-08T12:50:00Z"/>
          <w:lang w:val="en-GB"/>
        </w:rPr>
      </w:pPr>
      <w:ins w:id="575" w:author="LOF" w:date="2018-05-08T12:50:00Z">
        <w:r>
          <w:rPr>
            <w:lang w:val="en-GB"/>
          </w:rPr>
          <w:lastRenderedPageBreak/>
          <w:t xml:space="preserve">such charge shall be determined and invoiced as soon as reasonably practicable following the end of the </w:t>
        </w:r>
        <w:bookmarkStart w:id="576" w:name="_9kMIH5YVt48869AOK3266nbajx"/>
        <w:r>
          <w:rPr>
            <w:lang w:val="en-GB"/>
          </w:rPr>
          <w:t>Formula Year</w:t>
        </w:r>
        <w:bookmarkEnd w:id="576"/>
        <w:r>
          <w:rPr>
            <w:lang w:val="en-GB"/>
          </w:rPr>
          <w:t>.</w:t>
        </w:r>
      </w:ins>
    </w:p>
    <w:p>
      <w:pPr>
        <w:pStyle w:val="Level-3"/>
        <w:rPr>
          <w:lang w:val="en-GB"/>
        </w:rPr>
      </w:pPr>
      <w:bookmarkStart w:id="577" w:name="_9kMJI5YVt39A8GFW7DzL7CIeBvwktBSmQv6D1E"/>
      <w:r>
        <w:rPr>
          <w:lang w:val="en-GB"/>
        </w:rPr>
        <w:t>NTS Entry Capacity Charges</w:t>
      </w:r>
      <w:bookmarkEnd w:id="577"/>
      <w:r>
        <w:rPr>
          <w:lang w:val="en-GB"/>
        </w:rPr>
        <w:t xml:space="preserve">, </w:t>
      </w:r>
      <w:del w:id="578" w:author="LOF" w:date="2018-05-08T12:50:00Z">
        <w:r>
          <w:rPr>
            <w:lang w:val="en-GB"/>
          </w:rPr>
          <w:delText xml:space="preserve">NTS Entry Commodity Charges and </w:delText>
        </w:r>
      </w:del>
      <w:bookmarkStart w:id="579" w:name="_9kMJI5YVt3AB8FJUBpqvsnbZ6mlzwFF6DOFCIxj"/>
      <w:ins w:id="580" w:author="LOF" w:date="2018-05-08T12:50:00Z">
        <w:r>
          <w:rPr>
            <w:lang w:val="en-GB"/>
          </w:rPr>
          <w:t>General Non-</w:t>
        </w:r>
        <w:bookmarkStart w:id="581" w:name="_9kMIH5YVt9ID8BFgNtB3lizYIny5t"/>
        <w:r>
          <w:rPr>
            <w:lang w:val="en-GB"/>
          </w:rPr>
          <w:t>Transmission Services Charge</w:t>
        </w:r>
      </w:ins>
      <w:bookmarkEnd w:id="579"/>
      <w:bookmarkEnd w:id="581"/>
      <w:ins w:id="582" w:author="Dentons" w:date="2018-05-15T12:50:00Z">
        <w:r>
          <w:rPr>
            <w:lang w:val="en-GB"/>
          </w:rPr>
          <w:t>,</w:t>
        </w:r>
      </w:ins>
      <w:ins w:id="583" w:author="LOF" w:date="2018-05-08T12:50:00Z">
        <w:r>
          <w:rPr>
            <w:lang w:val="en-GB"/>
          </w:rPr>
          <w:t xml:space="preserve"> </w:t>
        </w:r>
      </w:ins>
      <w:bookmarkStart w:id="584" w:name="_9kMJI5YVt39A8EFN3nocl3KulHF300s7gRw7E2"/>
      <w:r>
        <w:rPr>
          <w:lang w:val="en-GB"/>
        </w:rPr>
        <w:t xml:space="preserve">Capacity Surrender </w:t>
      </w:r>
      <w:bookmarkStart w:id="585" w:name="_9kMHG5YVt9ID7HIMAfqxlyZPBGMzn1yHH8FQHEK"/>
      <w:r>
        <w:rPr>
          <w:lang w:val="en-GB"/>
        </w:rPr>
        <w:t>Charges</w:t>
      </w:r>
      <w:bookmarkEnd w:id="584"/>
      <w:ins w:id="586" w:author="LOF" w:date="2018-05-08T12:50:00Z">
        <w:r>
          <w:rPr>
            <w:lang w:val="en-GB"/>
          </w:rPr>
          <w:t xml:space="preserve">, </w:t>
        </w:r>
        <w:bookmarkStart w:id="587" w:name="_9kMKJ5YVt39A8FGPI49FsgurAA18JA7DseASK2z"/>
        <w:r>
          <w:rPr>
            <w:lang w:val="en-GB"/>
          </w:rPr>
          <w:t>Entry Transmission Services</w:t>
        </w:r>
        <w:bookmarkEnd w:id="585"/>
        <w:r>
          <w:rPr>
            <w:lang w:val="en-GB"/>
          </w:rPr>
          <w:t xml:space="preserve"> Revenue Recovery Charges</w:t>
        </w:r>
        <w:bookmarkEnd w:id="587"/>
        <w:r>
          <w:rPr>
            <w:lang w:val="en-GB"/>
          </w:rPr>
          <w:t xml:space="preserve">, and </w:t>
        </w:r>
        <w:bookmarkStart w:id="588" w:name="_9kR3WTr7GB67AY5BJpuhm56pmns3FHsq41KKBIT"/>
        <w:bookmarkStart w:id="589" w:name="_9kR3WTr7GB5FLRG27DZ6qrfo6NhLq18w"/>
        <w:bookmarkStart w:id="590" w:name="_9kR3WTr7GB6AD4vhFJ5AGthvsBB29KB8EtfBTL3"/>
        <w:bookmarkStart w:id="591" w:name="_9kR3WTr7GB6AEfPhFJ5AGthvsBB29KB8EtfBTL3"/>
        <w:r>
          <w:rPr>
            <w:lang w:val="en-GB"/>
          </w:rPr>
          <w:t xml:space="preserve">the </w:t>
        </w:r>
        <w:bookmarkStart w:id="592" w:name="_9kMIH5YVt4886BIc7DzL7CIvjxuDD4BMDAGvhDV"/>
        <w:bookmarkStart w:id="593" w:name="_9kR3WTr7GB5FMSG27DZ6qrfo6NwX672IEAGfUzA"/>
        <w:r>
          <w:rPr>
            <w:lang w:val="en-GB"/>
          </w:rPr>
          <w:t xml:space="preserve">NTS </w:t>
        </w:r>
        <w:bookmarkStart w:id="594" w:name="_9kMKJ5YVt9ID8BJkNtB3liznUli16QOt4Bz"/>
        <w:r>
          <w:rPr>
            <w:lang w:val="en-GB"/>
          </w:rPr>
          <w:t>Entry Transmission Services</w:t>
        </w:r>
        <w:bookmarkEnd w:id="588"/>
        <w:r>
          <w:rPr>
            <w:lang w:val="en-GB"/>
          </w:rPr>
          <w:t xml:space="preserve"> Rebate Charge</w:t>
        </w:r>
      </w:ins>
      <w:bookmarkEnd w:id="589"/>
      <w:bookmarkEnd w:id="590"/>
      <w:bookmarkEnd w:id="591"/>
      <w:bookmarkEnd w:id="592"/>
      <w:bookmarkEnd w:id="593"/>
      <w:bookmarkEnd w:id="594"/>
      <w:r>
        <w:rPr>
          <w:lang w:val="en-GB"/>
        </w:rPr>
        <w:t xml:space="preserve"> will be invoiced and payable in accordance with </w:t>
      </w:r>
      <w:bookmarkStart w:id="595" w:name="_9kR3WTr2CC5CHeLcszv1g"/>
      <w:r>
        <w:rPr>
          <w:lang w:val="en-GB"/>
        </w:rPr>
        <w:t>Section S</w:t>
      </w:r>
      <w:bookmarkEnd w:id="595"/>
      <w:r>
        <w:rPr>
          <w:lang w:val="en-GB"/>
        </w:rPr>
        <w:t>.</w:t>
      </w:r>
    </w:p>
    <w:p>
      <w:pPr>
        <w:pStyle w:val="Level-2"/>
        <w:numPr>
          <w:ilvl w:val="0"/>
          <w:numId w:val="0"/>
        </w:numPr>
        <w:ind w:left="1398"/>
        <w:rPr>
          <w:lang w:val="en-GB"/>
        </w:rPr>
      </w:pPr>
      <w:bookmarkStart w:id="596" w:name="_9kMKJ5YVt8IE8DI"/>
      <w:r>
        <w:rPr>
          <w:lang w:val="en-GB"/>
        </w:rPr>
        <w:t>[…]</w:t>
      </w:r>
      <w:bookmarkEnd w:id="596"/>
    </w:p>
    <w:p>
      <w:pPr>
        <w:pStyle w:val="Level-2"/>
        <w:numPr>
          <w:ilvl w:val="1"/>
          <w:numId w:val="18"/>
        </w:numPr>
        <w:rPr>
          <w:lang w:val="en-GB"/>
        </w:rPr>
      </w:pPr>
      <w:bookmarkStart w:id="597" w:name="_9kR3WTr8E8579BBF"/>
      <w:bookmarkEnd w:id="597"/>
      <w:r>
        <w:rPr>
          <w:lang w:val="en-GB"/>
        </w:rPr>
        <w:t>NTS Entry Capacity Retention</w:t>
      </w:r>
    </w:p>
    <w:p>
      <w:pPr>
        <w:pStyle w:val="Level-3"/>
        <w:rPr>
          <w:lang w:val="en-GB"/>
        </w:rPr>
      </w:pPr>
      <w:r>
        <w:rPr>
          <w:lang w:val="en-GB"/>
        </w:rPr>
        <w:t xml:space="preserve">For the purposes </w:t>
      </w:r>
      <w:bookmarkStart w:id="598" w:name="_9kMHG5YVt9ID8CC3xjFKsjLPBGM"/>
      <w:r>
        <w:rPr>
          <w:lang w:val="en-GB"/>
        </w:rPr>
        <w:t xml:space="preserve">of the </w:t>
      </w:r>
      <w:bookmarkStart w:id="599" w:name="_9kMHzG6ZWu59978FSIqh"/>
      <w:r>
        <w:rPr>
          <w:lang w:val="en-GB"/>
        </w:rPr>
        <w:t>Code</w:t>
      </w:r>
      <w:bookmarkEnd w:id="599"/>
      <w:r>
        <w:rPr>
          <w:lang w:val="en-GB"/>
        </w:rPr>
        <w:t xml:space="preserve">, </w:t>
      </w:r>
      <w:bookmarkStart w:id="600" w:name="_9kR3WTr6735DG"/>
      <w:r>
        <w:rPr>
          <w:b/>
          <w:lang w:val="en-GB"/>
        </w:rPr>
        <w:t>“</w:t>
      </w:r>
      <w:bookmarkStart w:id="601" w:name="_9kR3WTr1786DDMG27DZ6qrfo6Nxo43MDERSHDJs"/>
      <w:bookmarkEnd w:id="600"/>
      <w:r>
        <w:rPr>
          <w:b/>
          <w:lang w:val="en-GB"/>
        </w:rPr>
        <w:t>Entry Capacity</w:t>
      </w:r>
      <w:bookmarkEnd w:id="598"/>
      <w:r>
        <w:rPr>
          <w:b/>
          <w:lang w:val="en-GB"/>
        </w:rPr>
        <w:t xml:space="preserve"> Substitution Methodology Statement</w:t>
      </w:r>
      <w:bookmarkStart w:id="602" w:name="_9kR3WTr6735DH"/>
      <w:bookmarkEnd w:id="601"/>
      <w:r>
        <w:rPr>
          <w:b/>
          <w:lang w:val="en-GB"/>
        </w:rPr>
        <w:t>”</w:t>
      </w:r>
      <w:bookmarkEnd w:id="602"/>
      <w:r>
        <w:rPr>
          <w:lang w:val="en-GB"/>
        </w:rPr>
        <w:t xml:space="preserve"> means the capacity methodology statement published in respect of </w:t>
      </w:r>
      <w:bookmarkStart w:id="603" w:name="_9kR3WTr26646DRG27DZ6qrfo6N"/>
      <w:r>
        <w:rPr>
          <w:lang w:val="en-GB"/>
        </w:rPr>
        <w:t>Entry Capacity</w:t>
      </w:r>
      <w:bookmarkEnd w:id="603"/>
      <w:r>
        <w:rPr>
          <w:lang w:val="en-GB"/>
        </w:rPr>
        <w:t xml:space="preserve"> substitution pursuant to </w:t>
      </w:r>
      <w:bookmarkStart w:id="604" w:name="_9kMJI5YVt4886DMjYrfkjnQO6ws9A6C"/>
      <w:r>
        <w:rPr>
          <w:lang w:val="en-GB"/>
        </w:rPr>
        <w:t>Special Condition</w:t>
      </w:r>
      <w:bookmarkEnd w:id="604"/>
      <w:r>
        <w:rPr>
          <w:lang w:val="en-GB"/>
        </w:rPr>
        <w:t xml:space="preserve"> 9A </w:t>
      </w:r>
      <w:bookmarkStart w:id="605" w:name="_9kMHG5YVt9ID89Fd7DdYBuoiwtCFCFL98N"/>
      <w:r>
        <w:rPr>
          <w:lang w:val="en-GB"/>
        </w:rPr>
        <w:t xml:space="preserve">of </w:t>
      </w:r>
      <w:bookmarkStart w:id="606" w:name="_9kMH6N6ZWu4569GOgFs1x3qpWX6t"/>
      <w:bookmarkStart w:id="607" w:name="_9kR3WTr26648DYCpyu0nmTU3qWHNniL4ys63MPM"/>
      <w:r>
        <w:rPr>
          <w:lang w:val="en-GB"/>
        </w:rPr>
        <w:t>National Grid</w:t>
      </w:r>
      <w:bookmarkEnd w:id="606"/>
      <w:r>
        <w:rPr>
          <w:lang w:val="en-GB"/>
        </w:rPr>
        <w:t xml:space="preserve"> </w:t>
      </w:r>
      <w:bookmarkStart w:id="608" w:name="_9kMML5YVt8957FH"/>
      <w:r>
        <w:rPr>
          <w:lang w:val="en-GB"/>
        </w:rPr>
        <w:t>NTS’s</w:t>
      </w:r>
      <w:bookmarkEnd w:id="608"/>
      <w:r>
        <w:rPr>
          <w:lang w:val="en-GB"/>
        </w:rPr>
        <w:t xml:space="preserve"> Gas </w:t>
      </w:r>
      <w:bookmarkStart w:id="609" w:name="_9kMNM5YVt8957FH"/>
      <w:r>
        <w:rPr>
          <w:lang w:val="en-GB"/>
        </w:rPr>
        <w:t>Transporter’s</w:t>
      </w:r>
      <w:bookmarkEnd w:id="609"/>
      <w:r>
        <w:rPr>
          <w:lang w:val="en-GB"/>
        </w:rPr>
        <w:t xml:space="preserve"> Licence</w:t>
      </w:r>
      <w:bookmarkEnd w:id="605"/>
      <w:bookmarkEnd w:id="607"/>
      <w:r>
        <w:rPr>
          <w:lang w:val="en-GB"/>
        </w:rPr>
        <w:t>.</w:t>
      </w:r>
    </w:p>
    <w:p>
      <w:pPr>
        <w:pStyle w:val="Level-3"/>
        <w:rPr>
          <w:lang w:val="en-GB"/>
        </w:rPr>
      </w:pPr>
      <w:bookmarkStart w:id="610" w:name="_9kMH7O6ZWu4569GOgFs1x3qpWX6t"/>
      <w:bookmarkStart w:id="611" w:name="_9kMHzG6ZWu5997BCXFs1x3qpWX6tZKQ"/>
      <w:r>
        <w:rPr>
          <w:lang w:val="en-GB"/>
        </w:rPr>
        <w:t>National Grid</w:t>
      </w:r>
      <w:bookmarkEnd w:id="610"/>
      <w:r>
        <w:rPr>
          <w:lang w:val="en-GB"/>
        </w:rPr>
        <w:t xml:space="preserve"> NTS</w:t>
      </w:r>
      <w:bookmarkEnd w:id="611"/>
      <w:r>
        <w:rPr>
          <w:lang w:val="en-GB"/>
        </w:rPr>
        <w:t xml:space="preserve"> may, from time to time in accordance with the </w:t>
      </w:r>
      <w:bookmarkStart w:id="612" w:name="_9kMHG5YVt39A8FFOI49Fb8sthq8Pzq65OFGTUJF"/>
      <w:r>
        <w:rPr>
          <w:lang w:val="en-GB"/>
        </w:rPr>
        <w:t>Entry Capacity Substitution Methodology Statement</w:t>
      </w:r>
      <w:bookmarkEnd w:id="612"/>
      <w:r>
        <w:rPr>
          <w:lang w:val="en-GB"/>
        </w:rPr>
        <w:t xml:space="preserve">, invite </w:t>
      </w:r>
      <w:bookmarkStart w:id="613" w:name="_9kMH5M6ZWu5997GMjevv"/>
      <w:r>
        <w:rPr>
          <w:lang w:val="en-GB"/>
        </w:rPr>
        <w:t>Users</w:t>
      </w:r>
      <w:bookmarkEnd w:id="613"/>
      <w:r>
        <w:rPr>
          <w:lang w:val="en-GB"/>
        </w:rPr>
        <w:t xml:space="preserve"> to enter into an arrangement with </w:t>
      </w:r>
      <w:bookmarkStart w:id="614" w:name="_9kMH8P6ZWu4569GOgFs1x3qpWX6t"/>
      <w:bookmarkStart w:id="615" w:name="_9kMH0H6ZWu5997BCXFs1x3qpWX6tZKQ"/>
      <w:r>
        <w:rPr>
          <w:lang w:val="en-GB"/>
        </w:rPr>
        <w:t>National Grid</w:t>
      </w:r>
      <w:bookmarkEnd w:id="614"/>
      <w:r>
        <w:rPr>
          <w:lang w:val="en-GB"/>
        </w:rPr>
        <w:t xml:space="preserve"> NTS</w:t>
      </w:r>
      <w:bookmarkEnd w:id="615"/>
      <w:r>
        <w:rPr>
          <w:lang w:val="en-GB"/>
        </w:rPr>
        <w:t xml:space="preserve"> pursuant </w:t>
      </w:r>
      <w:bookmarkStart w:id="616" w:name="_9kMHG5YVt9ID8CKB482pllXLy739wv"/>
      <w:r>
        <w:rPr>
          <w:lang w:val="en-GB"/>
        </w:rPr>
        <w:t xml:space="preserve">to which </w:t>
      </w:r>
      <w:bookmarkStart w:id="617" w:name="_9kMI0G6ZWu4569GOgFs1x3qpWX6t"/>
      <w:bookmarkStart w:id="618" w:name="_9kMH1I6ZWu5997BCXFs1x3qpWX6tZKQ"/>
      <w:r>
        <w:rPr>
          <w:lang w:val="en-GB"/>
        </w:rPr>
        <w:t>National Grid</w:t>
      </w:r>
      <w:bookmarkEnd w:id="617"/>
      <w:r>
        <w:rPr>
          <w:lang w:val="en-GB"/>
        </w:rPr>
        <w:t xml:space="preserve"> NTS</w:t>
      </w:r>
      <w:bookmarkEnd w:id="616"/>
      <w:bookmarkEnd w:id="618"/>
      <w:r>
        <w:rPr>
          <w:lang w:val="en-GB"/>
        </w:rPr>
        <w:t xml:space="preserve"> may exclude certain amounts </w:t>
      </w:r>
      <w:bookmarkStart w:id="619" w:name="_9kMHG5YVt9ID8AI6qx6571rUFL"/>
      <w:r>
        <w:rPr>
          <w:lang w:val="en-GB"/>
        </w:rPr>
        <w:t xml:space="preserve">of unsold </w:t>
      </w:r>
      <w:bookmarkStart w:id="620" w:name="_9kMKJ5YVt4886BGa7DzL7CIeBvwktBS"/>
      <w:r>
        <w:rPr>
          <w:lang w:val="en-GB"/>
        </w:rPr>
        <w:t>NTS Entry Capacity</w:t>
      </w:r>
      <w:bookmarkEnd w:id="619"/>
      <w:bookmarkEnd w:id="620"/>
      <w:r>
        <w:rPr>
          <w:lang w:val="en-GB"/>
        </w:rPr>
        <w:t xml:space="preserve"> from being substituted from an ASEP to meet demand for incremental obligated </w:t>
      </w:r>
      <w:bookmarkStart w:id="621" w:name="_9kMLK5YVt4886BGa7DzL7CIeBvwktBS"/>
      <w:r>
        <w:rPr>
          <w:lang w:val="en-GB"/>
        </w:rPr>
        <w:t>NTS Entry Capacity</w:t>
      </w:r>
      <w:bookmarkEnd w:id="621"/>
      <w:r>
        <w:rPr>
          <w:lang w:val="en-GB"/>
        </w:rPr>
        <w:t xml:space="preserve"> at one or more other </w:t>
      </w:r>
      <w:bookmarkStart w:id="622" w:name="_9kR3WTr266459KrwuZ"/>
      <w:r>
        <w:rPr>
          <w:lang w:val="en-GB"/>
        </w:rPr>
        <w:t>ASEPs</w:t>
      </w:r>
      <w:bookmarkEnd w:id="622"/>
      <w:r>
        <w:rPr>
          <w:lang w:val="en-GB"/>
        </w:rPr>
        <w:t xml:space="preserve">. Any amount payable by a </w:t>
      </w:r>
      <w:bookmarkStart w:id="623" w:name="_9kMH6N6ZWu5997GMjevv"/>
      <w:r>
        <w:rPr>
          <w:lang w:val="en-GB"/>
        </w:rPr>
        <w:t>User</w:t>
      </w:r>
      <w:bookmarkEnd w:id="623"/>
      <w:r>
        <w:rPr>
          <w:lang w:val="en-GB"/>
        </w:rPr>
        <w:t xml:space="preserve"> (or to be refunded to a </w:t>
      </w:r>
      <w:bookmarkStart w:id="624" w:name="_9kMH7O6ZWu5997GMjevv"/>
      <w:r>
        <w:rPr>
          <w:lang w:val="en-GB"/>
        </w:rPr>
        <w:t>User</w:t>
      </w:r>
      <w:bookmarkEnd w:id="624"/>
      <w:r>
        <w:rPr>
          <w:lang w:val="en-GB"/>
        </w:rPr>
        <w:t xml:space="preserve">) pursuant to such an arrangement shall be a </w:t>
      </w:r>
      <w:bookmarkStart w:id="625" w:name="_9kMHG5YVt8957FI"/>
      <w:r>
        <w:rPr>
          <w:lang w:val="en-GB"/>
        </w:rPr>
        <w:t>“</w:t>
      </w:r>
      <w:bookmarkStart w:id="626" w:name="_9kR3WTr1BC4ENc5BxJ5AGc9tuir9Qza9A5LHDJi"/>
      <w:bookmarkStart w:id="627" w:name="_9kMHG5YVt9ID7HOUI49Fb8sthq8PyZ894KGCIhW"/>
      <w:bookmarkStart w:id="628" w:name="_9kR3WTr1786EEV5BxJ5AGc9tuir9Qza9A5LHDJi"/>
      <w:bookmarkEnd w:id="625"/>
      <w:r>
        <w:rPr>
          <w:b/>
          <w:lang w:val="en-GB"/>
        </w:rPr>
        <w:t>NTS Entry Capacity Retention Charge</w:t>
      </w:r>
      <w:bookmarkStart w:id="629" w:name="_9kMHG5YVt8957FJ"/>
      <w:bookmarkEnd w:id="626"/>
      <w:bookmarkEnd w:id="627"/>
      <w:bookmarkEnd w:id="628"/>
      <w:r>
        <w:rPr>
          <w:lang w:val="en-GB"/>
        </w:rPr>
        <w:t>”</w:t>
      </w:r>
      <w:bookmarkEnd w:id="629"/>
      <w:ins w:id="630" w:author="LOF" w:date="2018-05-08T12:50:00Z">
        <w:r>
          <w:rPr>
            <w:lang w:val="en-GB"/>
          </w:rPr>
          <w:t xml:space="preserve">, and the </w:t>
        </w:r>
        <w:bookmarkStart w:id="631" w:name="_9kMHG5YVt9ID8BE4orwsuzF0opqp07vyD9wDEDM"/>
        <w:r>
          <w:rPr>
            <w:lang w:val="en-GB"/>
          </w:rPr>
          <w:t>rate of such charge is determined</w:t>
        </w:r>
        <w:bookmarkEnd w:id="631"/>
        <w:r>
          <w:rPr>
            <w:lang w:val="en-GB"/>
          </w:rPr>
          <w:t xml:space="preserve"> </w:t>
        </w:r>
        <w:bookmarkStart w:id="632" w:name="_9kMHG5YVt9ID899sslber7xhsvn8DBBCDz"/>
        <w:r>
          <w:rPr>
            <w:lang w:val="en-GB"/>
          </w:rPr>
          <w:t xml:space="preserve">in accordance with the </w:t>
        </w:r>
        <w:bookmarkStart w:id="633" w:name="_9kMPO5YVt3AB8GJa7DEesp8B8BH12B7DcRw7E6E"/>
        <w:r>
          <w:rPr>
            <w:lang w:val="en-GB"/>
          </w:rPr>
          <w:t>NTS Transportation Charging Methodology</w:t>
        </w:r>
        <w:bookmarkEnd w:id="632"/>
        <w:bookmarkEnd w:id="633"/>
        <w:r>
          <w:rPr>
            <w:lang w:val="en-GB"/>
          </w:rPr>
          <w:t>.</w:t>
        </w:r>
      </w:ins>
    </w:p>
    <w:p>
      <w:pPr>
        <w:pStyle w:val="Level-3"/>
        <w:rPr>
          <w:lang w:val="en-GB"/>
        </w:rPr>
      </w:pPr>
      <w:r>
        <w:rPr>
          <w:lang w:val="en-GB"/>
        </w:rPr>
        <w:t xml:space="preserve">The terms and conditions applicable to any such arrangement and the payment </w:t>
      </w:r>
      <w:bookmarkStart w:id="634" w:name="_9kMLK5YVt9ID8AE2qQ9F"/>
      <w:r>
        <w:rPr>
          <w:lang w:val="en-GB"/>
        </w:rPr>
        <w:t xml:space="preserve">of </w:t>
      </w:r>
      <w:bookmarkStart w:id="635" w:name="_9kMIH5YVt39A8GGX7DzL7CIeBvwktBS1cBC7NJF"/>
      <w:r>
        <w:rPr>
          <w:lang w:val="en-GB"/>
        </w:rPr>
        <w:t>NTS Entry Capacity</w:t>
      </w:r>
      <w:bookmarkEnd w:id="634"/>
      <w:r>
        <w:rPr>
          <w:lang w:val="en-GB"/>
        </w:rPr>
        <w:t xml:space="preserve"> Retention Charges</w:t>
      </w:r>
      <w:bookmarkEnd w:id="635"/>
      <w:r>
        <w:rPr>
          <w:lang w:val="en-GB"/>
        </w:rPr>
        <w:t xml:space="preserve"> shall be specified in the </w:t>
      </w:r>
      <w:bookmarkStart w:id="636" w:name="_9kMIH5YVt39A8FFOI49Fb8sthq8Pzq65OFGTUJF"/>
      <w:r>
        <w:rPr>
          <w:lang w:val="en-GB"/>
        </w:rPr>
        <w:t>Entry Capacity Substitution Methodology Statement</w:t>
      </w:r>
      <w:bookmarkEnd w:id="636"/>
      <w:r>
        <w:rPr>
          <w:lang w:val="en-GB"/>
        </w:rPr>
        <w:t xml:space="preserve"> and/or the relevant invitation published by </w:t>
      </w:r>
      <w:bookmarkStart w:id="637" w:name="_9kMI1H6ZWu4569GOgFs1x3qpWX6t"/>
      <w:bookmarkStart w:id="638" w:name="_9kMH2J6ZWu5997BCXFs1x3qpWX6tZKQ"/>
      <w:r>
        <w:rPr>
          <w:lang w:val="en-GB"/>
        </w:rPr>
        <w:t>National Grid</w:t>
      </w:r>
      <w:bookmarkEnd w:id="637"/>
      <w:r>
        <w:rPr>
          <w:lang w:val="en-GB"/>
        </w:rPr>
        <w:t xml:space="preserve"> NTS</w:t>
      </w:r>
      <w:bookmarkEnd w:id="638"/>
      <w:r>
        <w:rPr>
          <w:lang w:val="en-GB"/>
        </w:rPr>
        <w:t>.</w:t>
      </w:r>
    </w:p>
    <w:p>
      <w:pPr>
        <w:pStyle w:val="Level-3"/>
        <w:numPr>
          <w:ilvl w:val="0"/>
          <w:numId w:val="0"/>
        </w:numPr>
        <w:ind w:left="1398"/>
        <w:rPr>
          <w:lang w:val="en-GB"/>
        </w:rPr>
      </w:pPr>
      <w:bookmarkStart w:id="639" w:name="_9kMLK5YVt8IE8DI"/>
      <w:r>
        <w:rPr>
          <w:lang w:val="en-GB"/>
        </w:rPr>
        <w:t>[…]</w:t>
      </w:r>
      <w:bookmarkEnd w:id="639"/>
    </w:p>
    <w:p>
      <w:pPr>
        <w:pStyle w:val="Level-1"/>
      </w:pPr>
      <w:bookmarkStart w:id="640" w:name="B_3"/>
      <w:bookmarkStart w:id="641" w:name="_Toc2070929"/>
      <w:bookmarkStart w:id="642" w:name="_Toc6817871"/>
      <w:bookmarkStart w:id="643" w:name="_Toc77147545"/>
      <w:bookmarkStart w:id="644" w:name="_9kR3WTrAG85679HMs4cAG28DA5n12qzHY"/>
      <w:bookmarkEnd w:id="640"/>
      <w:r>
        <w:t>NTS EXIT CAPACITY</w:t>
      </w:r>
      <w:bookmarkEnd w:id="641"/>
      <w:bookmarkEnd w:id="642"/>
      <w:bookmarkEnd w:id="643"/>
      <w:bookmarkEnd w:id="644"/>
    </w:p>
    <w:p>
      <w:pPr>
        <w:pStyle w:val="Level-2"/>
        <w:numPr>
          <w:ilvl w:val="0"/>
          <w:numId w:val="0"/>
        </w:numPr>
        <w:ind w:left="1398"/>
        <w:rPr>
          <w:lang w:val="en-GB"/>
        </w:rPr>
      </w:pPr>
      <w:bookmarkStart w:id="645" w:name="_9kMML5YVt8IE8DI"/>
      <w:bookmarkStart w:id="646" w:name="_Toc2070930"/>
      <w:bookmarkStart w:id="647" w:name="_Toc6817872"/>
      <w:bookmarkStart w:id="648" w:name="_Toc77147546"/>
      <w:r>
        <w:rPr>
          <w:lang w:val="en-GB"/>
        </w:rPr>
        <w:t>[…]</w:t>
      </w:r>
      <w:bookmarkEnd w:id="645"/>
    </w:p>
    <w:p>
      <w:pPr>
        <w:pStyle w:val="Level-2"/>
        <w:numPr>
          <w:ilvl w:val="1"/>
          <w:numId w:val="19"/>
        </w:numPr>
        <w:rPr>
          <w:lang w:val="en-GB"/>
        </w:rPr>
      </w:pPr>
      <w:bookmarkStart w:id="649" w:name="_9kMHG5YVt39A8GHY7DzV63bOqzcEyznwEVpTy9G"/>
      <w:bookmarkStart w:id="650" w:name="_Toc2070937"/>
      <w:bookmarkStart w:id="651" w:name="_Toc6817879"/>
      <w:bookmarkEnd w:id="646"/>
      <w:bookmarkEnd w:id="647"/>
      <w:bookmarkEnd w:id="648"/>
      <w:r>
        <w:rPr>
          <w:lang w:val="en-GB"/>
        </w:rPr>
        <w:t>NTS Exit (Flat) Capacity Charges</w:t>
      </w:r>
      <w:bookmarkEnd w:id="649"/>
      <w:r>
        <w:rPr>
          <w:lang w:val="en-GB"/>
        </w:rPr>
        <w:t xml:space="preserve">, </w:t>
      </w:r>
      <w:del w:id="652" w:author="LOF" w:date="2018-05-08T12:50:00Z">
        <w:r>
          <w:delText>NTS Exit (Flat) Commodity</w:delText>
        </w:r>
      </w:del>
      <w:bookmarkStart w:id="653" w:name="_9kMKJ5YVt3AB8FJUBpqvsnbZ6mlzwFF6DOFCIxj"/>
      <w:ins w:id="654" w:author="LOF" w:date="2018-05-08T12:50:00Z">
        <w:r>
          <w:rPr>
            <w:lang w:val="en-GB"/>
          </w:rPr>
          <w:t xml:space="preserve">General Non-Transmission Services </w:t>
        </w:r>
        <w:bookmarkStart w:id="655" w:name="_9kMHG5YVt9ID7HKOAfqxlyZZA7tm0xGG7EPGDJ"/>
        <w:r>
          <w:rPr>
            <w:lang w:val="en-GB"/>
          </w:rPr>
          <w:t>Charges</w:t>
        </w:r>
        <w:bookmarkEnd w:id="653"/>
        <w:r>
          <w:rPr>
            <w:lang w:val="en-GB"/>
          </w:rPr>
          <w:t xml:space="preserve">, </w:t>
        </w:r>
        <w:bookmarkStart w:id="656" w:name="_9kMHG5YVt39A8FHQS30mftq9907I96Crd9RJ1yF"/>
        <w:r>
          <w:rPr>
            <w:lang w:val="en-GB"/>
          </w:rPr>
          <w:t>Exit Transmission Services</w:t>
        </w:r>
        <w:bookmarkEnd w:id="655"/>
        <w:r>
          <w:rPr>
            <w:lang w:val="en-GB"/>
          </w:rPr>
          <w:t xml:space="preserve"> Revenue Recovery</w:t>
        </w:r>
      </w:ins>
      <w:r>
        <w:rPr>
          <w:lang w:val="en-GB"/>
        </w:rPr>
        <w:t xml:space="preserve"> Charges</w:t>
      </w:r>
      <w:bookmarkEnd w:id="656"/>
      <w:r>
        <w:rPr>
          <w:lang w:val="en-GB"/>
        </w:rPr>
        <w:t xml:space="preserve"> and </w:t>
      </w:r>
      <w:bookmarkStart w:id="657" w:name="_9kMHG5YVt9ID7GLQ3nocl3KulHF300s7gRw7E2F"/>
      <w:r>
        <w:rPr>
          <w:lang w:val="en-GB"/>
        </w:rPr>
        <w:t xml:space="preserve">NTS Exit (Flat) </w:t>
      </w:r>
      <w:bookmarkStart w:id="658" w:name="_9kMKJ5YVt39A8EFN3nocl3KulHF300s7gRw7E2"/>
      <w:r>
        <w:rPr>
          <w:lang w:val="en-GB"/>
        </w:rPr>
        <w:t>Capacity Surrender Charges</w:t>
      </w:r>
      <w:bookmarkEnd w:id="657"/>
      <w:bookmarkEnd w:id="658"/>
    </w:p>
    <w:p>
      <w:pPr>
        <w:pStyle w:val="Level-3"/>
        <w:rPr>
          <w:ins w:id="659" w:author="LOF" w:date="2018-05-08T12:50:00Z"/>
          <w:lang w:val="en-GB"/>
        </w:rPr>
      </w:pPr>
      <w:bookmarkStart w:id="660" w:name="_DV_M345"/>
      <w:bookmarkEnd w:id="660"/>
      <w:del w:id="661" w:author="LOF" w:date="2018-05-08T12:50:00Z">
        <w:r>
          <w:delText>A</w:delText>
        </w:r>
      </w:del>
      <w:ins w:id="662" w:author="LOF" w:date="2018-05-08T12:50:00Z">
        <w:r>
          <w:rPr>
            <w:lang w:val="en-GB"/>
          </w:rPr>
          <w:t xml:space="preserve">Exit-related </w:t>
        </w:r>
        <w:bookmarkStart w:id="663" w:name="_9kMH0H6ZWu4BC9HNkcqn6969Fz095BaPu5C0D"/>
        <w:r>
          <w:rPr>
            <w:lang w:val="en-GB"/>
          </w:rPr>
          <w:t>Transportation Charges</w:t>
        </w:r>
        <w:bookmarkEnd w:id="663"/>
        <w:r>
          <w:rPr>
            <w:lang w:val="en-GB"/>
          </w:rPr>
          <w:t xml:space="preserve"> are payable in relation to the NTS as follows</w:t>
        </w:r>
        <w:bookmarkStart w:id="664" w:name="_DV_M346"/>
        <w:bookmarkEnd w:id="664"/>
        <w:r>
          <w:rPr>
            <w:lang w:val="en-GB"/>
          </w:rPr>
          <w:t>:</w:t>
        </w:r>
      </w:ins>
    </w:p>
    <w:p>
      <w:pPr>
        <w:pStyle w:val="Level-3"/>
        <w:rPr>
          <w:del w:id="665" w:author="LOF" w:date="2018-05-08T12:50:00Z"/>
          <w:highlight w:val="yellow"/>
        </w:rPr>
      </w:pPr>
      <w:bookmarkStart w:id="666" w:name="_9kR3WTr7GB5DKoNPmv3twnj00"/>
      <w:ins w:id="667" w:author="LOF" w:date="2018-05-08T12:50:00Z">
        <w:r>
          <w:rPr>
            <w:highlight w:val="yellow"/>
            <w:lang w:val="en-GB"/>
          </w:rPr>
          <w:t>a</w:t>
        </w:r>
      </w:ins>
      <w:r>
        <w:rPr>
          <w:highlight w:val="yellow"/>
          <w:lang w:val="en-GB"/>
        </w:rPr>
        <w:t xml:space="preserve"> </w:t>
      </w:r>
      <w:bookmarkStart w:id="668" w:name="_9kMH8P6ZWu5997GMjevv"/>
      <w:r>
        <w:rPr>
          <w:highlight w:val="yellow"/>
          <w:lang w:val="en-GB"/>
        </w:rPr>
        <w:t>User</w:t>
      </w:r>
      <w:bookmarkEnd w:id="668"/>
      <w:r>
        <w:rPr>
          <w:highlight w:val="yellow"/>
          <w:lang w:val="en-GB"/>
        </w:rPr>
        <w:t xml:space="preserve"> shall pay</w:t>
      </w:r>
      <w:bookmarkEnd w:id="666"/>
      <w:del w:id="669" w:author="LOF" w:date="2018-05-08T12:50:00Z">
        <w:r>
          <w:rPr>
            <w:highlight w:val="yellow"/>
          </w:rPr>
          <w:delText>:</w:delText>
        </w:r>
      </w:del>
    </w:p>
    <w:p>
      <w:pPr>
        <w:pStyle w:val="Level-4a"/>
        <w:ind w:left="2118" w:hanging="720"/>
        <w:rPr>
          <w:lang w:val="en-GB"/>
        </w:rPr>
      </w:pPr>
      <w:ins w:id="670" w:author="LOF" w:date="2018-05-08T12:50:00Z">
        <w:r>
          <w:rPr>
            <w:highlight w:val="yellow"/>
            <w:lang w:val="en-GB"/>
          </w:rPr>
          <w:t xml:space="preserve"> </w:t>
        </w:r>
      </w:ins>
      <w:bookmarkStart w:id="671" w:name="_9kMKJ5YVt3AB8EEM3nocl3KeIny5t"/>
      <w:r>
        <w:rPr>
          <w:highlight w:val="yellow"/>
          <w:lang w:val="en-GB"/>
        </w:rPr>
        <w:t>Capacity</w:t>
      </w:r>
      <w:r>
        <w:rPr>
          <w:lang w:val="en-GB"/>
        </w:rPr>
        <w:t xml:space="preserve"> Charges</w:t>
      </w:r>
      <w:bookmarkEnd w:id="671"/>
      <w:r>
        <w:rPr>
          <w:lang w:val="en-GB"/>
        </w:rPr>
        <w:t xml:space="preserve"> (</w:t>
      </w:r>
      <w:r>
        <w:rPr>
          <w:b/>
          <w:lang w:val="en-GB"/>
        </w:rPr>
        <w:t>"</w:t>
      </w:r>
      <w:bookmarkStart w:id="672" w:name="_9kR3WTr1786EFW5BxT41ZMoxaCwxluCTnRw7E2F"/>
      <w:r>
        <w:rPr>
          <w:b/>
          <w:lang w:val="en-GB"/>
        </w:rPr>
        <w:t>NTS Exit (Flat) Capacity Charges</w:t>
      </w:r>
      <w:bookmarkEnd w:id="672"/>
      <w:r>
        <w:rPr>
          <w:b/>
          <w:lang w:val="en-GB"/>
        </w:rPr>
        <w:t>"</w:t>
      </w:r>
      <w:r>
        <w:rPr>
          <w:lang w:val="en-GB"/>
        </w:rPr>
        <w:t xml:space="preserve">) </w:t>
      </w:r>
      <w:ins w:id="673" w:author="LOF" w:date="2018-05-08T12:50:00Z">
        <w:r>
          <w:rPr>
            <w:lang w:val="en-GB"/>
          </w:rPr>
          <w:t xml:space="preserve">to </w:t>
        </w:r>
        <w:bookmarkStart w:id="674" w:name="_9kMI2I6ZWu4569GOgFs1x3qpWX6t"/>
        <w:bookmarkStart w:id="675" w:name="_9kMH3K6ZWu5997BCXFs1x3qpWX6tZKQ"/>
        <w:r>
          <w:rPr>
            <w:lang w:val="en-GB"/>
          </w:rPr>
          <w:t>National Grid</w:t>
        </w:r>
        <w:bookmarkEnd w:id="674"/>
        <w:r>
          <w:rPr>
            <w:lang w:val="en-GB"/>
          </w:rPr>
          <w:t xml:space="preserve"> NTS</w:t>
        </w:r>
        <w:bookmarkEnd w:id="675"/>
        <w:r>
          <w:rPr>
            <w:lang w:val="en-GB"/>
          </w:rPr>
          <w:t xml:space="preserve"> </w:t>
        </w:r>
      </w:ins>
      <w:r>
        <w:rPr>
          <w:lang w:val="en-GB"/>
        </w:rPr>
        <w:t xml:space="preserve">in respect </w:t>
      </w:r>
      <w:bookmarkStart w:id="676" w:name="_9kMHG5YVt9ID8AC0ql0BkRns5H434rbMS"/>
      <w:r>
        <w:rPr>
          <w:lang w:val="en-GB"/>
        </w:rPr>
        <w:t xml:space="preserve">of its </w:t>
      </w:r>
      <w:bookmarkStart w:id="677" w:name="_9kR3WTr2664AIfKglyAxwxkUFL7dEB"/>
      <w:r>
        <w:rPr>
          <w:lang w:val="en-GB"/>
        </w:rPr>
        <w:t>Registered NTS Exit</w:t>
      </w:r>
      <w:bookmarkEnd w:id="677"/>
      <w:r>
        <w:rPr>
          <w:lang w:val="en-GB"/>
        </w:rPr>
        <w:t xml:space="preserve"> (</w:t>
      </w:r>
      <w:bookmarkStart w:id="678" w:name="_9kMHG5YVt48868HWHjs"/>
      <w:r>
        <w:rPr>
          <w:lang w:val="en-GB"/>
        </w:rPr>
        <w:t>Flat</w:t>
      </w:r>
      <w:bookmarkEnd w:id="678"/>
      <w:r>
        <w:rPr>
          <w:lang w:val="en-GB"/>
        </w:rPr>
        <w:t xml:space="preserve">) </w:t>
      </w:r>
      <w:bookmarkStart w:id="679" w:name="_9kR3WTr26645BO1lmaj1I0wkFL7dEBtj99LR"/>
      <w:r>
        <w:rPr>
          <w:lang w:val="en-GB"/>
        </w:rPr>
        <w:t>Capacity</w:t>
      </w:r>
      <w:bookmarkEnd w:id="676"/>
      <w:r>
        <w:rPr>
          <w:lang w:val="en-GB"/>
        </w:rPr>
        <w:t xml:space="preserve"> at NTS Exit Points</w:t>
      </w:r>
      <w:bookmarkStart w:id="680" w:name="_DV_M347"/>
      <w:bookmarkEnd w:id="679"/>
      <w:bookmarkEnd w:id="680"/>
      <w:ins w:id="681" w:author="LOF" w:date="2018-05-08T12:50:00Z">
        <w:r>
          <w:rPr>
            <w:lang w:val="en-GB"/>
          </w:rPr>
          <w:t xml:space="preserve"> </w:t>
        </w:r>
        <w:bookmarkStart w:id="682" w:name="_9kMLK5YVt3678FEnbaiK80"/>
        <w:r>
          <w:rPr>
            <w:lang w:val="en-GB"/>
          </w:rPr>
          <w:t>each Da</w:t>
        </w:r>
        <w:bookmarkStart w:id="683" w:name="_GoBack"/>
        <w:bookmarkEnd w:id="683"/>
        <w:r>
          <w:rPr>
            <w:lang w:val="en-GB"/>
          </w:rPr>
          <w:t>y</w:t>
        </w:r>
        <w:bookmarkEnd w:id="682"/>
        <w:r>
          <w:rPr>
            <w:lang w:val="en-GB"/>
          </w:rPr>
          <w:t xml:space="preserve">, in accordance with paragraphs </w:t>
        </w:r>
      </w:ins>
      <w:ins w:id="684" w:author="Dentons" w:date="2018-05-10T11:33:00Z">
        <w:r>
          <w:rPr>
            <w:lang w:val="en-GB"/>
          </w:rPr>
          <w:fldChar w:fldCharType="begin"/>
        </w:r>
        <w:r>
          <w:rPr>
            <w:lang w:val="en-GB"/>
          </w:rPr>
          <w:instrText xml:space="preserve"> REF _Ref513715349 \w \h </w:instrText>
        </w:r>
      </w:ins>
      <w:r>
        <w:rPr>
          <w:lang w:val="en-GB"/>
        </w:rPr>
      </w:r>
      <w:r>
        <w:rPr>
          <w:lang w:val="en-GB"/>
        </w:rPr>
        <w:fldChar w:fldCharType="separate"/>
      </w:r>
      <w:bookmarkStart w:id="685" w:name="_9kMHG5YVt5657AGIEEIkVnUEK6cDAiVx6jL56u3"/>
      <w:r>
        <w:rPr>
          <w:lang w:val="en-GB"/>
        </w:rPr>
        <w:t>3.12.3</w:t>
      </w:r>
      <w:bookmarkEnd w:id="685"/>
      <w:ins w:id="686" w:author="Dentons" w:date="2018-05-10T11:33:00Z">
        <w:r>
          <w:rPr>
            <w:lang w:val="en-GB"/>
          </w:rPr>
          <w:fldChar w:fldCharType="end"/>
        </w:r>
        <w:r>
          <w:rPr>
            <w:lang w:val="en-GB"/>
          </w:rPr>
          <w:t xml:space="preserve"> </w:t>
        </w:r>
      </w:ins>
      <w:ins w:id="687" w:author="LOF" w:date="2018-05-08T12:50:00Z">
        <w:r>
          <w:rPr>
            <w:lang w:val="en-GB"/>
          </w:rPr>
          <w:t xml:space="preserve">to </w:t>
        </w:r>
      </w:ins>
      <w:r>
        <w:rPr>
          <w:lang w:val="en-GB"/>
        </w:rPr>
        <w:t>[</w:t>
      </w:r>
      <w:r>
        <w:rPr>
          <w:highlight w:val="yellow"/>
          <w:lang w:val="en-GB"/>
        </w:rPr>
        <w:t>3.12.4</w:t>
      </w:r>
      <w:r>
        <w:rPr>
          <w:lang w:val="en-GB"/>
        </w:rPr>
        <w:t>]</w:t>
      </w:r>
      <w:ins w:id="688" w:author="Dentons" w:date="2018-05-10T11:33:00Z">
        <w:r>
          <w:rPr>
            <w:lang w:val="en-GB"/>
          </w:rPr>
          <w:fldChar w:fldCharType="begin"/>
        </w:r>
        <w:r>
          <w:rPr>
            <w:lang w:val="en-GB"/>
          </w:rPr>
          <w:instrText xml:space="preserve"> REF _Ref513715361 \w \h </w:instrText>
        </w:r>
      </w:ins>
      <w:r>
        <w:rPr>
          <w:lang w:val="en-GB"/>
        </w:rPr>
      </w:r>
      <w:r>
        <w:rPr>
          <w:lang w:val="en-GB"/>
        </w:rPr>
        <w:fldChar w:fldCharType="separate"/>
      </w:r>
      <w:bookmarkStart w:id="689" w:name="_9kMHG5YVt5657AHJEEKpYnyzWN095ByxefE1hSY"/>
      <w:r>
        <w:rPr>
          <w:lang w:val="en-GB"/>
        </w:rPr>
        <w:t>3.12.5</w:t>
      </w:r>
      <w:bookmarkEnd w:id="689"/>
      <w:ins w:id="690" w:author="Dentons" w:date="2018-05-10T11:33:00Z">
        <w:r>
          <w:rPr>
            <w:lang w:val="en-GB"/>
          </w:rPr>
          <w:fldChar w:fldCharType="end"/>
        </w:r>
      </w:ins>
      <w:r>
        <w:rPr>
          <w:lang w:val="en-GB"/>
        </w:rPr>
        <w:t>;</w:t>
      </w:r>
    </w:p>
    <w:p>
      <w:pPr>
        <w:pStyle w:val="Level-4a"/>
        <w:rPr>
          <w:ins w:id="691" w:author="LOF" w:date="2018-05-08T12:50:00Z"/>
          <w:lang w:val="en-GB"/>
        </w:rPr>
      </w:pPr>
      <w:bookmarkStart w:id="692" w:name="_9kR3WTr8E856Dp"/>
      <w:bookmarkStart w:id="693" w:name="_9kMI3J6ZWu4569GOgFs1x3qpWX6t"/>
      <w:bookmarkStart w:id="694" w:name="_9kMH4L6ZWu5997BCXFs1x3qpWX6tZKQ"/>
      <w:bookmarkEnd w:id="692"/>
      <w:ins w:id="695" w:author="LOF" w:date="2018-05-08T12:50:00Z">
        <w:r>
          <w:rPr>
            <w:lang w:val="en-GB"/>
          </w:rPr>
          <w:t>National Grid</w:t>
        </w:r>
        <w:bookmarkEnd w:id="693"/>
        <w:r>
          <w:rPr>
            <w:lang w:val="en-GB"/>
          </w:rPr>
          <w:t xml:space="preserve"> NTS</w:t>
        </w:r>
        <w:bookmarkEnd w:id="694"/>
        <w:r>
          <w:rPr>
            <w:lang w:val="en-GB"/>
          </w:rPr>
          <w:t xml:space="preserve"> shall pay </w:t>
        </w:r>
        <w:bookmarkStart w:id="696" w:name="_9kMHG5YVt3DE6GQf7D9Nl0wotbWp666D9FeTy9G"/>
        <w:bookmarkStart w:id="697" w:name="_9kMHG5YVt39A8GIZ7D9Nl0wotbWp666D9FeTy9G"/>
        <w:r>
          <w:rPr>
            <w:lang w:val="en-GB"/>
          </w:rPr>
          <w:t>NTS Offtake Reduction Charges</w:t>
        </w:r>
        <w:bookmarkEnd w:id="696"/>
        <w:bookmarkEnd w:id="697"/>
        <w:r>
          <w:rPr>
            <w:lang w:val="en-GB"/>
          </w:rPr>
          <w:t xml:space="preserve"> to a </w:t>
        </w:r>
        <w:bookmarkStart w:id="698" w:name="_9kMI0G6ZWu5997GMjevv"/>
        <w:r>
          <w:rPr>
            <w:lang w:val="en-GB"/>
          </w:rPr>
          <w:t>User</w:t>
        </w:r>
        <w:bookmarkEnd w:id="698"/>
        <w:r>
          <w:rPr>
            <w:lang w:val="en-GB"/>
          </w:rPr>
          <w:t xml:space="preserve">, </w:t>
        </w:r>
        <w:r>
          <w:rPr>
            <w:lang w:val="en-GB"/>
          </w:rPr>
          <w:lastRenderedPageBreak/>
          <w:t>in accordance with paragraph</w:t>
        </w:r>
      </w:ins>
      <w:ins w:id="699" w:author="Dentons" w:date="2019-03-15T15:09:00Z">
        <w:r>
          <w:rPr>
            <w:lang w:val="en-GB"/>
          </w:rPr>
          <w:t xml:space="preserve"> </w:t>
        </w:r>
        <w:r>
          <w:rPr>
            <w:lang w:val="en-GB"/>
          </w:rPr>
          <w:fldChar w:fldCharType="begin"/>
        </w:r>
        <w:r>
          <w:rPr>
            <w:lang w:val="en-GB"/>
          </w:rPr>
          <w:instrText xml:space="preserve"> REF _Ref513715361 \r \h </w:instrText>
        </w:r>
      </w:ins>
      <w:r>
        <w:rPr>
          <w:lang w:val="en-GB"/>
        </w:rPr>
      </w:r>
      <w:r>
        <w:rPr>
          <w:lang w:val="en-GB"/>
        </w:rPr>
        <w:fldChar w:fldCharType="separate"/>
      </w:r>
      <w:r>
        <w:rPr>
          <w:lang w:val="en-GB"/>
        </w:rPr>
        <w:t>3.12.5</w:t>
      </w:r>
      <w:ins w:id="700" w:author="Dentons" w:date="2019-03-15T15:09:00Z">
        <w:r>
          <w:rPr>
            <w:lang w:val="en-GB"/>
          </w:rPr>
          <w:fldChar w:fldCharType="end"/>
        </w:r>
      </w:ins>
      <w:ins w:id="701" w:author="Dentons" w:date="2019-03-15T15:08:00Z">
        <w:r>
          <w:rPr>
            <w:lang w:val="en-GB"/>
          </w:rPr>
          <w:t>;</w:t>
        </w:r>
      </w:ins>
    </w:p>
    <w:p>
      <w:pPr>
        <w:pStyle w:val="Level-4a"/>
        <w:ind w:left="2118" w:hanging="720"/>
        <w:rPr>
          <w:lang w:val="en-GB"/>
        </w:rPr>
      </w:pPr>
      <w:bookmarkStart w:id="702" w:name="_9kMIH5YVt9ID7FMqPRox5vypl22"/>
      <w:ins w:id="703" w:author="LOF" w:date="2018-05-08T12:50:00Z">
        <w:r>
          <w:rPr>
            <w:lang w:val="en-GB"/>
          </w:rPr>
          <w:t xml:space="preserve">a </w:t>
        </w:r>
        <w:bookmarkStart w:id="704" w:name="_9kMHG5YVt4886DKhQnw4uxok11"/>
        <w:r>
          <w:rPr>
            <w:lang w:val="en-GB"/>
          </w:rPr>
          <w:t>Shipper User</w:t>
        </w:r>
        <w:bookmarkEnd w:id="704"/>
        <w:r>
          <w:rPr>
            <w:lang w:val="en-GB"/>
          </w:rPr>
          <w:t xml:space="preserve"> shall pay</w:t>
        </w:r>
        <w:bookmarkEnd w:id="702"/>
        <w:r>
          <w:rPr>
            <w:lang w:val="en-GB"/>
          </w:rPr>
          <w:t xml:space="preserve"> </w:t>
        </w:r>
        <w:bookmarkStart w:id="705" w:name="_9kMHG5YVt48869CRBpqvsnbZ6mlzwFF6DOFCIxj"/>
        <w:r>
          <w:rPr>
            <w:lang w:val="en-GB"/>
          </w:rPr>
          <w:t>General Non-</w:t>
        </w:r>
        <w:bookmarkStart w:id="706" w:name="_9kMJI5YVt9ID8BGhNtB3lizYIny5t6"/>
        <w:r>
          <w:rPr>
            <w:lang w:val="en-GB"/>
          </w:rPr>
          <w:t>Transmission Services Charges</w:t>
        </w:r>
        <w:bookmarkEnd w:id="706"/>
        <w:r>
          <w:rPr>
            <w:lang w:val="en-GB"/>
          </w:rPr>
          <w:t xml:space="preserve"> as </w:t>
        </w:r>
      </w:ins>
      <w:r>
        <w:rPr>
          <w:lang w:val="en-GB"/>
        </w:rPr>
        <w:t xml:space="preserve">Commodity </w:t>
      </w:r>
      <w:bookmarkStart w:id="707" w:name="_9kR3WTr7GB5ENsedovjwtr74ysom8vS5EAG32"/>
      <w:r>
        <w:rPr>
          <w:lang w:val="en-GB"/>
        </w:rPr>
        <w:t xml:space="preserve">Charges </w:t>
      </w:r>
      <w:del w:id="708" w:author="LOF" w:date="2018-05-08T12:50:00Z">
        <w:r>
          <w:delText>(</w:delText>
        </w:r>
        <w:r>
          <w:rPr>
            <w:b/>
            <w:bCs/>
          </w:rPr>
          <w:delText>"NTS Exit (Flat) Commodity Charges"</w:delText>
        </w:r>
        <w:r>
          <w:delText>)</w:delText>
        </w:r>
      </w:del>
      <w:bookmarkStart w:id="709" w:name="_9kR3WTr7GB6AI9260njjVJw517ut"/>
      <w:ins w:id="710" w:author="LOF" w:date="2018-05-08T12:50:00Z">
        <w:r>
          <w:rPr>
            <w:lang w:val="en-GB"/>
          </w:rPr>
          <w:t xml:space="preserve">to </w:t>
        </w:r>
        <w:bookmarkStart w:id="711" w:name="_9kMI4K6ZWu4569GOgFs1x3qpWX6t"/>
        <w:r>
          <w:rPr>
            <w:lang w:val="en-GB"/>
          </w:rPr>
          <w:t>National Grid</w:t>
        </w:r>
        <w:bookmarkEnd w:id="711"/>
        <w:r>
          <w:rPr>
            <w:lang w:val="en-GB"/>
          </w:rPr>
          <w:t xml:space="preserve"> NTS</w:t>
        </w:r>
      </w:ins>
      <w:bookmarkEnd w:id="705"/>
      <w:bookmarkEnd w:id="707"/>
      <w:bookmarkEnd w:id="709"/>
      <w:r>
        <w:rPr>
          <w:lang w:val="en-GB"/>
        </w:rPr>
        <w:t xml:space="preserve"> in respect of its use of the NTS </w:t>
      </w:r>
      <w:ins w:id="712" w:author="LOF" w:date="2018-05-08T12:50:00Z">
        <w:r>
          <w:rPr>
            <w:lang w:val="en-GB"/>
          </w:rPr>
          <w:t xml:space="preserve">for the offtake of gas from the </w:t>
        </w:r>
        <w:bookmarkStart w:id="713" w:name="_9kMHG5YVt4886EMjY5slemJF2w"/>
        <w:r>
          <w:rPr>
            <w:lang w:val="en-GB"/>
          </w:rPr>
          <w:t>Total System</w:t>
        </w:r>
        <w:bookmarkEnd w:id="713"/>
        <w:r>
          <w:rPr>
            <w:lang w:val="en-GB"/>
          </w:rPr>
          <w:t xml:space="preserve"> </w:t>
        </w:r>
      </w:ins>
      <w:r>
        <w:rPr>
          <w:lang w:val="en-GB"/>
        </w:rPr>
        <w:t>on any Day</w:t>
      </w:r>
      <w:ins w:id="714" w:author="LOF" w:date="2018-05-08T12:50:00Z">
        <w:r>
          <w:rPr>
            <w:lang w:val="en-GB"/>
          </w:rPr>
          <w:t xml:space="preserve">, in accordance with paragraphs </w:t>
        </w:r>
      </w:ins>
      <w:ins w:id="715" w:author="Dentons" w:date="2018-05-10T11:34:00Z">
        <w:r>
          <w:rPr>
            <w:lang w:val="en-GB"/>
          </w:rPr>
          <w:fldChar w:fldCharType="begin"/>
        </w:r>
        <w:r>
          <w:rPr>
            <w:lang w:val="en-GB"/>
          </w:rPr>
          <w:instrText xml:space="preserve"> REF _Ref513715391 \w \h </w:instrText>
        </w:r>
      </w:ins>
      <w:r>
        <w:rPr>
          <w:lang w:val="en-GB"/>
        </w:rPr>
      </w:r>
      <w:r>
        <w:rPr>
          <w:lang w:val="en-GB"/>
        </w:rPr>
        <w:fldChar w:fldCharType="separate"/>
      </w:r>
      <w:bookmarkStart w:id="716" w:name="_9kMHG5YVt5657ADFEEFNcP8E5r0HKGEI9AL9B7A"/>
      <w:r>
        <w:rPr>
          <w:lang w:val="en-GB"/>
        </w:rPr>
        <w:t>3.12.7</w:t>
      </w:r>
      <w:bookmarkEnd w:id="716"/>
      <w:ins w:id="717" w:author="Dentons" w:date="2018-05-10T11:34:00Z">
        <w:r>
          <w:rPr>
            <w:lang w:val="en-GB"/>
          </w:rPr>
          <w:fldChar w:fldCharType="end"/>
        </w:r>
        <w:r>
          <w:rPr>
            <w:lang w:val="en-GB"/>
          </w:rPr>
          <w:t xml:space="preserve"> </w:t>
        </w:r>
      </w:ins>
      <w:ins w:id="718" w:author="LOF" w:date="2018-05-08T12:50:00Z">
        <w:r>
          <w:rPr>
            <w:lang w:val="en-GB"/>
          </w:rPr>
          <w:t xml:space="preserve">and </w:t>
        </w:r>
      </w:ins>
      <w:ins w:id="719" w:author="Dentons" w:date="2018-05-10T11:34:00Z">
        <w:r>
          <w:rPr>
            <w:lang w:val="en-GB"/>
          </w:rPr>
          <w:fldChar w:fldCharType="begin"/>
        </w:r>
        <w:r>
          <w:rPr>
            <w:lang w:val="en-GB"/>
          </w:rPr>
          <w:instrText xml:space="preserve"> REF _Ref513715399 \w \h </w:instrText>
        </w:r>
      </w:ins>
      <w:r>
        <w:rPr>
          <w:lang w:val="en-GB"/>
        </w:rPr>
      </w:r>
      <w:r>
        <w:rPr>
          <w:lang w:val="en-GB"/>
        </w:rPr>
        <w:fldChar w:fldCharType="separate"/>
      </w:r>
      <w:bookmarkStart w:id="720" w:name="_9kMHG5YVt5657AEGEEGFhWoMaB8un1yHH8FQHEK"/>
      <w:r>
        <w:rPr>
          <w:lang w:val="en-GB"/>
        </w:rPr>
        <w:t>3.12.8</w:t>
      </w:r>
      <w:bookmarkEnd w:id="720"/>
      <w:ins w:id="721" w:author="Dentons" w:date="2018-05-10T11:34:00Z">
        <w:r>
          <w:rPr>
            <w:lang w:val="en-GB"/>
          </w:rPr>
          <w:fldChar w:fldCharType="end"/>
        </w:r>
      </w:ins>
      <w:r>
        <w:rPr>
          <w:lang w:val="en-GB"/>
        </w:rPr>
        <w:t xml:space="preserve">, or a charge payable by reference to the arrangements in </w:t>
      </w:r>
      <w:bookmarkStart w:id="722" w:name="_9kMKJ5YVt4886DMjYrfkjnQO6ws9A6C"/>
      <w:r>
        <w:rPr>
          <w:lang w:val="en-GB"/>
        </w:rPr>
        <w:t>Special Condition</w:t>
      </w:r>
      <w:bookmarkEnd w:id="722"/>
      <w:r>
        <w:rPr>
          <w:lang w:val="en-GB"/>
        </w:rPr>
        <w:t xml:space="preserve"> 2A and 3A of </w:t>
      </w:r>
      <w:bookmarkStart w:id="723" w:name="_9kMI5L6ZWu4569GOgFs1x3qpWX6t"/>
      <w:bookmarkStart w:id="724" w:name="_9kMHG5YVt4886AIdEr0w2poVW5sYJPpxr52LOLO"/>
      <w:r>
        <w:rPr>
          <w:lang w:val="en-GB"/>
        </w:rPr>
        <w:t>National Grid</w:t>
      </w:r>
      <w:bookmarkEnd w:id="723"/>
      <w:r>
        <w:rPr>
          <w:lang w:val="en-GB"/>
        </w:rPr>
        <w:t xml:space="preserve"> NTS's Transporter's Licence</w:t>
      </w:r>
      <w:bookmarkEnd w:id="724"/>
      <w:del w:id="725" w:author="LOF" w:date="2018-05-08T12:50:00Z">
        <w:r>
          <w:delText>.</w:delText>
        </w:r>
      </w:del>
      <w:ins w:id="726" w:author="LOF" w:date="2018-05-08T12:50:00Z">
        <w:r>
          <w:rPr>
            <w:lang w:val="en-GB"/>
          </w:rPr>
          <w:t>;</w:t>
        </w:r>
      </w:ins>
    </w:p>
    <w:p>
      <w:pPr>
        <w:pStyle w:val="Level-4a"/>
        <w:ind w:left="2118" w:hanging="720"/>
        <w:rPr>
          <w:ins w:id="727" w:author="LOF" w:date="2018-05-08T12:50:00Z"/>
          <w:lang w:val="en-GB"/>
        </w:rPr>
      </w:pPr>
      <w:ins w:id="728" w:author="LOF" w:date="2018-05-08T12:50:00Z">
        <w:r>
          <w:rPr>
            <w:lang w:val="en-GB"/>
          </w:rPr>
          <w:t xml:space="preserve">a </w:t>
        </w:r>
        <w:bookmarkStart w:id="729" w:name="_9kMI1H6ZWu5997GMjevv"/>
        <w:r>
          <w:rPr>
            <w:lang w:val="en-GB"/>
          </w:rPr>
          <w:t>User</w:t>
        </w:r>
        <w:bookmarkEnd w:id="729"/>
        <w:r>
          <w:rPr>
            <w:lang w:val="en-GB"/>
          </w:rPr>
          <w:t xml:space="preserve"> shall pay to </w:t>
        </w:r>
        <w:bookmarkStart w:id="730" w:name="_9kMI6M6ZWu4569GOgFs1x3qpWX6t"/>
        <w:bookmarkStart w:id="731" w:name="_9kMH5M6ZWu5997BCXFs1x3qpWX6tZKQ"/>
        <w:r>
          <w:rPr>
            <w:lang w:val="en-GB"/>
          </w:rPr>
          <w:t>National Grid</w:t>
        </w:r>
        <w:bookmarkEnd w:id="730"/>
        <w:r>
          <w:rPr>
            <w:lang w:val="en-GB"/>
          </w:rPr>
          <w:t xml:space="preserve"> NTS</w:t>
        </w:r>
        <w:bookmarkEnd w:id="731"/>
        <w:r>
          <w:rPr>
            <w:lang w:val="en-GB"/>
          </w:rPr>
          <w:t xml:space="preserve">, or (where the </w:t>
        </w:r>
        <w:bookmarkStart w:id="732" w:name="_9kMNM5YVt39A8DLSG2ztleequNEq2J0X6B"/>
        <w:r>
          <w:rPr>
            <w:lang w:val="en-GB"/>
          </w:rPr>
          <w:t xml:space="preserve">Applicable </w:t>
        </w:r>
        <w:bookmarkStart w:id="733" w:name="_9kMH1I6ZWu4789FNW5htA"/>
        <w:r>
          <w:rPr>
            <w:lang w:val="en-GB"/>
          </w:rPr>
          <w:t>Daily</w:t>
        </w:r>
        <w:bookmarkEnd w:id="733"/>
        <w:r>
          <w:rPr>
            <w:lang w:val="en-GB"/>
          </w:rPr>
          <w:t xml:space="preserve"> Rate</w:t>
        </w:r>
        <w:bookmarkEnd w:id="732"/>
        <w:r>
          <w:rPr>
            <w:lang w:val="en-GB"/>
          </w:rPr>
          <w:t xml:space="preserve"> is negative) </w:t>
        </w:r>
        <w:bookmarkStart w:id="734" w:name="_9kMI7N6ZWu4569GOgFs1x3qpWX6t"/>
        <w:bookmarkStart w:id="735" w:name="_9kMH6N6ZWu5997BCXFs1x3qpWX6tZKQ"/>
        <w:bookmarkStart w:id="736" w:name="_9kR3WTr7GB67Ca5Bf2sw1r1"/>
        <w:r>
          <w:rPr>
            <w:lang w:val="en-GB"/>
          </w:rPr>
          <w:t>National Grid</w:t>
        </w:r>
        <w:bookmarkEnd w:id="734"/>
        <w:r>
          <w:rPr>
            <w:lang w:val="en-GB"/>
          </w:rPr>
          <w:t xml:space="preserve"> NTS</w:t>
        </w:r>
        <w:bookmarkEnd w:id="735"/>
        <w:r>
          <w:rPr>
            <w:lang w:val="en-GB"/>
          </w:rPr>
          <w:t xml:space="preserve"> shall pay to</w:t>
        </w:r>
        <w:bookmarkEnd w:id="736"/>
        <w:r>
          <w:rPr>
            <w:lang w:val="en-GB"/>
          </w:rPr>
          <w:t xml:space="preserve"> the </w:t>
        </w:r>
        <w:bookmarkStart w:id="737" w:name="_9kMI2I6ZWu5997GMjevv"/>
        <w:r>
          <w:rPr>
            <w:lang w:val="en-GB"/>
          </w:rPr>
          <w:t>User</w:t>
        </w:r>
        <w:bookmarkEnd w:id="737"/>
        <w:r>
          <w:rPr>
            <w:lang w:val="en-GB"/>
          </w:rPr>
          <w:t xml:space="preserve">, the </w:t>
        </w:r>
        <w:bookmarkStart w:id="738" w:name="_9kMIH5YVt39A8FHQS30mftq9907I96Crd9RJ1yF"/>
        <w:r>
          <w:rPr>
            <w:lang w:val="en-GB"/>
          </w:rPr>
          <w:t>Exit Transmission Services Revenue Recovery Charge</w:t>
        </w:r>
        <w:bookmarkEnd w:id="738"/>
        <w:r>
          <w:rPr>
            <w:lang w:val="en-GB"/>
          </w:rPr>
          <w:t xml:space="preserve"> in respect </w:t>
        </w:r>
        <w:bookmarkStart w:id="739" w:name="_9kR3WTr7GB68Ayojy9iPlq3F212pZKQ"/>
        <w:bookmarkStart w:id="740" w:name="_9kR3WTr7GB68F3ouxjXgxxCnUqv8K767uePV"/>
        <w:r>
          <w:rPr>
            <w:lang w:val="en-GB"/>
          </w:rPr>
          <w:t xml:space="preserve">of </w:t>
        </w:r>
        <w:bookmarkStart w:id="741" w:name="_9kMHG5YVt4886BJd7DzV63"/>
        <w:r>
          <w:rPr>
            <w:lang w:val="en-GB"/>
          </w:rPr>
          <w:t>NTS Exit</w:t>
        </w:r>
        <w:bookmarkEnd w:id="741"/>
        <w:r>
          <w:rPr>
            <w:lang w:val="en-GB"/>
          </w:rPr>
          <w:t xml:space="preserve"> (</w:t>
        </w:r>
        <w:bookmarkStart w:id="742" w:name="_9kMIH5YVt48868HWHjs"/>
        <w:r>
          <w:rPr>
            <w:lang w:val="en-GB"/>
          </w:rPr>
          <w:t>Flat</w:t>
        </w:r>
        <w:bookmarkEnd w:id="742"/>
        <w:r>
          <w:rPr>
            <w:lang w:val="en-GB"/>
          </w:rPr>
          <w:t xml:space="preserve">) </w:t>
        </w:r>
        <w:bookmarkStart w:id="743" w:name="_9kMHG5YVt48867CP3nocl3K"/>
        <w:r>
          <w:rPr>
            <w:lang w:val="en-GB"/>
          </w:rPr>
          <w:t>Capacity</w:t>
        </w:r>
        <w:bookmarkEnd w:id="739"/>
        <w:bookmarkEnd w:id="740"/>
        <w:bookmarkEnd w:id="743"/>
        <w:r>
          <w:rPr>
            <w:lang w:val="en-GB"/>
          </w:rPr>
          <w:t xml:space="preserve"> on </w:t>
        </w:r>
        <w:bookmarkStart w:id="744" w:name="_9kMML5YVt3678FEnbaiK80"/>
        <w:r>
          <w:rPr>
            <w:lang w:val="en-GB"/>
          </w:rPr>
          <w:t>each Day</w:t>
        </w:r>
        <w:bookmarkEnd w:id="744"/>
        <w:r>
          <w:rPr>
            <w:lang w:val="en-GB"/>
          </w:rPr>
          <w:t xml:space="preserve">, in accordance with paragraph </w:t>
        </w:r>
      </w:ins>
      <w:ins w:id="745" w:author="Dentons" w:date="2018-05-10T11:34:00Z">
        <w:r>
          <w:rPr>
            <w:lang w:val="en-GB"/>
          </w:rPr>
          <w:fldChar w:fldCharType="begin"/>
        </w:r>
        <w:r>
          <w:rPr>
            <w:lang w:val="en-GB"/>
          </w:rPr>
          <w:instrText xml:space="preserve"> REF _Ref513715408 \w \h </w:instrText>
        </w:r>
      </w:ins>
      <w:r>
        <w:rPr>
          <w:lang w:val="en-GB"/>
        </w:rPr>
      </w:r>
      <w:r>
        <w:rPr>
          <w:lang w:val="en-GB"/>
        </w:rPr>
        <w:fldChar w:fldCharType="separate"/>
      </w:r>
      <w:bookmarkStart w:id="746" w:name="_9kMHG5YVt5657AFHEEGGcCI4aB8gTv4hJ34s1Ja"/>
      <w:r>
        <w:rPr>
          <w:lang w:val="en-GB"/>
        </w:rPr>
        <w:t>3.12.9</w:t>
      </w:r>
      <w:bookmarkEnd w:id="746"/>
      <w:ins w:id="747" w:author="Dentons" w:date="2018-05-10T11:34:00Z">
        <w:r>
          <w:rPr>
            <w:lang w:val="en-GB"/>
          </w:rPr>
          <w:fldChar w:fldCharType="end"/>
        </w:r>
      </w:ins>
      <w:ins w:id="748" w:author="LOF" w:date="2018-05-08T12:50:00Z">
        <w:r>
          <w:rPr>
            <w:lang w:val="en-GB"/>
          </w:rPr>
          <w:t>.</w:t>
        </w:r>
        <w:bookmarkStart w:id="749" w:name="_DV_M348"/>
        <w:bookmarkEnd w:id="749"/>
      </w:ins>
    </w:p>
    <w:p>
      <w:pPr>
        <w:pStyle w:val="Level-3"/>
        <w:rPr>
          <w:ins w:id="750" w:author="LOF" w:date="2018-05-08T12:50:00Z"/>
          <w:lang w:val="en-GB"/>
        </w:rPr>
      </w:pPr>
      <w:ins w:id="751" w:author="LOF" w:date="2018-05-08T12:50:00Z">
        <w:r>
          <w:rPr>
            <w:lang w:val="en-GB"/>
          </w:rPr>
          <w:t xml:space="preserve">No charges are payable by </w:t>
        </w:r>
        <w:bookmarkStart w:id="752" w:name="_9kR3WTr26646ANp19evvA"/>
        <w:r>
          <w:rPr>
            <w:lang w:val="en-GB"/>
          </w:rPr>
          <w:t>DNO Users</w:t>
        </w:r>
        <w:bookmarkEnd w:id="752"/>
        <w:r>
          <w:rPr>
            <w:lang w:val="en-GB"/>
          </w:rPr>
          <w:t xml:space="preserve"> in respect of </w:t>
        </w:r>
        <w:bookmarkStart w:id="753" w:name="_9kMIH5YVt4886BJd7DzV63"/>
        <w:bookmarkStart w:id="754" w:name="_9kMHG5YVt9ID7HPVS30YLr49op01ARlI23r0IZ"/>
        <w:r>
          <w:rPr>
            <w:lang w:val="en-GB"/>
          </w:rPr>
          <w:t>NTS Exit</w:t>
        </w:r>
        <w:bookmarkEnd w:id="753"/>
        <w:r>
          <w:rPr>
            <w:lang w:val="en-GB"/>
          </w:rPr>
          <w:t xml:space="preserve"> (</w:t>
        </w:r>
        <w:bookmarkStart w:id="755" w:name="_9kR3WTr26646GVFly3ijuv4L"/>
        <w:r>
          <w:rPr>
            <w:lang w:val="en-GB"/>
          </w:rPr>
          <w:t>Flexibility</w:t>
        </w:r>
        <w:bookmarkEnd w:id="755"/>
        <w:r>
          <w:rPr>
            <w:lang w:val="en-GB"/>
          </w:rPr>
          <w:t xml:space="preserve">) </w:t>
        </w:r>
        <w:bookmarkStart w:id="756" w:name="_9kMIH5YVt48867CP3nocl3K"/>
        <w:r>
          <w:rPr>
            <w:lang w:val="en-GB"/>
          </w:rPr>
          <w:t>Capacity</w:t>
        </w:r>
        <w:bookmarkEnd w:id="754"/>
        <w:bookmarkEnd w:id="756"/>
        <w:r>
          <w:rPr>
            <w:lang w:val="en-GB"/>
          </w:rPr>
          <w:t>.</w:t>
        </w:r>
      </w:ins>
    </w:p>
    <w:p>
      <w:pPr>
        <w:pStyle w:val="Level-3"/>
        <w:rPr>
          <w:lang w:val="en-GB"/>
        </w:rPr>
      </w:pPr>
      <w:bookmarkStart w:id="757" w:name="_Ref513715349"/>
      <w:bookmarkStart w:id="758" w:name="_9kR3WTr34358EGCCGiTlSCI4aB8gTv4hJ34s1Ja"/>
      <w:r>
        <w:rPr>
          <w:lang w:val="en-GB"/>
        </w:rPr>
        <w:t xml:space="preserve">The </w:t>
      </w:r>
      <w:bookmarkStart w:id="759" w:name="_9kMIH5YVt39A8GHY7DzV63bOqzcEyznwEVpTy9G"/>
      <w:r>
        <w:rPr>
          <w:lang w:val="en-GB"/>
        </w:rPr>
        <w:t xml:space="preserve">NTS Exit (Flat) Capacity </w:t>
      </w:r>
      <w:bookmarkStart w:id="760" w:name="_9kR3WTr7GB5ELQ8dovjm19s23htx"/>
      <w:bookmarkStart w:id="761" w:name="_9kR3WTr7GB69AykuvZlpy9r"/>
      <w:r>
        <w:rPr>
          <w:lang w:val="en-GB"/>
        </w:rPr>
        <w:t>Charge</w:t>
      </w:r>
      <w:bookmarkEnd w:id="759"/>
      <w:r>
        <w:rPr>
          <w:lang w:val="en-GB"/>
        </w:rPr>
        <w:t xml:space="preserve"> </w:t>
      </w:r>
      <w:bookmarkStart w:id="762" w:name="_9kR3WTr7GB5DJnNPmv3twnj00"/>
      <w:bookmarkStart w:id="763" w:name="_9kR3WTr7GB5EFju8286o"/>
      <w:bookmarkStart w:id="764" w:name="_9kR3WTr7GB699xkuvZlpjgfnPD5788df2BJ9C3z"/>
      <w:r>
        <w:rPr>
          <w:lang w:val="en-GB"/>
        </w:rPr>
        <w:t xml:space="preserve">payable </w:t>
      </w:r>
      <w:bookmarkStart w:id="765" w:name="_9kR3WTr7GB5EHluDxjXgxx"/>
      <w:r>
        <w:rPr>
          <w:lang w:val="en-GB"/>
        </w:rPr>
        <w:t xml:space="preserve">by a </w:t>
      </w:r>
      <w:bookmarkStart w:id="766" w:name="_9kMI3J6ZWu5997GMjevv"/>
      <w:bookmarkStart w:id="767" w:name="_9kR3WTr7GB67E3obA5x"/>
      <w:r>
        <w:rPr>
          <w:lang w:val="en-GB"/>
        </w:rPr>
        <w:t>User</w:t>
      </w:r>
      <w:bookmarkEnd w:id="760"/>
      <w:bookmarkEnd w:id="761"/>
      <w:bookmarkEnd w:id="766"/>
      <w:r>
        <w:rPr>
          <w:lang w:val="en-GB"/>
        </w:rPr>
        <w:t xml:space="preserve"> in respect of</w:t>
      </w:r>
      <w:bookmarkEnd w:id="762"/>
      <w:bookmarkEnd w:id="763"/>
      <w:bookmarkEnd w:id="764"/>
      <w:bookmarkEnd w:id="765"/>
      <w:r>
        <w:rPr>
          <w:lang w:val="en-GB"/>
        </w:rPr>
        <w:t xml:space="preserve"> </w:t>
      </w:r>
      <w:bookmarkStart w:id="768" w:name="_9kMNM5YVt3678FEnbaiK80"/>
      <w:r>
        <w:rPr>
          <w:lang w:val="en-GB"/>
        </w:rPr>
        <w:t>each Day</w:t>
      </w:r>
      <w:bookmarkEnd w:id="767"/>
      <w:bookmarkEnd w:id="768"/>
      <w:r>
        <w:rPr>
          <w:lang w:val="en-GB"/>
        </w:rPr>
        <w:t xml:space="preserve"> will be determined for each </w:t>
      </w:r>
      <w:bookmarkStart w:id="769" w:name="_9kR3WTr26649Ic5BxT41jZzzB"/>
      <w:r>
        <w:rPr>
          <w:lang w:val="en-GB"/>
        </w:rPr>
        <w:t>NTS Exit Point</w:t>
      </w:r>
      <w:bookmarkEnd w:id="769"/>
      <w:r>
        <w:rPr>
          <w:lang w:val="en-GB"/>
        </w:rPr>
        <w:t xml:space="preserve">, and each class and each allocation of </w:t>
      </w:r>
      <w:bookmarkStart w:id="770" w:name="_9kMJI5YVt4886BJd7DzV63"/>
      <w:r>
        <w:rPr>
          <w:lang w:val="en-GB"/>
        </w:rPr>
        <w:t>NTS Exit</w:t>
      </w:r>
      <w:bookmarkEnd w:id="770"/>
      <w:r>
        <w:rPr>
          <w:lang w:val="en-GB"/>
        </w:rPr>
        <w:t xml:space="preserve"> (</w:t>
      </w:r>
      <w:bookmarkStart w:id="771" w:name="_9kMJI5YVt48868HWHjs"/>
      <w:r>
        <w:rPr>
          <w:lang w:val="en-GB"/>
        </w:rPr>
        <w:t>Flat</w:t>
      </w:r>
      <w:bookmarkEnd w:id="771"/>
      <w:r>
        <w:rPr>
          <w:lang w:val="en-GB"/>
        </w:rPr>
        <w:t xml:space="preserve">) </w:t>
      </w:r>
      <w:bookmarkStart w:id="772" w:name="_9kMJI5YVt48867CP3nocl3K"/>
      <w:r>
        <w:rPr>
          <w:lang w:val="en-GB"/>
        </w:rPr>
        <w:t>Capacity</w:t>
      </w:r>
      <w:bookmarkEnd w:id="772"/>
      <w:r>
        <w:rPr>
          <w:lang w:val="en-GB"/>
        </w:rPr>
        <w:t xml:space="preserve">, as </w:t>
      </w:r>
      <w:bookmarkStart w:id="773" w:name="_9kR3WTr7GB67F4obRevvA"/>
      <w:bookmarkStart w:id="774" w:name="_9kR3WTr7GB6AG7vhtA50u03pdm33Itaw1EQDCD0"/>
      <w:r>
        <w:rPr>
          <w:lang w:val="en-GB"/>
        </w:rPr>
        <w:t xml:space="preserve">the amount </w:t>
      </w:r>
      <w:bookmarkStart w:id="775" w:name="_9kMHG5YVt9ID8AH5qwzlZizzEpWsxAM989wgRX"/>
      <w:r>
        <w:rPr>
          <w:lang w:val="en-GB"/>
        </w:rPr>
        <w:t xml:space="preserve">of the </w:t>
      </w:r>
      <w:bookmarkStart w:id="776" w:name="_9kR3WTr2664EJfbss7iPlq3F212pZKQCiJG"/>
      <w:r>
        <w:rPr>
          <w:lang w:val="en-GB"/>
        </w:rPr>
        <w:t>User's Registered</w:t>
      </w:r>
      <w:bookmarkEnd w:id="773"/>
      <w:r>
        <w:rPr>
          <w:lang w:val="en-GB"/>
        </w:rPr>
        <w:t xml:space="preserve"> NTS</w:t>
      </w:r>
      <w:bookmarkEnd w:id="774"/>
      <w:r>
        <w:rPr>
          <w:lang w:val="en-GB"/>
        </w:rPr>
        <w:t xml:space="preserve"> Exit</w:t>
      </w:r>
      <w:bookmarkEnd w:id="776"/>
      <w:r>
        <w:rPr>
          <w:lang w:val="en-GB"/>
        </w:rPr>
        <w:t xml:space="preserve"> (</w:t>
      </w:r>
      <w:bookmarkStart w:id="777" w:name="_9kMKJ5YVt48868HWHjs"/>
      <w:r>
        <w:rPr>
          <w:lang w:val="en-GB"/>
        </w:rPr>
        <w:t>Flat</w:t>
      </w:r>
      <w:bookmarkEnd w:id="777"/>
      <w:r>
        <w:rPr>
          <w:lang w:val="en-GB"/>
        </w:rPr>
        <w:t xml:space="preserve">) </w:t>
      </w:r>
      <w:bookmarkStart w:id="778" w:name="_9kMKJ5YVt48867CP3nocl3K"/>
      <w:r>
        <w:rPr>
          <w:lang w:val="en-GB"/>
        </w:rPr>
        <w:t>Capacity</w:t>
      </w:r>
      <w:bookmarkEnd w:id="775"/>
      <w:bookmarkEnd w:id="778"/>
      <w:r>
        <w:rPr>
          <w:lang w:val="en-GB"/>
        </w:rPr>
        <w:t xml:space="preserve"> registered (pursuant to such allocation) multiplied by the </w:t>
      </w:r>
      <w:bookmarkStart w:id="779" w:name="_9kMON5YVt39A8DLSG2ztleequNEq2J0X6B"/>
      <w:r>
        <w:rPr>
          <w:lang w:val="en-GB"/>
        </w:rPr>
        <w:t xml:space="preserve">Applicable </w:t>
      </w:r>
      <w:bookmarkStart w:id="780" w:name="_9kMH2J6ZWu4789FNW5htA"/>
      <w:r>
        <w:rPr>
          <w:lang w:val="en-GB"/>
        </w:rPr>
        <w:t>Daily</w:t>
      </w:r>
      <w:bookmarkEnd w:id="780"/>
      <w:r>
        <w:rPr>
          <w:lang w:val="en-GB"/>
        </w:rPr>
        <w:t xml:space="preserve"> Rate</w:t>
      </w:r>
      <w:bookmarkEnd w:id="779"/>
      <w:r>
        <w:rPr>
          <w:lang w:val="en-GB"/>
        </w:rPr>
        <w:t>.</w:t>
      </w:r>
      <w:bookmarkStart w:id="781" w:name="_DV_M349"/>
      <w:bookmarkEnd w:id="757"/>
      <w:bookmarkEnd w:id="758"/>
      <w:bookmarkEnd w:id="781"/>
    </w:p>
    <w:p>
      <w:pPr>
        <w:pStyle w:val="Level-3"/>
        <w:rPr>
          <w:lang w:val="en-GB"/>
        </w:rPr>
      </w:pPr>
      <w:r>
        <w:rPr>
          <w:lang w:val="en-GB"/>
        </w:rPr>
        <w:t xml:space="preserve">The </w:t>
      </w:r>
      <w:bookmarkStart w:id="782" w:name="_9kMPO5YVt39A8DLSG2ztleequNEq2J0X6B"/>
      <w:r>
        <w:rPr>
          <w:lang w:val="en-GB"/>
        </w:rPr>
        <w:t xml:space="preserve">Applicable </w:t>
      </w:r>
      <w:bookmarkStart w:id="783" w:name="_9kMH3K6ZWu4789FNW5htA"/>
      <w:r>
        <w:rPr>
          <w:lang w:val="en-GB"/>
        </w:rPr>
        <w:t>Daily</w:t>
      </w:r>
      <w:bookmarkEnd w:id="783"/>
      <w:r>
        <w:rPr>
          <w:lang w:val="en-GB"/>
        </w:rPr>
        <w:t xml:space="preserve"> Rate</w:t>
      </w:r>
      <w:bookmarkEnd w:id="782"/>
      <w:r>
        <w:rPr>
          <w:lang w:val="en-GB"/>
        </w:rPr>
        <w:t xml:space="preserve"> </w:t>
      </w:r>
      <w:ins w:id="784" w:author="LOF" w:date="2018-05-08T12:50:00Z">
        <w:r>
          <w:rPr>
            <w:lang w:val="en-GB"/>
          </w:rPr>
          <w:t xml:space="preserve">of </w:t>
        </w:r>
        <w:bookmarkStart w:id="785" w:name="_9kR3WTr7GB5EJO1lmaj1IsjFD1yyq5ePu5C0D"/>
        <w:bookmarkStart w:id="786" w:name="_9kMJI5YVt39A8GHY7DzV63bOqzcEyznwEVpTy9G"/>
        <w:r>
          <w:rPr>
            <w:lang w:val="en-GB"/>
          </w:rPr>
          <w:t>NTS Exit (Flat) Capacity Charges</w:t>
        </w:r>
        <w:bookmarkEnd w:id="785"/>
        <w:bookmarkEnd w:id="786"/>
        <w:r>
          <w:rPr>
            <w:lang w:val="en-GB"/>
          </w:rPr>
          <w:t xml:space="preserve"> </w:t>
        </w:r>
      </w:ins>
      <w:r>
        <w:rPr>
          <w:lang w:val="en-GB"/>
        </w:rPr>
        <w:t>shall be:</w:t>
      </w:r>
      <w:bookmarkStart w:id="787" w:name="_DV_M350"/>
      <w:bookmarkEnd w:id="787"/>
    </w:p>
    <w:p>
      <w:pPr>
        <w:pStyle w:val="Level-4a"/>
        <w:rPr>
          <w:lang w:val="en-GB"/>
        </w:rPr>
      </w:pPr>
      <w:r>
        <w:rPr>
          <w:lang w:val="en-GB"/>
        </w:rPr>
        <w:t>in respect of:</w:t>
      </w:r>
      <w:bookmarkStart w:id="788" w:name="_DV_M351"/>
      <w:bookmarkEnd w:id="788"/>
    </w:p>
    <w:p>
      <w:pPr>
        <w:pStyle w:val="Level-5r"/>
        <w:rPr>
          <w:noProof w:val="0"/>
        </w:rPr>
      </w:pPr>
      <w:r>
        <w:rPr>
          <w:noProof w:val="0"/>
        </w:rPr>
        <w:t xml:space="preserve">Enduring Annual NTS Exit (Flat) Capacity; and </w:t>
      </w:r>
      <w:bookmarkStart w:id="789" w:name="_DV_M352"/>
      <w:bookmarkEnd w:id="789"/>
    </w:p>
    <w:p>
      <w:pPr>
        <w:pStyle w:val="Level-5r"/>
        <w:ind w:left="3198" w:hanging="1080"/>
        <w:rPr>
          <w:noProof w:val="0"/>
        </w:rPr>
      </w:pPr>
      <w:r>
        <w:rPr>
          <w:noProof w:val="0"/>
        </w:rPr>
        <w:t xml:space="preserve">Annual </w:t>
      </w:r>
      <w:bookmarkStart w:id="790" w:name="_9kMKJ5YVt4886BJd7DzV63"/>
      <w:bookmarkStart w:id="791" w:name="_9kR3WTr7GB5FNTQ1yWJp27mnyz8PjG01pyGX"/>
      <w:bookmarkStart w:id="792" w:name="_9kR3WTr7GB5FOUQ1yT5pqen5M"/>
      <w:bookmarkStart w:id="793" w:name="_9kR3WTr7GB5EKP1lmaj1IMzwxr37zm49u"/>
      <w:r>
        <w:rPr>
          <w:noProof w:val="0"/>
        </w:rPr>
        <w:t>NTS Exit</w:t>
      </w:r>
      <w:bookmarkEnd w:id="790"/>
      <w:r>
        <w:rPr>
          <w:noProof w:val="0"/>
        </w:rPr>
        <w:t xml:space="preserve"> (</w:t>
      </w:r>
      <w:bookmarkStart w:id="794" w:name="_9kMLK5YVt48868HWHjs"/>
      <w:r>
        <w:rPr>
          <w:noProof w:val="0"/>
        </w:rPr>
        <w:t>Flat</w:t>
      </w:r>
      <w:bookmarkEnd w:id="794"/>
      <w:r>
        <w:rPr>
          <w:noProof w:val="0"/>
        </w:rPr>
        <w:t xml:space="preserve">) </w:t>
      </w:r>
      <w:bookmarkStart w:id="795" w:name="_9kMLK5YVt48867CP3nocl3K"/>
      <w:r>
        <w:rPr>
          <w:noProof w:val="0"/>
        </w:rPr>
        <w:t>Capacity</w:t>
      </w:r>
      <w:bookmarkEnd w:id="791"/>
      <w:bookmarkEnd w:id="792"/>
      <w:bookmarkEnd w:id="795"/>
      <w:r>
        <w:rPr>
          <w:noProof w:val="0"/>
        </w:rPr>
        <w:t xml:space="preserve"> allocated</w:t>
      </w:r>
      <w:bookmarkEnd w:id="793"/>
      <w:r>
        <w:rPr>
          <w:noProof w:val="0"/>
        </w:rPr>
        <w:t xml:space="preserve"> to the </w:t>
      </w:r>
      <w:bookmarkStart w:id="796" w:name="_9kMI4K6ZWu5997GMjevv"/>
      <w:r>
        <w:rPr>
          <w:noProof w:val="0"/>
        </w:rPr>
        <w:t>User</w:t>
      </w:r>
      <w:bookmarkEnd w:id="796"/>
      <w:r>
        <w:rPr>
          <w:noProof w:val="0"/>
        </w:rPr>
        <w:t xml:space="preserve"> in respect of a </w:t>
      </w:r>
      <w:bookmarkStart w:id="797" w:name="_9kR3WTr266479O5onUdr"/>
      <w:r>
        <w:rPr>
          <w:noProof w:val="0"/>
        </w:rPr>
        <w:t>Gas Year</w:t>
      </w:r>
      <w:bookmarkEnd w:id="797"/>
      <w:r>
        <w:rPr>
          <w:noProof w:val="0"/>
        </w:rPr>
        <w:t xml:space="preserve"> pursuant to </w:t>
      </w:r>
      <w:bookmarkStart w:id="798" w:name="_9kR3WTr2CC5AG2knoewrqyDO"/>
      <w:r>
        <w:rPr>
          <w:noProof w:val="0"/>
        </w:rPr>
        <w:t>paragraph 3.4</w:t>
      </w:r>
      <w:bookmarkEnd w:id="798"/>
      <w:r>
        <w:rPr>
          <w:noProof w:val="0"/>
        </w:rPr>
        <w:t>;</w:t>
      </w:r>
    </w:p>
    <w:p>
      <w:pPr>
        <w:pStyle w:val="Level-4a"/>
        <w:numPr>
          <w:ilvl w:val="0"/>
          <w:numId w:val="0"/>
        </w:numPr>
        <w:ind w:left="2160"/>
        <w:rPr>
          <w:lang w:val="en-GB"/>
        </w:rPr>
      </w:pPr>
      <w:bookmarkStart w:id="799" w:name="_DV_M353"/>
      <w:bookmarkEnd w:id="799"/>
      <w:r>
        <w:rPr>
          <w:lang w:val="en-GB"/>
        </w:rPr>
        <w:t xml:space="preserve">the rate determined in accordance with </w:t>
      </w:r>
      <w:bookmarkStart w:id="800" w:name="_9kMIH5YVtCIA788AJOu5dCI40GLRDq45t2Kb"/>
      <w:ins w:id="801" w:author="LOF" w:date="2018-05-08T12:50:00Z">
        <w:r>
          <w:rPr>
            <w:lang w:val="en-GB"/>
          </w:rPr>
          <w:t>Section 2</w:t>
        </w:r>
        <w:bookmarkEnd w:id="800"/>
        <w:r>
          <w:rPr>
            <w:lang w:val="en-GB"/>
          </w:rPr>
          <w:t xml:space="preserve"> </w:t>
        </w:r>
        <w:bookmarkStart w:id="802" w:name="_9kMHG5YVt9ID89AtsYGt2y4rqXY7uaLRrzt74NQ"/>
        <w:r>
          <w:rPr>
            <w:lang w:val="en-GB"/>
          </w:rPr>
          <w:t xml:space="preserve">of the </w:t>
        </w:r>
        <w:bookmarkStart w:id="803" w:name="_9kMHzG6ZWu4BC9HKb8EFftq9C9CI23C8EdSx8F7"/>
        <w:r>
          <w:rPr>
            <w:lang w:val="en-GB"/>
          </w:rPr>
          <w:t>NTS Transportation Charging Methodology</w:t>
        </w:r>
        <w:bookmarkEnd w:id="803"/>
        <w:r>
          <w:rPr>
            <w:lang w:val="en-GB"/>
          </w:rPr>
          <w:t xml:space="preserve"> and set out in </w:t>
        </w:r>
      </w:ins>
      <w:bookmarkStart w:id="804" w:name="_9kMI8O6ZWu4569GOgFs1x3qpWX6t"/>
      <w:bookmarkStart w:id="805" w:name="_9kR3WTr26648FaCpyu0nmTU3qWHNnvp30JMJMSC"/>
      <w:r>
        <w:rPr>
          <w:lang w:val="en-GB"/>
        </w:rPr>
        <w:t>National Grid</w:t>
      </w:r>
      <w:bookmarkEnd w:id="804"/>
      <w:r>
        <w:rPr>
          <w:lang w:val="en-GB"/>
        </w:rPr>
        <w:t xml:space="preserve"> NTS's Transportation Statement</w:t>
      </w:r>
      <w:bookmarkEnd w:id="802"/>
      <w:bookmarkEnd w:id="805"/>
      <w:r>
        <w:rPr>
          <w:lang w:val="en-GB"/>
        </w:rPr>
        <w:t>;</w:t>
      </w:r>
      <w:bookmarkStart w:id="806" w:name="_DV_M354"/>
      <w:bookmarkEnd w:id="806"/>
    </w:p>
    <w:p>
      <w:pPr>
        <w:pStyle w:val="Level-4a"/>
        <w:rPr>
          <w:lang w:val="en-GB"/>
        </w:rPr>
      </w:pPr>
      <w:r>
        <w:rPr>
          <w:lang w:val="en-GB"/>
        </w:rPr>
        <w:t>in respect of each amount of:</w:t>
      </w:r>
      <w:bookmarkStart w:id="807" w:name="_DV_M355"/>
      <w:bookmarkEnd w:id="807"/>
    </w:p>
    <w:p>
      <w:pPr>
        <w:pStyle w:val="Level-5r"/>
        <w:ind w:left="3198" w:hanging="1080"/>
        <w:rPr>
          <w:noProof w:val="0"/>
        </w:rPr>
      </w:pPr>
      <w:bookmarkStart w:id="808" w:name="_9kMH4L6ZWu4789FNW5htA"/>
      <w:r>
        <w:rPr>
          <w:noProof w:val="0"/>
        </w:rPr>
        <w:t>Daily</w:t>
      </w:r>
      <w:bookmarkEnd w:id="808"/>
      <w:r>
        <w:rPr>
          <w:noProof w:val="0"/>
        </w:rPr>
        <w:t xml:space="preserve"> </w:t>
      </w:r>
      <w:bookmarkStart w:id="809" w:name="_9kMLK5YVt4886BJd7DzV63"/>
      <w:r>
        <w:rPr>
          <w:noProof w:val="0"/>
        </w:rPr>
        <w:t>NTS Exit</w:t>
      </w:r>
      <w:bookmarkEnd w:id="809"/>
      <w:r>
        <w:rPr>
          <w:noProof w:val="0"/>
        </w:rPr>
        <w:t xml:space="preserve"> (</w:t>
      </w:r>
      <w:bookmarkStart w:id="810" w:name="_9kMML5YVt48868HWHjs"/>
      <w:r>
        <w:rPr>
          <w:noProof w:val="0"/>
        </w:rPr>
        <w:t>Flat</w:t>
      </w:r>
      <w:bookmarkEnd w:id="810"/>
      <w:r>
        <w:rPr>
          <w:noProof w:val="0"/>
        </w:rPr>
        <w:t xml:space="preserve">) </w:t>
      </w:r>
      <w:bookmarkStart w:id="811" w:name="_9kMML5YVt48867CP3nocl3K"/>
      <w:r>
        <w:rPr>
          <w:noProof w:val="0"/>
        </w:rPr>
        <w:t>Capacity</w:t>
      </w:r>
      <w:bookmarkEnd w:id="811"/>
      <w:r>
        <w:rPr>
          <w:noProof w:val="0"/>
        </w:rPr>
        <w:t xml:space="preserve"> allocated to the </w:t>
      </w:r>
      <w:bookmarkStart w:id="812" w:name="_9kMI5L6ZWu5997GMjevv"/>
      <w:bookmarkStart w:id="813" w:name="_9kMHG5YVt9ID89G5qdC7z"/>
      <w:r>
        <w:rPr>
          <w:noProof w:val="0"/>
        </w:rPr>
        <w:t>User</w:t>
      </w:r>
      <w:bookmarkEnd w:id="812"/>
      <w:r>
        <w:rPr>
          <w:noProof w:val="0"/>
        </w:rPr>
        <w:t xml:space="preserve"> in respect of a Day</w:t>
      </w:r>
      <w:bookmarkEnd w:id="813"/>
      <w:r>
        <w:rPr>
          <w:noProof w:val="0"/>
        </w:rPr>
        <w:t xml:space="preserve"> pursuant to </w:t>
      </w:r>
      <w:bookmarkStart w:id="814" w:name="_9kR3WTr2CC5AH3knoewrqyDP"/>
      <w:r>
        <w:rPr>
          <w:noProof w:val="0"/>
        </w:rPr>
        <w:t>paragraph 3.5</w:t>
      </w:r>
      <w:bookmarkEnd w:id="814"/>
      <w:r>
        <w:rPr>
          <w:noProof w:val="0"/>
        </w:rPr>
        <w:t>;</w:t>
      </w:r>
      <w:bookmarkStart w:id="815" w:name="_DV_M356"/>
      <w:bookmarkEnd w:id="815"/>
    </w:p>
    <w:p>
      <w:pPr>
        <w:pStyle w:val="Level-5r"/>
        <w:ind w:left="3198" w:hanging="1080"/>
        <w:rPr>
          <w:noProof w:val="0"/>
        </w:rPr>
      </w:pPr>
      <w:bookmarkStart w:id="816" w:name="_9kMH5M6ZWu4789FNW5htA"/>
      <w:r>
        <w:rPr>
          <w:noProof w:val="0"/>
        </w:rPr>
        <w:t>Daily</w:t>
      </w:r>
      <w:bookmarkEnd w:id="816"/>
      <w:r>
        <w:rPr>
          <w:noProof w:val="0"/>
        </w:rPr>
        <w:t xml:space="preserve"> </w:t>
      </w:r>
      <w:bookmarkStart w:id="817" w:name="_DV_C98"/>
      <w:r>
        <w:rPr>
          <w:noProof w:val="0"/>
        </w:rPr>
        <w:t>Off-peak</w:t>
      </w:r>
      <w:bookmarkStart w:id="818" w:name="_DV_M357"/>
      <w:bookmarkEnd w:id="817"/>
      <w:bookmarkEnd w:id="818"/>
      <w:r>
        <w:rPr>
          <w:noProof w:val="0"/>
        </w:rPr>
        <w:t xml:space="preserve"> </w:t>
      </w:r>
      <w:bookmarkStart w:id="819" w:name="_9kMML5YVt4886BJd7DzV63"/>
      <w:r>
        <w:rPr>
          <w:noProof w:val="0"/>
        </w:rPr>
        <w:t>NTS Exit</w:t>
      </w:r>
      <w:bookmarkEnd w:id="819"/>
      <w:r>
        <w:rPr>
          <w:noProof w:val="0"/>
        </w:rPr>
        <w:t xml:space="preserve"> (</w:t>
      </w:r>
      <w:bookmarkStart w:id="820" w:name="_9kMNM5YVt48868HWHjs"/>
      <w:r>
        <w:rPr>
          <w:noProof w:val="0"/>
        </w:rPr>
        <w:t>Flat</w:t>
      </w:r>
      <w:bookmarkEnd w:id="820"/>
      <w:r>
        <w:rPr>
          <w:noProof w:val="0"/>
        </w:rPr>
        <w:t xml:space="preserve">) </w:t>
      </w:r>
      <w:bookmarkStart w:id="821" w:name="_9kMNM5YVt48867CP3nocl3K"/>
      <w:r>
        <w:rPr>
          <w:noProof w:val="0"/>
        </w:rPr>
        <w:t>Capacity</w:t>
      </w:r>
      <w:bookmarkEnd w:id="821"/>
      <w:r>
        <w:rPr>
          <w:noProof w:val="0"/>
        </w:rPr>
        <w:t xml:space="preserve"> allocated to the </w:t>
      </w:r>
      <w:bookmarkStart w:id="822" w:name="_9kMI6M6ZWu5997GMjevv"/>
      <w:bookmarkStart w:id="823" w:name="_9kMIH5YVt9ID89G5qdC7z"/>
      <w:r>
        <w:rPr>
          <w:noProof w:val="0"/>
        </w:rPr>
        <w:t>User</w:t>
      </w:r>
      <w:bookmarkEnd w:id="822"/>
      <w:r>
        <w:rPr>
          <w:noProof w:val="0"/>
        </w:rPr>
        <w:t xml:space="preserve"> in respect of a Day</w:t>
      </w:r>
      <w:bookmarkEnd w:id="823"/>
      <w:r>
        <w:rPr>
          <w:noProof w:val="0"/>
        </w:rPr>
        <w:t xml:space="preserve"> pursuant to </w:t>
      </w:r>
      <w:bookmarkStart w:id="824" w:name="_9kR3WTr2CC5AI4knoewrqyDQ"/>
      <w:r>
        <w:rPr>
          <w:noProof w:val="0"/>
        </w:rPr>
        <w:t>paragraph 3.6</w:t>
      </w:r>
      <w:bookmarkEnd w:id="824"/>
      <w:r>
        <w:rPr>
          <w:noProof w:val="0"/>
        </w:rPr>
        <w:t>;</w:t>
      </w:r>
    </w:p>
    <w:p>
      <w:pPr>
        <w:pStyle w:val="Level-4a"/>
        <w:numPr>
          <w:ilvl w:val="0"/>
          <w:numId w:val="0"/>
        </w:numPr>
        <w:ind w:left="2160"/>
        <w:rPr>
          <w:lang w:val="en-GB"/>
        </w:rPr>
      </w:pPr>
      <w:bookmarkStart w:id="825" w:name="_DV_M358"/>
      <w:bookmarkEnd w:id="825"/>
      <w:r>
        <w:rPr>
          <w:lang w:val="en-GB"/>
        </w:rPr>
        <w:t xml:space="preserve">the bid price tendered by the </w:t>
      </w:r>
      <w:bookmarkStart w:id="826" w:name="_9kMI7N6ZWu5997GMjevv"/>
      <w:r>
        <w:rPr>
          <w:lang w:val="en-GB"/>
        </w:rPr>
        <w:t>User</w:t>
      </w:r>
      <w:bookmarkEnd w:id="826"/>
      <w:r>
        <w:rPr>
          <w:lang w:val="en-GB"/>
        </w:rPr>
        <w:t xml:space="preserve"> pursuant to the respective </w:t>
      </w:r>
      <w:bookmarkStart w:id="827" w:name="_9kMHG5YVt3678DJqky6um"/>
      <w:r>
        <w:rPr>
          <w:lang w:val="en-GB"/>
        </w:rPr>
        <w:t>annual</w:t>
      </w:r>
      <w:bookmarkEnd w:id="827"/>
      <w:r>
        <w:rPr>
          <w:lang w:val="en-GB"/>
        </w:rPr>
        <w:t xml:space="preserve"> capacity bid or </w:t>
      </w:r>
      <w:bookmarkStart w:id="828" w:name="_9kMKJ5YVt3678ELuags9"/>
      <w:r>
        <w:rPr>
          <w:lang w:val="en-GB"/>
        </w:rPr>
        <w:t>daily</w:t>
      </w:r>
      <w:bookmarkEnd w:id="828"/>
      <w:r>
        <w:rPr>
          <w:lang w:val="en-GB"/>
        </w:rPr>
        <w:t xml:space="preserve"> capacity bid pursuant to which such </w:t>
      </w:r>
      <w:bookmarkStart w:id="829" w:name="_9kMNM5YVt4886BJd7DzV63"/>
      <w:bookmarkStart w:id="830" w:name="_9kMHG5YVt9ID7GMR3nocl3KO1yzt591o6Bw"/>
      <w:r>
        <w:rPr>
          <w:lang w:val="en-GB"/>
        </w:rPr>
        <w:t>NTS Exit</w:t>
      </w:r>
      <w:bookmarkEnd w:id="829"/>
      <w:r>
        <w:rPr>
          <w:lang w:val="en-GB"/>
        </w:rPr>
        <w:t xml:space="preserve"> (</w:t>
      </w:r>
      <w:bookmarkStart w:id="831" w:name="_9kMON5YVt48868HWHjs"/>
      <w:r>
        <w:rPr>
          <w:lang w:val="en-GB"/>
        </w:rPr>
        <w:t>Flat</w:t>
      </w:r>
      <w:bookmarkEnd w:id="831"/>
      <w:r>
        <w:rPr>
          <w:lang w:val="en-GB"/>
        </w:rPr>
        <w:t xml:space="preserve">) </w:t>
      </w:r>
      <w:bookmarkStart w:id="832" w:name="_9kMON5YVt48867CP3nocl3K"/>
      <w:r>
        <w:rPr>
          <w:lang w:val="en-GB"/>
        </w:rPr>
        <w:t>Capacity</w:t>
      </w:r>
      <w:bookmarkEnd w:id="832"/>
      <w:r>
        <w:rPr>
          <w:lang w:val="en-GB"/>
        </w:rPr>
        <w:t xml:space="preserve"> was allocated</w:t>
      </w:r>
      <w:bookmarkEnd w:id="830"/>
      <w:r>
        <w:rPr>
          <w:lang w:val="en-GB"/>
        </w:rPr>
        <w:t>.</w:t>
      </w:r>
      <w:bookmarkStart w:id="833" w:name="_DV_M359"/>
      <w:bookmarkEnd w:id="833"/>
    </w:p>
    <w:p>
      <w:pPr>
        <w:pStyle w:val="Level-3"/>
        <w:rPr>
          <w:del w:id="834" w:author="LOF" w:date="2018-05-08T12:50:00Z"/>
        </w:rPr>
      </w:pPr>
      <w:bookmarkStart w:id="835" w:name="_DV_M363"/>
      <w:bookmarkStart w:id="836" w:name="_DV_M364"/>
      <w:bookmarkStart w:id="837" w:name="_DV_M365"/>
      <w:bookmarkStart w:id="838" w:name="_DV_M366"/>
      <w:bookmarkStart w:id="839" w:name="_DV_M367"/>
      <w:bookmarkStart w:id="840" w:name="_DV_M378"/>
      <w:bookmarkStart w:id="841" w:name="_9kR3WTr34358FHCCInWlwxULy739wvcdCzfQWev"/>
      <w:bookmarkEnd w:id="835"/>
      <w:bookmarkEnd w:id="836"/>
      <w:bookmarkEnd w:id="837"/>
      <w:bookmarkEnd w:id="838"/>
      <w:bookmarkEnd w:id="839"/>
      <w:bookmarkEnd w:id="840"/>
      <w:del w:id="842" w:author="LOF" w:date="2018-05-08T12:50:00Z">
        <w:r>
          <w:delText>For the purposes of paragraph 3.12.2, the amount of the User’s Registered NTS Exit (Flat) Capacity shall be determined Unadjusted pursuant to paragraphs 3.9, 3.10, 3.11 or (as the case may be) paragraph 3.4 of Annex B-2.</w:delText>
        </w:r>
        <w:bookmarkStart w:id="843" w:name="_DV_M360"/>
        <w:bookmarkStart w:id="844" w:name="_Ref61424588"/>
        <w:bookmarkEnd w:id="843"/>
      </w:del>
    </w:p>
    <w:p>
      <w:pPr>
        <w:pStyle w:val="Level-3"/>
        <w:rPr>
          <w:del w:id="845" w:author="LOF" w:date="2018-05-08T12:50:00Z"/>
        </w:rPr>
      </w:pPr>
      <w:del w:id="846" w:author="LOF" w:date="2018-05-08T12:50:00Z">
        <w:r>
          <w:delText xml:space="preserve">The NTS Exit (Flat) Commodity Charge payable (for any Day) by a Shipper </w:delText>
        </w:r>
        <w:r>
          <w:lastRenderedPageBreak/>
          <w:delText>User will be determined:</w:delText>
        </w:r>
        <w:bookmarkStart w:id="847" w:name="_DV_M361"/>
        <w:bookmarkEnd w:id="844"/>
        <w:bookmarkEnd w:id="847"/>
      </w:del>
    </w:p>
    <w:p>
      <w:pPr>
        <w:pStyle w:val="Level-4a"/>
        <w:rPr>
          <w:del w:id="848" w:author="LOF" w:date="2018-05-08T12:50:00Z"/>
        </w:rPr>
      </w:pPr>
      <w:del w:id="849" w:author="LOF" w:date="2018-05-08T12:50:00Z">
        <w:r>
          <w:delText>subject to paragraph (b), as the amount of its User Daily Quantity Output multiplied by the Applicable Commodity Rate(s); and</w:delText>
        </w:r>
        <w:bookmarkStart w:id="850" w:name="_DV_M362"/>
        <w:bookmarkEnd w:id="850"/>
      </w:del>
    </w:p>
    <w:p>
      <w:pPr>
        <w:pStyle w:val="Level-4a"/>
        <w:rPr>
          <w:del w:id="851" w:author="LOF" w:date="2018-05-08T12:50:00Z"/>
        </w:rPr>
      </w:pPr>
      <w:del w:id="852" w:author="LOF" w:date="2018-05-08T12:50:00Z">
        <w:r>
          <w:delText xml:space="preserve">in the case of a NTS Connected System Exit Point, where a Storage Facility is connected to the Total System at the NTS Connected System Exit Point and in relation to which such facility the User is storage use gas provider, an amount equal to: </w:delText>
        </w:r>
      </w:del>
    </w:p>
    <w:p>
      <w:pPr>
        <w:pStyle w:val="PageTabSpacer"/>
        <w:tabs>
          <w:tab w:val="clear" w:pos="0"/>
          <w:tab w:val="clear" w:pos="567"/>
          <w:tab w:val="clear" w:pos="1134"/>
        </w:tabs>
        <w:rPr>
          <w:del w:id="853" w:author="LOF" w:date="2018-05-08T12:50:00Z"/>
          <w:rFonts w:ascii="Times New Roman" w:hAnsi="Times New Roman"/>
          <w:sz w:val="22"/>
        </w:rPr>
      </w:pPr>
      <w:del w:id="854" w:author="LOF" w:date="2018-05-08T12:50:00Z">
        <w:r>
          <w:rPr>
            <w:rFonts w:ascii="Times New Roman" w:hAnsi="Times New Roman"/>
            <w:sz w:val="22"/>
          </w:rPr>
          <w:delText>(SUG  /  n)  *  CR</w:delText>
        </w:r>
      </w:del>
    </w:p>
    <w:p>
      <w:pPr>
        <w:pStyle w:val="Body-5"/>
        <w:rPr>
          <w:del w:id="855" w:author="LOF" w:date="2018-05-08T12:50:00Z"/>
        </w:rPr>
      </w:pPr>
      <w:del w:id="856" w:author="LOF" w:date="2018-05-08T12:50:00Z">
        <w:r>
          <w:delText xml:space="preserve">where: </w:delText>
        </w:r>
      </w:del>
    </w:p>
    <w:p>
      <w:pPr>
        <w:pStyle w:val="Body-5"/>
        <w:ind w:left="2100" w:hanging="660"/>
        <w:rPr>
          <w:del w:id="857" w:author="LOF" w:date="2018-05-08T12:50:00Z"/>
        </w:rPr>
      </w:pPr>
      <w:del w:id="858" w:author="LOF" w:date="2018-05-08T12:50:00Z">
        <w:r>
          <w:delText>SUG</w:delText>
        </w:r>
        <w:r>
          <w:tab/>
          <w:delText xml:space="preserve">is the quantity of storage use gas attributed to the User and is notified to National Grid NTS pursuant to the terms of the Storage Connection Agreement in respect of the NTS Storage Facility; </w:delText>
        </w:r>
      </w:del>
    </w:p>
    <w:p>
      <w:pPr>
        <w:pStyle w:val="Body-5"/>
        <w:ind w:left="2100" w:hanging="660"/>
        <w:rPr>
          <w:del w:id="859" w:author="LOF" w:date="2018-05-08T12:50:00Z"/>
        </w:rPr>
      </w:pPr>
      <w:del w:id="860" w:author="LOF" w:date="2018-05-08T12:50:00Z">
        <w:r>
          <w:delText>n</w:delText>
        </w:r>
        <w:r>
          <w:tab/>
          <w:delText>is the number of days in the calendar month in which such Day falls; and</w:delText>
        </w:r>
      </w:del>
    </w:p>
    <w:p>
      <w:pPr>
        <w:pStyle w:val="Body-5"/>
        <w:ind w:left="2100" w:hanging="660"/>
        <w:rPr>
          <w:del w:id="861" w:author="LOF" w:date="2018-05-08T12:50:00Z"/>
        </w:rPr>
      </w:pPr>
      <w:del w:id="862" w:author="LOF" w:date="2018-05-08T12:50:00Z">
        <w:r>
          <w:delText>CR</w:delText>
        </w:r>
        <w:r>
          <w:tab/>
          <w:delText>is the Applicable Commodity Rate(s) that would apply in relation to a NTS Connected System Exit Point in the event the gas flowing out of the Total System at such System Point was not being delivered into a Storage Facility.</w:delText>
        </w:r>
        <w:bookmarkStart w:id="863" w:name="_DV_M368"/>
        <w:bookmarkEnd w:id="863"/>
      </w:del>
    </w:p>
    <w:p>
      <w:pPr>
        <w:pStyle w:val="Level-3"/>
        <w:rPr>
          <w:del w:id="864" w:author="LOF" w:date="2018-05-08T12:50:00Z"/>
        </w:rPr>
      </w:pPr>
      <w:del w:id="865" w:author="LOF" w:date="2018-05-08T12:50:00Z">
        <w:r>
          <w:delText>No charges are payable by DNO Users in respect of NTS Exit (Flexibility) Capacity.</w:delText>
        </w:r>
        <w:bookmarkStart w:id="866" w:name="_DV_M369"/>
        <w:bookmarkEnd w:id="866"/>
      </w:del>
    </w:p>
    <w:p>
      <w:pPr>
        <w:pStyle w:val="Level-3"/>
        <w:rPr>
          <w:del w:id="867" w:author="LOF" w:date="2018-05-08T12:50:00Z"/>
        </w:rPr>
      </w:pPr>
      <w:del w:id="868" w:author="LOF" w:date="2018-05-08T12:50:00Z">
        <w:r>
          <w:delText>A User may elect that, for the purposes of paragraph 3.12.5, the Applicable Commodity Rate of the NTS Exit (Flat) Commodity Charge in respect of a Specified Exit Point shall be the NTS Optional Commodity Rate, determined in accordance with paragraphs 3.12.9 to 3.12.14 (inclusive).</w:delText>
        </w:r>
        <w:bookmarkStart w:id="869" w:name="_DV_M371"/>
        <w:bookmarkStart w:id="870" w:name="_Ref61424600"/>
        <w:bookmarkEnd w:id="869"/>
      </w:del>
    </w:p>
    <w:p>
      <w:pPr>
        <w:pStyle w:val="Level-3"/>
        <w:rPr>
          <w:del w:id="871" w:author="LOF" w:date="2018-05-08T12:50:00Z"/>
        </w:rPr>
      </w:pPr>
      <w:del w:id="872" w:author="LOF" w:date="2018-05-08T12:50:00Z">
        <w:r>
          <w:delText>For the purposes of Code:</w:delText>
        </w:r>
        <w:bookmarkStart w:id="873" w:name="_DV_M372"/>
        <w:bookmarkEnd w:id="873"/>
      </w:del>
    </w:p>
    <w:p>
      <w:pPr>
        <w:pStyle w:val="Level-4a"/>
        <w:rPr>
          <w:del w:id="874" w:author="LOF" w:date="2018-05-08T12:50:00Z"/>
        </w:rPr>
      </w:pPr>
      <w:del w:id="875" w:author="LOF" w:date="2018-05-08T12:50:00Z">
        <w:r>
          <w:delText xml:space="preserve">an </w:delText>
        </w:r>
        <w:r>
          <w:rPr>
            <w:b/>
            <w:bCs/>
          </w:rPr>
          <w:delText>"Eligible Entry Point"</w:delText>
        </w:r>
        <w:r>
          <w:delText xml:space="preserve"> is an Aggregate System Entry Point which is not a Storage Connection Point;</w:delText>
        </w:r>
        <w:bookmarkStart w:id="876" w:name="_DV_M373"/>
        <w:bookmarkEnd w:id="876"/>
      </w:del>
    </w:p>
    <w:p>
      <w:pPr>
        <w:pStyle w:val="Level-4a"/>
        <w:rPr>
          <w:del w:id="877" w:author="LOF" w:date="2018-05-08T12:50:00Z"/>
        </w:rPr>
      </w:pPr>
      <w:del w:id="878" w:author="LOF" w:date="2018-05-08T12:50:00Z">
        <w:r>
          <w:delText xml:space="preserve">an </w:delText>
        </w:r>
        <w:r>
          <w:rPr>
            <w:b/>
            <w:bCs/>
          </w:rPr>
          <w:delText>"Eligible Exit Point"</w:delText>
        </w:r>
        <w:r>
          <w:delText xml:space="preserve"> is a System Exit Point which is not a Storage Connection Point;</w:delText>
        </w:r>
      </w:del>
    </w:p>
    <w:p>
      <w:pPr>
        <w:pStyle w:val="Level-4a"/>
        <w:rPr>
          <w:del w:id="879" w:author="LOF" w:date="2018-05-08T12:50:00Z"/>
        </w:rPr>
      </w:pPr>
      <w:del w:id="880" w:author="LOF" w:date="2018-05-08T12:50:00Z">
        <w:r>
          <w:delText xml:space="preserve">a </w:delText>
        </w:r>
        <w:r>
          <w:rPr>
            <w:b/>
            <w:bCs/>
          </w:rPr>
          <w:delText>"Specified Entry Point"</w:delText>
        </w:r>
        <w:r>
          <w:delText xml:space="preserve"> is, in the case of a Supply Point, the Eligible Entry Point identified in the User's Nomination in accordance with Section G2.3.2 or, in the case of a CSEP, the Eligible Entry Point identified in the Conventional Notice in accordance with paragraph 3.12.13</w:delText>
        </w:r>
        <w:bookmarkStart w:id="881" w:name="_DV_M374"/>
        <w:bookmarkEnd w:id="881"/>
        <w:r>
          <w:delText>. Where the Eligible Entry Point is either the Bacton IP ASEP or the Bacton UKCS ASEP, the Specified Entry Point shall be deemed to be the Bacton Combined ASEP;</w:delText>
        </w:r>
      </w:del>
    </w:p>
    <w:p>
      <w:pPr>
        <w:pStyle w:val="Level-4a"/>
        <w:rPr>
          <w:del w:id="882" w:author="LOF" w:date="2018-05-08T12:50:00Z"/>
        </w:rPr>
      </w:pPr>
      <w:del w:id="883" w:author="LOF" w:date="2018-05-08T12:50:00Z">
        <w:r>
          <w:delText xml:space="preserve">the </w:delText>
        </w:r>
        <w:r>
          <w:rPr>
            <w:b/>
          </w:rPr>
          <w:delText>“Bacton Combined ASEP”</w:delText>
        </w:r>
        <w:r>
          <w:delText xml:space="preserve"> shall comprise of the Bacton UKCS ASEP and the Bacton IP ASEP which are System Entry Points in close physical proximity to each other and each form part of contiguous entry terminal facilities;</w:delText>
        </w:r>
      </w:del>
    </w:p>
    <w:p>
      <w:pPr>
        <w:pStyle w:val="Level-4a"/>
        <w:rPr>
          <w:del w:id="884" w:author="LOF" w:date="2018-05-08T12:50:00Z"/>
        </w:rPr>
      </w:pPr>
      <w:del w:id="885" w:author="LOF" w:date="2018-05-08T12:50:00Z">
        <w:r>
          <w:delText xml:space="preserve">a </w:delText>
        </w:r>
        <w:r>
          <w:rPr>
            <w:b/>
            <w:bCs/>
          </w:rPr>
          <w:delText>"Specified Exit Point"</w:delText>
        </w:r>
        <w:r>
          <w:delText xml:space="preserve"> is, in the case of a Supply Point, the Eligible Exit Point notified to National Grid NTS as the Proposed Supply Point in the </w:delText>
        </w:r>
        <w:r>
          <w:lastRenderedPageBreak/>
          <w:delText>User's Nomination in accordance with Section G2.3.2 or, in the case of a CSEP, the System Exit Point identified as the CSEP in the Conventional Notice in accordance with paragraph 3.12.13.</w:delText>
        </w:r>
        <w:bookmarkStart w:id="886" w:name="_DV_M375"/>
        <w:bookmarkEnd w:id="886"/>
      </w:del>
    </w:p>
    <w:p>
      <w:pPr>
        <w:pStyle w:val="Level-3"/>
        <w:rPr>
          <w:del w:id="887" w:author="LOF" w:date="2018-05-08T12:50:00Z"/>
        </w:rPr>
      </w:pPr>
      <w:del w:id="888" w:author="LOF" w:date="2018-05-08T12:50:00Z">
        <w:r>
          <w:delText>The NTS Exit (Flat) Commodity Charge payable (for any Day) by a Registered User or CSEP User will be determined (for each Specified Exit Point) as:</w:delText>
        </w:r>
        <w:bookmarkStart w:id="889" w:name="_DV_M376"/>
        <w:bookmarkEnd w:id="889"/>
      </w:del>
    </w:p>
    <w:p>
      <w:pPr>
        <w:pStyle w:val="Level-4a"/>
        <w:rPr>
          <w:del w:id="890" w:author="LOF" w:date="2018-05-08T12:50:00Z"/>
        </w:rPr>
      </w:pPr>
      <w:del w:id="891" w:author="LOF" w:date="2018-05-08T12:50:00Z">
        <w:r>
          <w:delText xml:space="preserve">the UDQO multiplied by the NTS Optional Commodity Rate applicable for the capacity (calculated in accordance with paragraph 3.12.10) and the distance (calculated in accordance with paragraph 3.12.11); </w:delText>
        </w:r>
        <w:bookmarkStart w:id="892" w:name="_DV_M377"/>
        <w:bookmarkEnd w:id="892"/>
      </w:del>
    </w:p>
    <w:p>
      <w:pPr>
        <w:pStyle w:val="Level-4a"/>
        <w:rPr>
          <w:del w:id="893" w:author="LOF" w:date="2018-05-08T12:50:00Z"/>
        </w:rPr>
      </w:pPr>
      <w:del w:id="894" w:author="LOF" w:date="2018-05-08T12:50:00Z">
        <w:r>
          <w:delText>where the UDQI is less than the UDQO, the UDQO minus the UDQI multiplied by the difference between such NTS Commodity Rate as would apply if paragraphs 3.12.9 to 3.12.14 (inclusive) did not apply and the NTS Optional Commodity Rate;</w:delText>
        </w:r>
      </w:del>
    </w:p>
    <w:p>
      <w:pPr>
        <w:pStyle w:val="Body-2"/>
        <w:rPr>
          <w:del w:id="895" w:author="LOF" w:date="2018-05-08T12:50:00Z"/>
        </w:rPr>
      </w:pPr>
      <w:del w:id="896" w:author="LOF" w:date="2018-05-08T12:50:00Z">
        <w:r>
          <w:delText>provided that, where a User has nominated or identified more than one Specified Exit Point at a Specified Entry Point, the UDQI shall be prorated in relation to the UDQOs at the relevant Specified Exit Points</w:delText>
        </w:r>
        <w:bookmarkStart w:id="897" w:name="_DV_M379"/>
        <w:bookmarkEnd w:id="897"/>
        <w:r>
          <w:delText>.</w:delText>
        </w:r>
      </w:del>
    </w:p>
    <w:p>
      <w:pPr>
        <w:pStyle w:val="Level-3"/>
        <w:rPr>
          <w:del w:id="898" w:author="LOF" w:date="2018-05-08T12:50:00Z"/>
        </w:rPr>
      </w:pPr>
      <w:del w:id="899" w:author="LOF" w:date="2018-05-08T12:50:00Z">
        <w:r>
          <w:delText>For</w:delText>
        </w:r>
        <w:bookmarkStart w:id="900" w:name="_DV_M380"/>
        <w:bookmarkStart w:id="901" w:name="_Ref61776085"/>
        <w:bookmarkEnd w:id="900"/>
        <w:r>
          <w:delText xml:space="preserve"> the purposes of paragraphs 3.12.9 to 3.12.14 (inclusive), the capacity of the Specified Exit Point shall be the Supply Point Capacity, provided:</w:delText>
        </w:r>
        <w:bookmarkStart w:id="902" w:name="_DV_M381"/>
        <w:bookmarkEnd w:id="901"/>
        <w:bookmarkEnd w:id="902"/>
      </w:del>
    </w:p>
    <w:p>
      <w:pPr>
        <w:pStyle w:val="Level-4a"/>
        <w:rPr>
          <w:del w:id="903" w:author="LOF" w:date="2018-05-08T12:50:00Z"/>
        </w:rPr>
      </w:pPr>
      <w:del w:id="904" w:author="LOF" w:date="2018-05-08T12:50:00Z">
        <w:r>
          <w:delText>in the case of an LDZ Supply Point the capacity shall be determined in accordance with Section G5.4.1, except</w:delText>
        </w:r>
        <w:bookmarkStart w:id="905" w:name="_DV_M382"/>
        <w:bookmarkStart w:id="906" w:name="_DV_M383"/>
        <w:bookmarkEnd w:id="905"/>
        <w:bookmarkEnd w:id="906"/>
        <w:r>
          <w:delText xml:space="preserve"> for a LDZ Shared Supply Point in which case the capacity shall be determined in accordance with Section G1.7.17;</w:delText>
        </w:r>
        <w:bookmarkStart w:id="907" w:name="_DV_M384"/>
        <w:bookmarkEnd w:id="907"/>
      </w:del>
    </w:p>
    <w:p>
      <w:pPr>
        <w:pStyle w:val="Level-5r"/>
        <w:rPr>
          <w:del w:id="908" w:author="LOF" w:date="2018-05-08T12:50:00Z"/>
        </w:rPr>
      </w:pPr>
      <w:del w:id="909" w:author="LOF" w:date="2018-05-08T12:50:00Z">
        <w:r>
          <w:delText>for an LDZ CSEP the capacity shall be determined in accordance with paragraph 4.5.2;</w:delText>
        </w:r>
        <w:bookmarkStart w:id="910" w:name="_DV_M385"/>
        <w:bookmarkEnd w:id="910"/>
      </w:del>
    </w:p>
    <w:p>
      <w:pPr>
        <w:pStyle w:val="Level-4a"/>
        <w:rPr>
          <w:del w:id="911" w:author="LOF" w:date="2018-05-08T12:50:00Z"/>
        </w:rPr>
      </w:pPr>
      <w:del w:id="912" w:author="LOF" w:date="2018-05-08T12:50:00Z">
        <w:r>
          <w:delText>in the case of an NTS Exit Point the capacity shall be equal to 24 times the Maximum NTS Exit Point Offtake Rate, except:</w:delText>
        </w:r>
        <w:bookmarkStart w:id="913" w:name="_DV_M386"/>
        <w:bookmarkEnd w:id="913"/>
      </w:del>
    </w:p>
    <w:p>
      <w:pPr>
        <w:pStyle w:val="Level-5r"/>
        <w:rPr>
          <w:del w:id="914" w:author="LOF" w:date="2018-05-08T12:50:00Z"/>
        </w:rPr>
      </w:pPr>
      <w:del w:id="915" w:author="LOF" w:date="2018-05-08T12:50:00Z">
        <w:r>
          <w:delText>for an NTS Exit Point in respect of a pipeline interconnector having no physical exit capability which is both a Connected Offtake System and a Connected Delivery Facility, the capacity shall be equal to 24 times the amount (where positive) determined as the instantaneous rate (in kWh/Hour) which the Transporter determines to be the maximum instantaneous rate at which it is feasible to deliver gas to the NTS at the System Entry Point associated with such Connected Delivery Facility.</w:delText>
        </w:r>
      </w:del>
    </w:p>
    <w:p>
      <w:pPr>
        <w:pStyle w:val="Level-3"/>
        <w:rPr>
          <w:del w:id="916" w:author="LOF" w:date="2018-05-08T12:50:00Z"/>
        </w:rPr>
      </w:pPr>
      <w:del w:id="917" w:author="LOF" w:date="2018-05-08T12:50:00Z">
        <w:r>
          <w:delText xml:space="preserve">The </w:delText>
        </w:r>
        <w:bookmarkStart w:id="918" w:name="_DV_M387"/>
        <w:bookmarkStart w:id="919" w:name="_Ref61776109"/>
        <w:bookmarkEnd w:id="918"/>
        <w:r>
          <w:delText>distance (to the nearest 0.1 km) from the Specified Entry Point to the curtilage of the Specified Exit Point or the offtake from the Total System at the Specified Exit Point (whichever is the lesser) shall be calculated on a straight line basis as the minimum of each of the distances between each System Entry Point within the Specified Entry Point and the Specified Exit Point using six figure grid references. National Grid NTS shall determine a six figure grid reference for each Specified Entry Point and each Specified Exit Point (which may be revised in accordance with paragraph 3.12.13(c) or Section G2.4.12).</w:delText>
        </w:r>
        <w:bookmarkStart w:id="920" w:name="_DV_M388"/>
        <w:bookmarkStart w:id="921" w:name="_DV_M389"/>
        <w:bookmarkEnd w:id="919"/>
        <w:bookmarkEnd w:id="920"/>
        <w:bookmarkEnd w:id="921"/>
      </w:del>
    </w:p>
    <w:p>
      <w:pPr>
        <w:pStyle w:val="Level-3"/>
        <w:rPr>
          <w:del w:id="922" w:author="LOF" w:date="2018-05-08T12:50:00Z"/>
        </w:rPr>
      </w:pPr>
      <w:del w:id="923" w:author="LOF" w:date="2018-05-08T12:50:00Z">
        <w:r>
          <w:delText>An application for the NTS Optional Commodity Rate for a Supply Point shall be made in accordance with the provisions of Section G2.3.2 or G2.3.9 (as the case may be) and, for a CSEP, shall be made in accordance with the provisions of paragraph 3.12.13.</w:delText>
        </w:r>
        <w:bookmarkStart w:id="924" w:name="_DV_M390"/>
        <w:bookmarkEnd w:id="924"/>
      </w:del>
    </w:p>
    <w:p>
      <w:pPr>
        <w:pStyle w:val="Level-3"/>
        <w:rPr>
          <w:del w:id="925" w:author="LOF" w:date="2018-05-08T12:50:00Z"/>
        </w:rPr>
      </w:pPr>
      <w:del w:id="926" w:author="LOF" w:date="2018-05-08T12:50:00Z">
        <w:r>
          <w:lastRenderedPageBreak/>
          <w:delText>A</w:delText>
        </w:r>
        <w:bookmarkStart w:id="927" w:name="_DV_M391"/>
        <w:bookmarkStart w:id="928" w:name="_Ref61776236"/>
        <w:bookmarkEnd w:id="927"/>
        <w:r>
          <w:delText xml:space="preserve"> CSEP User, or a Proposing CSEP User, may apply for the NTS Optional Commodity Rate in the following manner:</w:delText>
        </w:r>
        <w:bookmarkStart w:id="929" w:name="_DV_M392"/>
        <w:bookmarkStart w:id="930" w:name="_Ref61776415"/>
        <w:bookmarkEnd w:id="928"/>
        <w:bookmarkEnd w:id="929"/>
      </w:del>
    </w:p>
    <w:p>
      <w:pPr>
        <w:pStyle w:val="Level-4a"/>
        <w:rPr>
          <w:del w:id="931" w:author="LOF" w:date="2018-05-08T12:50:00Z"/>
        </w:rPr>
      </w:pPr>
      <w:del w:id="932" w:author="LOF" w:date="2018-05-08T12:50:00Z">
        <w:r>
          <w:delText>by notice to National Grid NTS stating the CSEP User, the Specified Exit Point and the Specified Entry Point; and</w:delText>
        </w:r>
        <w:bookmarkStart w:id="933" w:name="_DV_M393"/>
        <w:bookmarkEnd w:id="930"/>
        <w:bookmarkEnd w:id="933"/>
      </w:del>
    </w:p>
    <w:p>
      <w:pPr>
        <w:pStyle w:val="Level-4a"/>
        <w:rPr>
          <w:del w:id="934" w:author="LOF" w:date="2018-05-08T12:50:00Z"/>
        </w:rPr>
      </w:pPr>
      <w:del w:id="935" w:author="LOF" w:date="2018-05-08T12:50:00Z">
        <w:r>
          <w:delText>National Grid NTS shall offer the NTS Optional Commodity Rate and shall provide the distance between the Specified Exit Point and the Specified Entry Point, the capacity of the CSEP determined in accordance with paragraph 3.12.10 and the six figure grid references used; and</w:delText>
        </w:r>
        <w:bookmarkStart w:id="936" w:name="_Ref61776328"/>
        <w:bookmarkStart w:id="937" w:name="_DV_M395"/>
        <w:bookmarkEnd w:id="936"/>
        <w:bookmarkEnd w:id="937"/>
      </w:del>
    </w:p>
    <w:p>
      <w:pPr>
        <w:pStyle w:val="Level-4a"/>
        <w:rPr>
          <w:del w:id="938" w:author="LOF" w:date="2018-05-08T12:50:00Z"/>
        </w:rPr>
      </w:pPr>
      <w:del w:id="939" w:author="LOF" w:date="2018-05-08T12:50:00Z">
        <w:r>
          <w:delText>where the CSEP User disputes the distance specified by National Grid NTS under paragraph (b), the CSEP User may resubmit an application in accordance with paragraph (a) stating an alternative six figure grid reference for the Specified Exit Point with supporting evidence of calculation; and</w:delText>
        </w:r>
        <w:bookmarkStart w:id="940" w:name="_DV_M396"/>
        <w:bookmarkEnd w:id="940"/>
      </w:del>
    </w:p>
    <w:p>
      <w:pPr>
        <w:pStyle w:val="Level-4a"/>
        <w:rPr>
          <w:del w:id="941" w:author="LOF" w:date="2018-05-08T12:50:00Z"/>
        </w:rPr>
      </w:pPr>
      <w:del w:id="942" w:author="LOF" w:date="2018-05-08T12:50:00Z">
        <w:r>
          <w:delText>the CSEP User shall confirm acceptance of the offer made in accordance with paragraph (b) not earlier than fifteen (15) days after the submission of the confirmation (or such lesser period as National Grid NTS may specify) and not later than six months from the date of the offer.</w:delText>
        </w:r>
        <w:bookmarkStart w:id="943" w:name="_DV_M397"/>
        <w:bookmarkEnd w:id="870"/>
        <w:bookmarkEnd w:id="943"/>
      </w:del>
    </w:p>
    <w:p>
      <w:pPr>
        <w:pStyle w:val="Level-3"/>
        <w:rPr>
          <w:del w:id="944" w:author="LOF" w:date="2018-05-08T12:50:00Z"/>
        </w:rPr>
      </w:pPr>
      <w:del w:id="945" w:author="LOF" w:date="2018-05-08T12:50:00Z">
        <w:r>
          <w:delText>Where National Grid NTS accepts a daily capacity offer made by a User pursuant to paragraph 3.11, National Grid NTS will pay to the User a charge (</w:delText>
        </w:r>
        <w:r>
          <w:rPr>
            <w:b/>
            <w:bCs/>
          </w:rPr>
          <w:delText>"NTS Exit Capacity (Flat) Surrender Charge"</w:delText>
        </w:r>
        <w:r>
          <w:delText>) determined as the amount of the NTS Exit (Flat) Capacity for which the offer was accepted multiplied by the offer price.</w:delText>
        </w:r>
        <w:bookmarkStart w:id="946" w:name="_DV_M398"/>
        <w:bookmarkEnd w:id="946"/>
      </w:del>
    </w:p>
    <w:p>
      <w:pPr>
        <w:pStyle w:val="Level-3"/>
        <w:rPr>
          <w:lang w:val="en-GB"/>
        </w:rPr>
      </w:pPr>
      <w:bookmarkStart w:id="947" w:name="_Ref513715361"/>
      <w:r>
        <w:rPr>
          <w:lang w:val="en-GB"/>
        </w:rPr>
        <w:t xml:space="preserve">Where </w:t>
      </w:r>
      <w:bookmarkStart w:id="948" w:name="_9kMI9P6ZWu4569GOgFs1x3qpWX6t"/>
      <w:bookmarkStart w:id="949" w:name="_9kMH7O6ZWu5997BCXFs1x3qpWX6tZKQ"/>
      <w:r>
        <w:rPr>
          <w:lang w:val="en-GB"/>
        </w:rPr>
        <w:t>National Grid</w:t>
      </w:r>
      <w:bookmarkEnd w:id="948"/>
      <w:r>
        <w:rPr>
          <w:lang w:val="en-GB"/>
        </w:rPr>
        <w:t xml:space="preserve"> NTS</w:t>
      </w:r>
      <w:bookmarkEnd w:id="949"/>
      <w:r>
        <w:rPr>
          <w:lang w:val="en-GB"/>
        </w:rPr>
        <w:t xml:space="preserve"> accepts an offtake reduction offer made by a </w:t>
      </w:r>
      <w:bookmarkStart w:id="950" w:name="_9kR3WTr2AA6BDebss48BAExrBIEWQA2Dll"/>
      <w:r>
        <w:rPr>
          <w:lang w:val="en-GB"/>
        </w:rPr>
        <w:t xml:space="preserve">User pursuant to </w:t>
      </w:r>
      <w:bookmarkStart w:id="951" w:name="_9kR3WTr2CC59HPCwozXX"/>
      <w:r>
        <w:rPr>
          <w:lang w:val="en-GB"/>
        </w:rPr>
        <w:t>Annex B-2</w:t>
      </w:r>
      <w:bookmarkEnd w:id="950"/>
      <w:bookmarkEnd w:id="951"/>
      <w:r>
        <w:rPr>
          <w:lang w:val="en-GB"/>
        </w:rPr>
        <w:t xml:space="preserve">, </w:t>
      </w:r>
      <w:bookmarkStart w:id="952" w:name="_9kMJ1G6ZWu4569GOgFs1x3qpWX6t"/>
      <w:bookmarkStart w:id="953" w:name="_9kMH8P6ZWu5997BCXFs1x3qpWX6tZKQ"/>
      <w:bookmarkStart w:id="954" w:name="_9kMIH5YVt9ID89Ec7Dh4uy3t3"/>
      <w:r>
        <w:rPr>
          <w:lang w:val="en-GB"/>
        </w:rPr>
        <w:t>National Grid</w:t>
      </w:r>
      <w:bookmarkEnd w:id="952"/>
      <w:r>
        <w:rPr>
          <w:lang w:val="en-GB"/>
        </w:rPr>
        <w:t xml:space="preserve"> NTS</w:t>
      </w:r>
      <w:bookmarkEnd w:id="953"/>
      <w:r>
        <w:rPr>
          <w:lang w:val="en-GB"/>
        </w:rPr>
        <w:t xml:space="preserve"> will pay to</w:t>
      </w:r>
      <w:bookmarkEnd w:id="954"/>
      <w:r>
        <w:rPr>
          <w:lang w:val="en-GB"/>
        </w:rPr>
        <w:t xml:space="preserve"> the </w:t>
      </w:r>
      <w:bookmarkStart w:id="955" w:name="_9kMI8O6ZWu5997GMjevv"/>
      <w:r>
        <w:rPr>
          <w:lang w:val="en-GB"/>
        </w:rPr>
        <w:t>User</w:t>
      </w:r>
      <w:bookmarkEnd w:id="955"/>
      <w:r>
        <w:rPr>
          <w:lang w:val="en-GB"/>
        </w:rPr>
        <w:t xml:space="preserve"> a charge (</w:t>
      </w:r>
      <w:r>
        <w:rPr>
          <w:b/>
          <w:lang w:val="en-GB"/>
        </w:rPr>
        <w:t>"</w:t>
      </w:r>
      <w:bookmarkStart w:id="956" w:name="_9kR3WTr1BC4EOd5B7LjyumrZUn444B7DcRw7E2"/>
      <w:bookmarkStart w:id="957" w:name="_9kR3WTr1786EGX5B7LjyumrZUn444B7DcRw7E2"/>
      <w:r>
        <w:rPr>
          <w:b/>
          <w:lang w:val="en-GB"/>
        </w:rPr>
        <w:t>NTS Offtake Reduction Charge</w:t>
      </w:r>
      <w:bookmarkEnd w:id="956"/>
      <w:bookmarkEnd w:id="957"/>
      <w:r>
        <w:rPr>
          <w:b/>
          <w:lang w:val="en-GB"/>
        </w:rPr>
        <w:t>"</w:t>
      </w:r>
      <w:r>
        <w:rPr>
          <w:lang w:val="en-GB"/>
        </w:rPr>
        <w:t>) determined as the quantity for which the offtake reduction offer was accepted multiplied by the offer price.</w:t>
      </w:r>
      <w:bookmarkStart w:id="958" w:name="_DV_M399"/>
      <w:bookmarkEnd w:id="841"/>
      <w:bookmarkEnd w:id="947"/>
      <w:bookmarkEnd w:id="958"/>
    </w:p>
    <w:p>
      <w:pPr>
        <w:pStyle w:val="Level-3"/>
        <w:rPr>
          <w:ins w:id="959" w:author="LOF" w:date="2018-05-08T12:50:00Z"/>
          <w:lang w:val="en-GB"/>
        </w:rPr>
      </w:pPr>
      <w:bookmarkStart w:id="960" w:name="_9kR3WTr8E857ADCCDK"/>
      <w:bookmarkStart w:id="961" w:name="_Ref513715380"/>
      <w:bookmarkStart w:id="962" w:name="_9kR3WTr34358ACCCDKnUmMHvw1ythfCsr52LLCJ"/>
      <w:bookmarkEnd w:id="960"/>
      <w:ins w:id="963" w:author="LOF" w:date="2018-05-08T12:50:00Z">
        <w:r>
          <w:rPr>
            <w:lang w:val="en-GB"/>
          </w:rPr>
          <w:t xml:space="preserve">The </w:t>
        </w:r>
        <w:bookmarkStart w:id="964" w:name="_9kMLK5YVt3AB8FJUBpqvsnbZ6mlzwFF6DOFCIxj"/>
        <w:r>
          <w:rPr>
            <w:lang w:val="en-GB"/>
          </w:rPr>
          <w:t>General Non-</w:t>
        </w:r>
        <w:bookmarkStart w:id="965" w:name="_9kMJI5YVt9ID8BFgNtB3lizYIny5t"/>
        <w:r>
          <w:rPr>
            <w:lang w:val="en-GB"/>
          </w:rPr>
          <w:t>Transmission Services Charge</w:t>
        </w:r>
        <w:bookmarkEnd w:id="964"/>
        <w:bookmarkEnd w:id="965"/>
        <w:r>
          <w:rPr>
            <w:lang w:val="en-GB"/>
          </w:rPr>
          <w:t xml:space="preserve"> payable by a </w:t>
        </w:r>
        <w:bookmarkStart w:id="966" w:name="_9kMI9P6ZWu5997GMjevv"/>
        <w:r>
          <w:rPr>
            <w:lang w:val="en-GB"/>
          </w:rPr>
          <w:t>User</w:t>
        </w:r>
        <w:bookmarkEnd w:id="966"/>
        <w:r>
          <w:rPr>
            <w:lang w:val="en-GB"/>
          </w:rPr>
          <w:t xml:space="preserve"> in respect of </w:t>
        </w:r>
        <w:bookmarkStart w:id="967" w:name="_9kMON5YVt3678FEnbaiK80"/>
        <w:r>
          <w:rPr>
            <w:lang w:val="en-GB"/>
          </w:rPr>
          <w:t>each Day</w:t>
        </w:r>
        <w:bookmarkEnd w:id="967"/>
        <w:r>
          <w:rPr>
            <w:lang w:val="en-GB"/>
          </w:rPr>
          <w:t xml:space="preserve"> will be determined:</w:t>
        </w:r>
        <w:bookmarkEnd w:id="961"/>
        <w:bookmarkEnd w:id="962"/>
      </w:ins>
    </w:p>
    <w:p>
      <w:pPr>
        <w:pStyle w:val="Level-4a"/>
        <w:ind w:left="2118" w:hanging="720"/>
        <w:rPr>
          <w:ins w:id="968" w:author="LOF" w:date="2018-05-08T12:50:00Z"/>
          <w:lang w:val="en-GB"/>
        </w:rPr>
      </w:pPr>
      <w:ins w:id="969" w:author="LOF" w:date="2018-05-08T12:50:00Z">
        <w:r>
          <w:rPr>
            <w:lang w:val="en-GB"/>
          </w:rPr>
          <w:t xml:space="preserve">for each </w:t>
        </w:r>
        <w:bookmarkStart w:id="970" w:name="_9kR3WTr2664CIefC8vpQW74mc22E6BAzIB0BAqy"/>
        <w:r>
          <w:rPr>
            <w:lang w:val="en-GB"/>
          </w:rPr>
          <w:t xml:space="preserve">System Exit Point </w:t>
        </w:r>
      </w:ins>
      <w:ins w:id="971" w:author="Dentons" w:date="2018-05-10T11:28:00Z">
        <w:r>
          <w:rPr>
            <w:lang w:val="en-GB"/>
          </w:rPr>
          <w:t>excluding</w:t>
        </w:r>
      </w:ins>
      <w:ins w:id="972" w:author="LOF" w:date="2018-05-08T12:50:00Z">
        <w:r>
          <w:rPr>
            <w:lang w:val="en-GB"/>
          </w:rPr>
          <w:t xml:space="preserve"> Storage Connection Point</w:t>
        </w:r>
      </w:ins>
      <w:ins w:id="973" w:author="Dentons" w:date="2018-05-10T11:28:00Z">
        <w:r>
          <w:rPr>
            <w:lang w:val="en-GB"/>
          </w:rPr>
          <w:t>s</w:t>
        </w:r>
      </w:ins>
      <w:bookmarkEnd w:id="970"/>
      <w:ins w:id="974" w:author="LOF" w:date="2018-05-08T12:50:00Z">
        <w:r>
          <w:rPr>
            <w:lang w:val="en-GB"/>
          </w:rPr>
          <w:t xml:space="preserve">, as the </w:t>
        </w:r>
        <w:bookmarkStart w:id="975" w:name="_9kR3WTr2664DLibssS6iuBriztD9ARxoQMOT"/>
        <w:r>
          <w:rPr>
            <w:lang w:val="en-GB"/>
          </w:rPr>
          <w:t xml:space="preserve">User </w:t>
        </w:r>
        <w:bookmarkStart w:id="976" w:name="_9kMH6N6ZWu4789FNW5htA"/>
        <w:r>
          <w:rPr>
            <w:lang w:val="en-GB"/>
          </w:rPr>
          <w:t>Daily</w:t>
        </w:r>
        <w:bookmarkEnd w:id="976"/>
        <w:r>
          <w:rPr>
            <w:lang w:val="en-GB"/>
          </w:rPr>
          <w:t xml:space="preserve"> Quantity Output</w:t>
        </w:r>
        <w:bookmarkEnd w:id="975"/>
        <w:r>
          <w:rPr>
            <w:lang w:val="en-GB"/>
          </w:rPr>
          <w:t>; and</w:t>
        </w:r>
      </w:ins>
    </w:p>
    <w:p>
      <w:pPr>
        <w:pStyle w:val="Level-4a"/>
        <w:ind w:left="2118" w:hanging="720"/>
        <w:rPr>
          <w:ins w:id="977" w:author="LOF" w:date="2018-05-08T12:50:00Z"/>
          <w:lang w:val="en-GB"/>
        </w:rPr>
      </w:pPr>
      <w:ins w:id="978" w:author="LOF" w:date="2018-05-08T12:50:00Z">
        <w:r>
          <w:rPr>
            <w:lang w:val="en-GB"/>
          </w:rPr>
          <w:t xml:space="preserve">for a </w:t>
        </w:r>
        <w:bookmarkStart w:id="979" w:name="_9kMHG5YVt4886EGcc54rhmJO66yo4B7DplBBN"/>
        <w:r>
          <w:rPr>
            <w:lang w:val="en-GB"/>
          </w:rPr>
          <w:t>Storage Connection Point</w:t>
        </w:r>
        <w:bookmarkEnd w:id="979"/>
        <w:r>
          <w:rPr>
            <w:lang w:val="en-GB"/>
          </w:rPr>
          <w:t xml:space="preserve"> in relation to which the </w:t>
        </w:r>
        <w:bookmarkStart w:id="980" w:name="_9kMJ1G6ZWu5997GMjevv"/>
        <w:r>
          <w:rPr>
            <w:lang w:val="en-GB"/>
          </w:rPr>
          <w:t>User</w:t>
        </w:r>
        <w:bookmarkEnd w:id="980"/>
        <w:r>
          <w:rPr>
            <w:lang w:val="en-GB"/>
          </w:rPr>
          <w:t xml:space="preserve"> is a storage use gas provider, as the </w:t>
        </w:r>
        <w:bookmarkStart w:id="981" w:name="_9kMJ2H6ZWu5997GMjevv"/>
        <w:r>
          <w:rPr>
            <w:lang w:val="en-GB"/>
          </w:rPr>
          <w:t>User's</w:t>
        </w:r>
        <w:bookmarkEnd w:id="981"/>
        <w:r>
          <w:rPr>
            <w:lang w:val="en-GB"/>
          </w:rPr>
          <w:t xml:space="preserve"> </w:t>
        </w:r>
        <w:bookmarkStart w:id="982" w:name="_9kMLK5YVt3678ELuags9"/>
        <w:r>
          <w:rPr>
            <w:lang w:val="en-GB"/>
          </w:rPr>
          <w:t>daily</w:t>
        </w:r>
        <w:bookmarkEnd w:id="982"/>
        <w:r>
          <w:rPr>
            <w:lang w:val="en-GB"/>
          </w:rPr>
          <w:t xml:space="preserve"> storage use gas quantity,</w:t>
        </w:r>
      </w:ins>
    </w:p>
    <w:p>
      <w:pPr>
        <w:pStyle w:val="Level-3"/>
        <w:numPr>
          <w:ilvl w:val="0"/>
          <w:numId w:val="0"/>
        </w:numPr>
        <w:ind w:left="1398"/>
        <w:rPr>
          <w:ins w:id="983" w:author="LOF" w:date="2018-05-08T12:50:00Z"/>
          <w:lang w:val="en-GB"/>
        </w:rPr>
      </w:pPr>
      <w:ins w:id="984" w:author="LOF" w:date="2018-05-08T12:50:00Z">
        <w:r>
          <w:rPr>
            <w:lang w:val="en-GB"/>
          </w:rPr>
          <w:t xml:space="preserve">multiplied by the </w:t>
        </w:r>
        <w:bookmarkStart w:id="985" w:name="_9kMIH5YVt39A8DKRG2ztleequMR87A2xEV4bAF"/>
        <w:r>
          <w:rPr>
            <w:lang w:val="en-GB"/>
          </w:rPr>
          <w:t>Applicable Commodity Rate</w:t>
        </w:r>
      </w:ins>
      <w:bookmarkEnd w:id="985"/>
      <w:ins w:id="986" w:author="Dentons" w:date="2018-05-10T11:28:00Z">
        <w:r>
          <w:rPr>
            <w:lang w:val="en-GB"/>
          </w:rPr>
          <w:t xml:space="preserve"> for such charge</w:t>
        </w:r>
      </w:ins>
      <w:ins w:id="987" w:author="LOF" w:date="2018-05-08T12:50:00Z">
        <w:r>
          <w:rPr>
            <w:lang w:val="en-GB"/>
          </w:rPr>
          <w:t xml:space="preserve"> as determined under </w:t>
        </w:r>
        <w:bookmarkStart w:id="988" w:name="_9kMIH5YVtCIA789BJOu6eCI4AFC7p34s1Ja"/>
        <w:r>
          <w:rPr>
            <w:lang w:val="en-GB"/>
          </w:rPr>
          <w:t>Section 3</w:t>
        </w:r>
        <w:bookmarkEnd w:id="988"/>
        <w:r>
          <w:rPr>
            <w:lang w:val="en-GB"/>
          </w:rPr>
          <w:t xml:space="preserve"> of the </w:t>
        </w:r>
        <w:bookmarkStart w:id="989" w:name="_9kMH0H6ZWu4BC9HKb8EFftq9C9CI23C8EdSx8F7"/>
        <w:r>
          <w:rPr>
            <w:lang w:val="en-GB"/>
          </w:rPr>
          <w:t>NTS Transportation Charging Methodology</w:t>
        </w:r>
        <w:bookmarkEnd w:id="989"/>
        <w:r>
          <w:rPr>
            <w:lang w:val="en-GB"/>
          </w:rPr>
          <w:t xml:space="preserve"> and set out in the </w:t>
        </w:r>
        <w:bookmarkStart w:id="990" w:name="_9kMLK5YVt4886EOlbpm5858Eyz84Apq56B568O"/>
        <w:r>
          <w:rPr>
            <w:lang w:val="en-GB"/>
          </w:rPr>
          <w:t>Transportation Statement</w:t>
        </w:r>
        <w:bookmarkEnd w:id="990"/>
        <w:r>
          <w:rPr>
            <w:lang w:val="en-GB"/>
          </w:rPr>
          <w:t>.</w:t>
        </w:r>
      </w:ins>
    </w:p>
    <w:p>
      <w:pPr>
        <w:pStyle w:val="Level-3"/>
        <w:rPr>
          <w:ins w:id="991" w:author="LOF" w:date="2018-05-08T12:50:00Z"/>
          <w:lang w:val="en-GB"/>
        </w:rPr>
      </w:pPr>
      <w:bookmarkStart w:id="992" w:name="_9kR3WTr34358BDCCDLaN6C3pyFIECG78J79589z"/>
      <w:bookmarkStart w:id="993" w:name="_Ref513715391"/>
      <w:ins w:id="994" w:author="LOF" w:date="2018-05-08T12:50:00Z">
        <w:r>
          <w:rPr>
            <w:lang w:val="en-GB"/>
          </w:rPr>
          <w:t xml:space="preserve">For the purposes of paragraph </w:t>
        </w:r>
      </w:ins>
      <w:ins w:id="995" w:author="Dentons" w:date="2018-05-10T11:35:00Z">
        <w:r>
          <w:rPr>
            <w:lang w:val="en-GB"/>
          </w:rPr>
          <w:fldChar w:fldCharType="begin"/>
        </w:r>
        <w:r>
          <w:rPr>
            <w:lang w:val="en-GB"/>
          </w:rPr>
          <w:instrText xml:space="preserve"> REF _Ref513715380 \w \h </w:instrText>
        </w:r>
      </w:ins>
      <w:r>
        <w:rPr>
          <w:lang w:val="en-GB"/>
        </w:rPr>
      </w:r>
      <w:r>
        <w:rPr>
          <w:lang w:val="en-GB"/>
        </w:rPr>
        <w:fldChar w:fldCharType="separate"/>
      </w:r>
      <w:bookmarkStart w:id="996" w:name="_9kMIH5YVt5657ACEEEFMpWoOJxy30vjhEut74NN"/>
      <w:r>
        <w:rPr>
          <w:lang w:val="en-GB"/>
        </w:rPr>
        <w:t>3.12.6</w:t>
      </w:r>
      <w:bookmarkEnd w:id="996"/>
      <w:ins w:id="997" w:author="Dentons" w:date="2018-05-10T11:35:00Z">
        <w:r>
          <w:rPr>
            <w:lang w:val="en-GB"/>
          </w:rPr>
          <w:fldChar w:fldCharType="end"/>
        </w:r>
      </w:ins>
      <w:bookmarkEnd w:id="992"/>
      <w:ins w:id="998" w:author="LOF" w:date="2018-05-08T12:50:00Z">
        <w:r>
          <w:rPr>
            <w:lang w:val="en-GB"/>
          </w:rPr>
          <w:t xml:space="preserve">, a </w:t>
        </w:r>
        <w:bookmarkStart w:id="999" w:name="_9kMJ3I6ZWu5997GMjevv"/>
        <w:r>
          <w:rPr>
            <w:lang w:val="en-GB"/>
          </w:rPr>
          <w:t>User's</w:t>
        </w:r>
        <w:bookmarkEnd w:id="999"/>
        <w:r>
          <w:rPr>
            <w:lang w:val="en-GB"/>
          </w:rPr>
          <w:t xml:space="preserve"> </w:t>
        </w:r>
        <w:bookmarkStart w:id="1000" w:name="_9kMML5YVt3678ELuags9"/>
        <w:r>
          <w:rPr>
            <w:lang w:val="en-GB"/>
          </w:rPr>
          <w:t>daily</w:t>
        </w:r>
        <w:bookmarkEnd w:id="1000"/>
        <w:r>
          <w:rPr>
            <w:lang w:val="en-GB"/>
          </w:rPr>
          <w:t xml:space="preserve"> storage use gas quantity for a Day in a month </w:t>
        </w:r>
        <w:bookmarkStart w:id="1001" w:name="_9kR3WTr8E856E1"/>
        <w:r>
          <w:rPr>
            <w:lang w:val="en-GB"/>
          </w:rPr>
          <w:t>(m)</w:t>
        </w:r>
        <w:bookmarkEnd w:id="1001"/>
        <w:r>
          <w:rPr>
            <w:lang w:val="en-GB"/>
          </w:rPr>
          <w:t xml:space="preserve"> is the quantity of storage use gas for month m attributed to the </w:t>
        </w:r>
        <w:bookmarkStart w:id="1002" w:name="_9kMJ4J6ZWu5997GMjevv"/>
        <w:r>
          <w:rPr>
            <w:lang w:val="en-GB"/>
          </w:rPr>
          <w:t>User</w:t>
        </w:r>
        <w:bookmarkEnd w:id="1002"/>
        <w:r>
          <w:rPr>
            <w:lang w:val="en-GB"/>
          </w:rPr>
          <w:t xml:space="preserve">, as notified to </w:t>
        </w:r>
        <w:bookmarkStart w:id="1003" w:name="_9kMJ2H6ZWu4569GOgFs1x3qpWX6t"/>
        <w:r>
          <w:rPr>
            <w:lang w:val="en-GB"/>
          </w:rPr>
          <w:t>National Grid</w:t>
        </w:r>
        <w:bookmarkEnd w:id="1003"/>
        <w:r>
          <w:rPr>
            <w:lang w:val="en-GB"/>
          </w:rPr>
          <w:t xml:space="preserve"> </w:t>
        </w:r>
        <w:bookmarkStart w:id="1004" w:name="_9kR3WTr2AA6BCW5BY7A9DwqAHDE8u787GIL9FI4"/>
        <w:r>
          <w:rPr>
            <w:lang w:val="en-GB"/>
          </w:rPr>
          <w:t>NTS pursuant to the terms of the Storage Connection Agreement</w:t>
        </w:r>
        <w:bookmarkEnd w:id="1004"/>
        <w:r>
          <w:rPr>
            <w:lang w:val="en-GB"/>
          </w:rPr>
          <w:t xml:space="preserve"> in respect of such </w:t>
        </w:r>
        <w:bookmarkStart w:id="1005" w:name="_9kMIH5YVt4886EGcc54rhmJO66yo4B7DplBBN"/>
        <w:r>
          <w:rPr>
            <w:lang w:val="en-GB"/>
          </w:rPr>
          <w:t>Storage Connection Point</w:t>
        </w:r>
        <w:bookmarkEnd w:id="1005"/>
        <w:r>
          <w:rPr>
            <w:lang w:val="en-GB"/>
          </w:rPr>
          <w:t>, divided by the number of Days in month m.</w:t>
        </w:r>
        <w:bookmarkEnd w:id="993"/>
      </w:ins>
    </w:p>
    <w:p>
      <w:pPr>
        <w:pStyle w:val="Level-3"/>
        <w:rPr>
          <w:ins w:id="1006" w:author="LOF" w:date="2018-05-08T12:50:00Z"/>
          <w:lang w:val="en-GB"/>
        </w:rPr>
      </w:pPr>
      <w:bookmarkStart w:id="1007" w:name="_Ref513715399"/>
      <w:bookmarkStart w:id="1008" w:name="_9kR3WTr34358CECCEDfUmKY96slzwFF6DOFCIxj"/>
      <w:ins w:id="1009" w:author="LOF" w:date="2018-05-08T12:50:00Z">
        <w:r>
          <w:rPr>
            <w:lang w:val="en-GB"/>
          </w:rPr>
          <w:t xml:space="preserve">The </w:t>
        </w:r>
        <w:bookmarkStart w:id="1010" w:name="_9kMJI5YVt39A8FHQS30mftq9907I96Crd9RJ1yF"/>
        <w:r>
          <w:rPr>
            <w:lang w:val="en-GB"/>
          </w:rPr>
          <w:t xml:space="preserve">Exit </w:t>
        </w:r>
        <w:bookmarkStart w:id="1011" w:name="_9kR3WTr7GB69DeLr91jgxWGlw3r"/>
        <w:r>
          <w:rPr>
            <w:lang w:val="en-GB"/>
          </w:rPr>
          <w:t>Transmission Services Revenue Recovery Charge</w:t>
        </w:r>
        <w:bookmarkEnd w:id="1010"/>
        <w:bookmarkEnd w:id="1011"/>
        <w:r>
          <w:rPr>
            <w:lang w:val="en-GB"/>
          </w:rPr>
          <w:t xml:space="preserve"> payable </w:t>
        </w:r>
        <w:bookmarkStart w:id="1012" w:name="_9kMIH5YVt9ID7GGkwwTgxx89jN095Byx"/>
        <w:r>
          <w:rPr>
            <w:lang w:val="en-GB"/>
          </w:rPr>
          <w:t xml:space="preserve">by a </w:t>
        </w:r>
        <w:bookmarkStart w:id="1013" w:name="_9kMHG5YVt4886FOlduu56gKx628vubcByePV"/>
        <w:r>
          <w:rPr>
            <w:lang w:val="en-GB"/>
          </w:rPr>
          <w:t xml:space="preserve">User or </w:t>
        </w:r>
        <w:bookmarkStart w:id="1014" w:name="_9kMJ3I6ZWu4569GOgFs1x3qpWX6t"/>
        <w:r>
          <w:rPr>
            <w:lang w:val="en-GB"/>
          </w:rPr>
          <w:t>National Grid</w:t>
        </w:r>
        <w:bookmarkEnd w:id="1014"/>
        <w:r>
          <w:rPr>
            <w:lang w:val="en-GB"/>
          </w:rPr>
          <w:t xml:space="preserve"> NTS</w:t>
        </w:r>
        <w:bookmarkEnd w:id="1012"/>
        <w:bookmarkEnd w:id="1013"/>
        <w:r>
          <w:rPr>
            <w:lang w:val="en-GB"/>
          </w:rPr>
          <w:t xml:space="preserve"> </w:t>
        </w:r>
        <w:bookmarkStart w:id="1015" w:name="_9kR3WTr7GB68D1oO7DzL7CIeBvwktBSErqy"/>
        <w:r>
          <w:rPr>
            <w:lang w:val="en-GB"/>
          </w:rPr>
          <w:t xml:space="preserve">in respect of </w:t>
        </w:r>
        <w:bookmarkStart w:id="1016" w:name="_9kMPO5YVt3678FEnbaiK80"/>
        <w:r>
          <w:rPr>
            <w:lang w:val="en-GB"/>
          </w:rPr>
          <w:t>each Day</w:t>
        </w:r>
        <w:bookmarkEnd w:id="1015"/>
        <w:bookmarkEnd w:id="1016"/>
        <w:r>
          <w:rPr>
            <w:lang w:val="en-GB"/>
          </w:rPr>
          <w:t xml:space="preserve"> will be determined for each </w:t>
        </w:r>
        <w:bookmarkStart w:id="1017" w:name="_9kR3WTr2664ADW5BBiFBysTZA7pf55H"/>
        <w:r>
          <w:rPr>
            <w:lang w:val="en-GB"/>
          </w:rPr>
          <w:t>NTS System Exit Point</w:t>
        </w:r>
        <w:bookmarkEnd w:id="1017"/>
        <w:r>
          <w:rPr>
            <w:lang w:val="en-GB"/>
          </w:rPr>
          <w:t xml:space="preserve"> as the </w:t>
        </w:r>
        <w:bookmarkStart w:id="1018" w:name="_9kMON5YVt8957FH"/>
        <w:bookmarkStart w:id="1019" w:name="_9kR3WTr2664EFbbss7WT6yCcCsAKK7sPc9x92t5"/>
        <w:r>
          <w:rPr>
            <w:lang w:val="en-GB"/>
          </w:rPr>
          <w:t>User’s</w:t>
        </w:r>
        <w:bookmarkEnd w:id="1018"/>
        <w:r>
          <w:rPr>
            <w:lang w:val="en-GB"/>
          </w:rPr>
          <w:t xml:space="preserve"> Fully Adjusted Available NTS Exit</w:t>
        </w:r>
        <w:bookmarkEnd w:id="1019"/>
        <w:r>
          <w:rPr>
            <w:lang w:val="en-GB"/>
          </w:rPr>
          <w:t xml:space="preserve"> (</w:t>
        </w:r>
        <w:bookmarkStart w:id="1020" w:name="_9kMPO5YVt48868HWHjs"/>
        <w:r>
          <w:rPr>
            <w:lang w:val="en-GB"/>
          </w:rPr>
          <w:t>Flat</w:t>
        </w:r>
        <w:bookmarkEnd w:id="1020"/>
        <w:r>
          <w:rPr>
            <w:lang w:val="en-GB"/>
          </w:rPr>
          <w:t xml:space="preserve">) </w:t>
        </w:r>
        <w:bookmarkStart w:id="1021" w:name="_9kMPO5YVt48867CP3nocl3K"/>
        <w:r>
          <w:rPr>
            <w:lang w:val="en-GB"/>
          </w:rPr>
          <w:t>Capacity</w:t>
        </w:r>
        <w:bookmarkEnd w:id="1021"/>
        <w:r>
          <w:rPr>
            <w:lang w:val="en-GB"/>
          </w:rPr>
          <w:t xml:space="preserve"> </w:t>
        </w:r>
        <w:bookmarkStart w:id="1022" w:name="_9kR3WTr7GB5DMqk0xrjccoszwz4"/>
        <w:r>
          <w:rPr>
            <w:lang w:val="en-GB"/>
          </w:rPr>
          <w:t xml:space="preserve">multiplied by the </w:t>
        </w:r>
        <w:bookmarkStart w:id="1023" w:name="_9kMHzG6ZWu4AB9EMTH30umffrvOFr3K1Y7C"/>
        <w:r>
          <w:rPr>
            <w:lang w:val="en-GB"/>
          </w:rPr>
          <w:t xml:space="preserve">Applicable </w:t>
        </w:r>
        <w:bookmarkStart w:id="1024" w:name="_9kMH7O6ZWu4789FNW5htA"/>
        <w:r>
          <w:rPr>
            <w:lang w:val="en-GB"/>
          </w:rPr>
          <w:t>Daily</w:t>
        </w:r>
        <w:bookmarkEnd w:id="1024"/>
        <w:r>
          <w:rPr>
            <w:lang w:val="en-GB"/>
          </w:rPr>
          <w:t xml:space="preserve"> </w:t>
        </w:r>
        <w:bookmarkStart w:id="1025" w:name="_9kMHG5YVt9ID8BDdIrwsuzF0o"/>
        <w:r>
          <w:rPr>
            <w:lang w:val="en-GB"/>
          </w:rPr>
          <w:t>Rate</w:t>
        </w:r>
        <w:bookmarkEnd w:id="1022"/>
        <w:bookmarkEnd w:id="1023"/>
        <w:r>
          <w:rPr>
            <w:lang w:val="en-GB"/>
          </w:rPr>
          <w:t xml:space="preserve"> of such charge as determined</w:t>
        </w:r>
        <w:bookmarkEnd w:id="1025"/>
        <w:r>
          <w:rPr>
            <w:lang w:val="en-GB"/>
          </w:rPr>
          <w:t xml:space="preserve"> </w:t>
        </w:r>
        <w:r>
          <w:rPr>
            <w:lang w:val="en-GB"/>
          </w:rPr>
          <w:lastRenderedPageBreak/>
          <w:t xml:space="preserve">in accordance with </w:t>
        </w:r>
        <w:bookmarkStart w:id="1026" w:name="_9kMJI5YVtCIA789BJOu6eCI4AFC7p34s1Ja"/>
        <w:r>
          <w:rPr>
            <w:lang w:val="en-GB"/>
          </w:rPr>
          <w:t>Section 3</w:t>
        </w:r>
        <w:bookmarkEnd w:id="1026"/>
        <w:r>
          <w:rPr>
            <w:lang w:val="en-GB"/>
          </w:rPr>
          <w:t xml:space="preserve"> of the </w:t>
        </w:r>
        <w:bookmarkStart w:id="1027" w:name="_9kMH1I6ZWu4BC9HKb8EFftq9C9CI23C8EdSx8F7"/>
        <w:r>
          <w:rPr>
            <w:lang w:val="en-GB"/>
          </w:rPr>
          <w:t>NTS Transportation Charging Methodology</w:t>
        </w:r>
        <w:bookmarkEnd w:id="1027"/>
        <w:r>
          <w:rPr>
            <w:lang w:val="en-GB"/>
          </w:rPr>
          <w:t xml:space="preserve"> and set out in the </w:t>
        </w:r>
        <w:bookmarkStart w:id="1028" w:name="_9kMML5YVt4886EOlbpm5858Eyz84Apq56B568O"/>
        <w:r>
          <w:rPr>
            <w:lang w:val="en-GB"/>
          </w:rPr>
          <w:t>Transportation Statement</w:t>
        </w:r>
        <w:bookmarkEnd w:id="1028"/>
        <w:r>
          <w:rPr>
            <w:lang w:val="en-GB"/>
          </w:rPr>
          <w:t>.</w:t>
        </w:r>
        <w:bookmarkEnd w:id="1007"/>
        <w:bookmarkEnd w:id="1008"/>
      </w:ins>
    </w:p>
    <w:p>
      <w:pPr>
        <w:pStyle w:val="Level-3"/>
        <w:rPr>
          <w:lang w:val="en-GB"/>
        </w:rPr>
      </w:pPr>
      <w:bookmarkStart w:id="1029" w:name="_9kMKJ5YVt39A8GHY7DzV63bOqzcEyznwEVpTy9G"/>
      <w:bookmarkStart w:id="1030" w:name="_Ref513715408"/>
      <w:bookmarkStart w:id="1031" w:name="_9kR3WTr34358DFCCEEaAG2Y96eRt2fH12qzHYsW"/>
      <w:r>
        <w:rPr>
          <w:lang w:val="en-GB"/>
        </w:rPr>
        <w:t xml:space="preserve">NTS Exit (Flat) Capacity </w:t>
      </w:r>
      <w:bookmarkStart w:id="1032" w:name="_9kR3WTr7GB5FFJ8dovjwtptLaB8un1yHH8FQHEK"/>
      <w:bookmarkStart w:id="1033" w:name="_9kR3WTr7GB5FGK8dovjwXN9EKxlzwFF6DOFCI"/>
      <w:bookmarkStart w:id="1034" w:name="_9kR3WTr7GB5FHL8dovjwXN9EKxlzwFF6DOFCI"/>
      <w:bookmarkStart w:id="1035" w:name="_9kR3WTr7GB5FIM8dovjwXX85rkyvEE5CNEBH"/>
      <w:bookmarkStart w:id="1036" w:name="_9kR3WTr7GB5FJN8dovjwC2oVFL7TFKQ3r52LLCJ"/>
      <w:bookmarkStart w:id="1037" w:name="_9kR3WTr7GB5EMR8dovjwtptUa7nm0xGG7EPGDJ"/>
      <w:r>
        <w:rPr>
          <w:lang w:val="en-GB"/>
        </w:rPr>
        <w:t>Charges</w:t>
      </w:r>
      <w:bookmarkEnd w:id="1029"/>
      <w:r>
        <w:rPr>
          <w:lang w:val="en-GB"/>
        </w:rPr>
        <w:t xml:space="preserve">, </w:t>
      </w:r>
      <w:del w:id="1038" w:author="LOF" w:date="2018-05-08T12:50:00Z">
        <w:r>
          <w:delText xml:space="preserve">NTS Exit (Flat) Commodity </w:delText>
        </w:r>
      </w:del>
      <w:bookmarkStart w:id="1039" w:name="_9kMML5YVt3AB8FJUBpqvsnbZ6mlzwFF6DOFCIxj"/>
      <w:ins w:id="1040" w:author="LOF" w:date="2018-05-08T12:50:00Z">
        <w:r>
          <w:rPr>
            <w:lang w:val="en-GB"/>
          </w:rPr>
          <w:t>General Non-</w:t>
        </w:r>
        <w:bookmarkStart w:id="1041" w:name="_9kMHG5YVt9ID8BIjNtB3lizYIny5t6"/>
        <w:r>
          <w:rPr>
            <w:lang w:val="en-GB"/>
          </w:rPr>
          <w:t>Transmission Services</w:t>
        </w:r>
        <w:bookmarkEnd w:id="1032"/>
        <w:bookmarkEnd w:id="1033"/>
        <w:bookmarkEnd w:id="1034"/>
        <w:bookmarkEnd w:id="1035"/>
        <w:bookmarkEnd w:id="1036"/>
        <w:r>
          <w:rPr>
            <w:lang w:val="en-GB"/>
          </w:rPr>
          <w:t xml:space="preserve"> </w:t>
        </w:r>
      </w:ins>
      <w:r>
        <w:rPr>
          <w:lang w:val="en-GB"/>
        </w:rPr>
        <w:t>Charges</w:t>
      </w:r>
      <w:bookmarkEnd w:id="1037"/>
      <w:bookmarkEnd w:id="1039"/>
      <w:r>
        <w:rPr>
          <w:lang w:val="en-GB"/>
        </w:rPr>
        <w:t>,</w:t>
      </w:r>
      <w:bookmarkEnd w:id="1041"/>
      <w:r>
        <w:rPr>
          <w:lang w:val="en-GB"/>
        </w:rPr>
        <w:t xml:space="preserve"> </w:t>
      </w:r>
      <w:bookmarkStart w:id="1042" w:name="_9kMON5YVt4886BJd7DzV63"/>
      <w:bookmarkStart w:id="1043" w:name="_9kMIH5YVt9ID7GLQ3nocl3KulHF300s7gRw7E2F"/>
      <w:r>
        <w:rPr>
          <w:lang w:val="en-GB"/>
        </w:rPr>
        <w:t>NTS Exit</w:t>
      </w:r>
      <w:bookmarkEnd w:id="1042"/>
      <w:r>
        <w:rPr>
          <w:lang w:val="en-GB"/>
        </w:rPr>
        <w:t xml:space="preserve"> (</w:t>
      </w:r>
      <w:bookmarkStart w:id="1044" w:name="_9kMHzG6ZWu59979IXIkt"/>
      <w:r>
        <w:rPr>
          <w:lang w:val="en-GB"/>
        </w:rPr>
        <w:t>Flat</w:t>
      </w:r>
      <w:bookmarkEnd w:id="1044"/>
      <w:r>
        <w:rPr>
          <w:lang w:val="en-GB"/>
        </w:rPr>
        <w:t xml:space="preserve">) </w:t>
      </w:r>
      <w:bookmarkStart w:id="1045" w:name="_9kMLK5YVt39A8EFN3nocl3KulHF300s7gRw7E2"/>
      <w:r>
        <w:rPr>
          <w:lang w:val="en-GB"/>
        </w:rPr>
        <w:t>Capacity Surrender Charges</w:t>
      </w:r>
      <w:bookmarkEnd w:id="1043"/>
      <w:bookmarkEnd w:id="1045"/>
      <w:del w:id="1046" w:author="LOF" w:date="2018-05-08T12:50:00Z">
        <w:r>
          <w:delText xml:space="preserve"> and</w:delText>
        </w:r>
      </w:del>
      <w:ins w:id="1047" w:author="LOF" w:date="2018-05-08T12:50:00Z">
        <w:r>
          <w:rPr>
            <w:lang w:val="en-GB"/>
          </w:rPr>
          <w:t>,</w:t>
        </w:r>
      </w:ins>
      <w:r>
        <w:rPr>
          <w:lang w:val="en-GB"/>
        </w:rPr>
        <w:t xml:space="preserve"> </w:t>
      </w:r>
      <w:bookmarkStart w:id="1048" w:name="_9kMIH5YVt39A8GIZ7D9Nl0wotbWp666D9FeTy9G"/>
      <w:r>
        <w:rPr>
          <w:lang w:val="en-GB"/>
        </w:rPr>
        <w:t xml:space="preserve">NTS Offtake Reduction </w:t>
      </w:r>
      <w:bookmarkStart w:id="1049" w:name="_9kMHG5YVt9ID7HHLAfqxlyvrvNcDAwp30JJAHSJ"/>
      <w:r>
        <w:rPr>
          <w:lang w:val="en-GB"/>
        </w:rPr>
        <w:t>Charges</w:t>
      </w:r>
      <w:bookmarkEnd w:id="1048"/>
      <w:ins w:id="1050" w:author="LOF" w:date="2018-05-08T12:50:00Z">
        <w:r>
          <w:rPr>
            <w:lang w:val="en-GB"/>
          </w:rPr>
          <w:t xml:space="preserve">, and </w:t>
        </w:r>
        <w:bookmarkStart w:id="1051" w:name="_9kMKJ5YVt39A8FHQS30mftq9907I96Crd9RJ1yF"/>
        <w:r>
          <w:rPr>
            <w:lang w:val="en-GB"/>
          </w:rPr>
          <w:t xml:space="preserve">Exit </w:t>
        </w:r>
        <w:bookmarkStart w:id="1052" w:name="_9kR3WTr7GB69FgLr91jgxWGlw3r4"/>
        <w:r>
          <w:rPr>
            <w:lang w:val="en-GB"/>
          </w:rPr>
          <w:t>Transmission Services</w:t>
        </w:r>
        <w:bookmarkEnd w:id="1049"/>
        <w:r>
          <w:rPr>
            <w:lang w:val="en-GB"/>
          </w:rPr>
          <w:t xml:space="preserve"> Revenue Recovery Charges</w:t>
        </w:r>
      </w:ins>
      <w:bookmarkEnd w:id="1051"/>
      <w:bookmarkEnd w:id="1052"/>
      <w:r>
        <w:rPr>
          <w:lang w:val="en-GB"/>
        </w:rPr>
        <w:t xml:space="preserve"> will be invoiced and payable in accordance with </w:t>
      </w:r>
      <w:bookmarkStart w:id="1053" w:name="_9kMHG5YVt4EE7EJgNeu1x3i"/>
      <w:r>
        <w:rPr>
          <w:lang w:val="en-GB"/>
        </w:rPr>
        <w:t>Section S</w:t>
      </w:r>
      <w:bookmarkEnd w:id="1053"/>
      <w:r>
        <w:rPr>
          <w:lang w:val="en-GB"/>
        </w:rPr>
        <w:t>.</w:t>
      </w:r>
      <w:bookmarkStart w:id="1054" w:name="_DV_M400"/>
      <w:bookmarkEnd w:id="1030"/>
      <w:bookmarkEnd w:id="1031"/>
      <w:bookmarkEnd w:id="1054"/>
    </w:p>
    <w:p>
      <w:pPr>
        <w:pStyle w:val="Level-3"/>
        <w:numPr>
          <w:ilvl w:val="0"/>
          <w:numId w:val="0"/>
        </w:numPr>
        <w:ind w:left="1398"/>
        <w:rPr>
          <w:lang w:val="en-GB"/>
        </w:rPr>
      </w:pPr>
      <w:bookmarkStart w:id="1055" w:name="_9kMNM5YVt8IE8DI"/>
      <w:r>
        <w:rPr>
          <w:lang w:val="en-GB"/>
        </w:rPr>
        <w:t>[…]</w:t>
      </w:r>
      <w:bookmarkEnd w:id="1055"/>
    </w:p>
    <w:p>
      <w:pPr>
        <w:pStyle w:val="Level-1"/>
        <w:numPr>
          <w:ilvl w:val="0"/>
          <w:numId w:val="20"/>
        </w:numPr>
        <w:rPr>
          <w:ins w:id="1056" w:author="LOF" w:date="2018-05-08T12:50:00Z"/>
        </w:rPr>
      </w:pPr>
      <w:bookmarkStart w:id="1057" w:name="_9kR3WTr8E857BI"/>
      <w:bookmarkStart w:id="1058" w:name="_Ref513715442"/>
      <w:bookmarkStart w:id="1059" w:name="_9kR3WTr29956ACHMs8lBymrvwu0DEKP74NNELWN"/>
      <w:bookmarkStart w:id="1060" w:name="_Ref163443789"/>
      <w:bookmarkEnd w:id="650"/>
      <w:bookmarkEnd w:id="651"/>
      <w:bookmarkEnd w:id="1057"/>
      <w:ins w:id="1061" w:author="LOF" w:date="2018-05-08T12:50:00Z">
        <w:r>
          <w:t>SPECIFIC NON-TRANSMISSION SERVICES CHARGES</w:t>
        </w:r>
        <w:bookmarkEnd w:id="1058"/>
        <w:bookmarkEnd w:id="1059"/>
      </w:ins>
    </w:p>
    <w:p>
      <w:pPr>
        <w:pStyle w:val="Level-2"/>
        <w:rPr>
          <w:ins w:id="1062" w:author="LOF" w:date="2018-05-08T12:50:00Z"/>
          <w:lang w:val="en-GB"/>
        </w:rPr>
      </w:pPr>
      <w:ins w:id="1063" w:author="LOF" w:date="2018-05-08T12:50:00Z">
        <w:r>
          <w:rPr>
            <w:lang w:val="en-GB"/>
          </w:rPr>
          <w:t>General</w:t>
        </w:r>
      </w:ins>
    </w:p>
    <w:p>
      <w:pPr>
        <w:pStyle w:val="Level-3"/>
        <w:rPr>
          <w:ins w:id="1064" w:author="LOF" w:date="2018-05-08T12:50:00Z"/>
          <w:lang w:val="en-GB"/>
        </w:rPr>
      </w:pPr>
      <w:ins w:id="1065" w:author="LOF" w:date="2018-05-08T12:50:00Z">
        <w:r>
          <w:rPr>
            <w:lang w:val="en-GB"/>
          </w:rPr>
          <w:t xml:space="preserve">This paragraph </w:t>
        </w:r>
      </w:ins>
      <w:ins w:id="1066" w:author="Dentons" w:date="2018-05-10T11:35:00Z">
        <w:r>
          <w:rPr>
            <w:lang w:val="en-GB"/>
          </w:rPr>
          <w:fldChar w:fldCharType="begin"/>
        </w:r>
        <w:r>
          <w:rPr>
            <w:lang w:val="en-GB"/>
          </w:rPr>
          <w:instrText xml:space="preserve"> REF _Ref513715442 \w \h </w:instrText>
        </w:r>
      </w:ins>
      <w:r>
        <w:rPr>
          <w:lang w:val="en-GB"/>
        </w:rPr>
      </w:r>
      <w:r>
        <w:rPr>
          <w:lang w:val="en-GB"/>
        </w:rPr>
        <w:fldChar w:fldCharType="separate"/>
      </w:r>
      <w:bookmarkStart w:id="1067" w:name="_9kMHG5YVt4BB78CEJOuAnD0otxyw2FGMR96PPGN"/>
      <w:r>
        <w:rPr>
          <w:lang w:val="en-GB"/>
        </w:rPr>
        <w:t>7</w:t>
      </w:r>
      <w:bookmarkEnd w:id="1067"/>
      <w:ins w:id="1068" w:author="Dentons" w:date="2018-05-10T11:35:00Z">
        <w:r>
          <w:rPr>
            <w:lang w:val="en-GB"/>
          </w:rPr>
          <w:fldChar w:fldCharType="end"/>
        </w:r>
      </w:ins>
      <w:ins w:id="1069" w:author="LOF" w:date="2018-05-08T12:50:00Z">
        <w:r>
          <w:rPr>
            <w:lang w:val="en-GB"/>
          </w:rPr>
          <w:t xml:space="preserve"> sets out the basis on which specific </w:t>
        </w:r>
        <w:bookmarkStart w:id="1070" w:name="_9kMHG5YVt4886AKfSzfesp88z6H85Bqc8QI0xEn"/>
        <w:r>
          <w:rPr>
            <w:lang w:val="en-GB"/>
          </w:rPr>
          <w:t>Non-</w:t>
        </w:r>
        <w:bookmarkStart w:id="1071" w:name="_9kMKJ5YVt9ID8BGhNtB3lizYIny5t6"/>
        <w:r>
          <w:rPr>
            <w:lang w:val="en-GB"/>
          </w:rPr>
          <w:t>Transmission Services Charges</w:t>
        </w:r>
        <w:bookmarkEnd w:id="1070"/>
        <w:bookmarkEnd w:id="1071"/>
        <w:r>
          <w:rPr>
            <w:lang w:val="en-GB"/>
          </w:rPr>
          <w:t xml:space="preserve"> are </w:t>
        </w:r>
        <w:r>
          <w:rPr>
            <w:color w:val="000000"/>
            <w:lang w:val="en-GB"/>
          </w:rPr>
          <w:t>payable</w:t>
        </w:r>
        <w:r>
          <w:rPr>
            <w:lang w:val="en-GB"/>
          </w:rPr>
          <w:t xml:space="preserve"> by </w:t>
        </w:r>
        <w:bookmarkStart w:id="1072" w:name="_9kMJ5K6ZWu5997GMjevv"/>
        <w:r>
          <w:rPr>
            <w:lang w:val="en-GB"/>
          </w:rPr>
          <w:t>Users</w:t>
        </w:r>
        <w:bookmarkEnd w:id="1072"/>
        <w:r>
          <w:rPr>
            <w:lang w:val="en-GB"/>
          </w:rPr>
          <w:t>.</w:t>
        </w:r>
      </w:ins>
    </w:p>
    <w:p>
      <w:pPr>
        <w:pStyle w:val="Level-2"/>
        <w:rPr>
          <w:ins w:id="1073" w:author="LOF" w:date="2018-05-08T12:50:00Z"/>
          <w:lang w:val="en-GB"/>
        </w:rPr>
      </w:pPr>
      <w:bookmarkStart w:id="1074" w:name="_9kR3WTr3CB5DDZaUAtw0D"/>
      <w:ins w:id="1075" w:author="LOF" w:date="2018-05-08T12:50:00Z">
        <w:r>
          <w:rPr>
            <w:lang w:val="en-GB"/>
          </w:rPr>
          <w:t>St Fergus</w:t>
        </w:r>
        <w:bookmarkEnd w:id="1074"/>
        <w:r>
          <w:rPr>
            <w:lang w:val="en-GB"/>
          </w:rPr>
          <w:t xml:space="preserve"> Compression Charge </w:t>
        </w:r>
      </w:ins>
    </w:p>
    <w:p>
      <w:pPr>
        <w:pStyle w:val="Level-3"/>
        <w:rPr>
          <w:ins w:id="1076" w:author="LOF" w:date="2018-05-08T12:50:00Z"/>
          <w:lang w:val="en-GB"/>
        </w:rPr>
      </w:pPr>
      <w:ins w:id="1077" w:author="LOF" w:date="2018-05-08T12:50:00Z">
        <w:r>
          <w:rPr>
            <w:lang w:val="en-GB"/>
          </w:rPr>
          <w:t xml:space="preserve">A </w:t>
        </w:r>
        <w:bookmarkStart w:id="1078" w:name="_9kMIH5YVt4886DKhQnw4uxok11"/>
        <w:r>
          <w:rPr>
            <w:color w:val="000000"/>
            <w:lang w:val="en-GB"/>
          </w:rPr>
          <w:t>Shipper</w:t>
        </w:r>
        <w:r>
          <w:rPr>
            <w:lang w:val="en-GB"/>
          </w:rPr>
          <w:t xml:space="preserve"> User</w:t>
        </w:r>
        <w:bookmarkEnd w:id="1078"/>
        <w:r>
          <w:rPr>
            <w:lang w:val="en-GB"/>
          </w:rPr>
          <w:t xml:space="preserve"> which delivers gas to the </w:t>
        </w:r>
        <w:bookmarkStart w:id="1079" w:name="_9kR3WTr26649DX5BJrB0mYnKG3xYUGLR0lBBN"/>
        <w:r>
          <w:rPr>
            <w:lang w:val="en-GB"/>
          </w:rPr>
          <w:t>NTS at the System Entry Point</w:t>
        </w:r>
        <w:bookmarkEnd w:id="1079"/>
        <w:r>
          <w:rPr>
            <w:lang w:val="en-GB"/>
          </w:rPr>
          <w:t xml:space="preserve"> for the </w:t>
        </w:r>
        <w:bookmarkStart w:id="1080" w:name="_9kR3WTr3CB5CLdQ17yYQf"/>
        <w:bookmarkStart w:id="1081" w:name="_9kR3WTr26649AUQ17yYQfORp0HH3nwmV4OL7CR"/>
        <w:r>
          <w:rPr>
            <w:lang w:val="en-GB"/>
          </w:rPr>
          <w:t>North Sea</w:t>
        </w:r>
        <w:bookmarkEnd w:id="1080"/>
        <w:r>
          <w:rPr>
            <w:lang w:val="en-GB"/>
          </w:rPr>
          <w:t xml:space="preserve"> Midstream Partners</w:t>
        </w:r>
        <w:bookmarkEnd w:id="1081"/>
        <w:r>
          <w:rPr>
            <w:lang w:val="en-GB"/>
          </w:rPr>
          <w:t xml:space="preserve"> sub-terminal at </w:t>
        </w:r>
        <w:bookmarkStart w:id="1082" w:name="_9kMHG5YVt5ED7FFbcWCvy2F"/>
        <w:r>
          <w:rPr>
            <w:lang w:val="en-GB"/>
          </w:rPr>
          <w:t>St Fergus</w:t>
        </w:r>
        <w:bookmarkEnd w:id="1082"/>
        <w:r>
          <w:rPr>
            <w:lang w:val="en-GB"/>
          </w:rPr>
          <w:t xml:space="preserve"> shall pay to </w:t>
        </w:r>
        <w:bookmarkStart w:id="1083" w:name="_9kMJ4J6ZWu4569GOgFs1x3qpWX6t"/>
        <w:bookmarkStart w:id="1084" w:name="_9kMI0G6ZWu5997BCXFs1x3qpWX6tZKQ"/>
        <w:r>
          <w:rPr>
            <w:lang w:val="en-GB"/>
          </w:rPr>
          <w:t>National Grid</w:t>
        </w:r>
        <w:bookmarkEnd w:id="1083"/>
        <w:r>
          <w:rPr>
            <w:lang w:val="en-GB"/>
          </w:rPr>
          <w:t xml:space="preserve"> NTS</w:t>
        </w:r>
        <w:bookmarkEnd w:id="1084"/>
        <w:r>
          <w:rPr>
            <w:lang w:val="en-GB"/>
          </w:rPr>
          <w:t xml:space="preserve"> the </w:t>
        </w:r>
        <w:bookmarkStart w:id="1085" w:name="_9kMIH5YVt5ED7FFbcWCvy2F"/>
        <w:bookmarkStart w:id="1086" w:name="_9kR3WTr2664BLiaUAtw0DWN46C24JA7DcRw7E2"/>
        <w:r>
          <w:rPr>
            <w:lang w:val="en-GB"/>
          </w:rPr>
          <w:t>St Fergus</w:t>
        </w:r>
        <w:bookmarkEnd w:id="1085"/>
        <w:r>
          <w:rPr>
            <w:lang w:val="en-GB"/>
          </w:rPr>
          <w:t xml:space="preserve"> Compression Charge</w:t>
        </w:r>
        <w:bookmarkEnd w:id="1086"/>
        <w:r>
          <w:rPr>
            <w:lang w:val="en-GB"/>
          </w:rPr>
          <w:t xml:space="preserve"> as a </w:t>
        </w:r>
        <w:bookmarkStart w:id="1087" w:name="_9kMKJ5YVt3AB8EHPHyx0sn4LfJoz6u"/>
        <w:r>
          <w:rPr>
            <w:lang w:val="en-GB"/>
          </w:rPr>
          <w:t>Commodity Charge</w:t>
        </w:r>
        <w:bookmarkEnd w:id="1087"/>
        <w:r>
          <w:rPr>
            <w:lang w:val="en-GB"/>
          </w:rPr>
          <w:t xml:space="preserve"> in respect of the gas delivered.</w:t>
        </w:r>
      </w:ins>
    </w:p>
    <w:p>
      <w:pPr>
        <w:pStyle w:val="Level-3"/>
        <w:rPr>
          <w:ins w:id="1088" w:author="LOF" w:date="2018-05-08T12:50:00Z"/>
          <w:lang w:val="en-GB"/>
        </w:rPr>
      </w:pPr>
      <w:ins w:id="1089" w:author="LOF" w:date="2018-05-08T12:50:00Z">
        <w:r>
          <w:rPr>
            <w:lang w:val="en-GB"/>
          </w:rPr>
          <w:t xml:space="preserve">The </w:t>
        </w:r>
        <w:r>
          <w:rPr>
            <w:color w:val="000000"/>
            <w:lang w:val="en-GB"/>
          </w:rPr>
          <w:t>amount</w:t>
        </w:r>
        <w:r>
          <w:rPr>
            <w:lang w:val="en-GB"/>
          </w:rPr>
          <w:t xml:space="preserve"> </w:t>
        </w:r>
        <w:bookmarkStart w:id="1090" w:name="_9kMHG5YVt9ID8BBzmwxbnrlihpRF79AAfh4DLBE"/>
        <w:r>
          <w:rPr>
            <w:lang w:val="en-GB"/>
          </w:rPr>
          <w:t xml:space="preserve">payable </w:t>
        </w:r>
        <w:bookmarkStart w:id="1091" w:name="_9kMHzG6ZWu4789GFocbjL91"/>
        <w:r>
          <w:rPr>
            <w:lang w:val="en-GB"/>
          </w:rPr>
          <w:t>each Day</w:t>
        </w:r>
        <w:bookmarkEnd w:id="1091"/>
        <w:r>
          <w:rPr>
            <w:lang w:val="en-GB"/>
          </w:rPr>
          <w:t xml:space="preserve"> by a </w:t>
        </w:r>
        <w:bookmarkStart w:id="1092" w:name="_9kMJI5YVt4886DKhQnw4uxok11"/>
        <w:r>
          <w:rPr>
            <w:lang w:val="en-GB"/>
          </w:rPr>
          <w:t>Shipper User</w:t>
        </w:r>
        <w:bookmarkEnd w:id="1092"/>
        <w:r>
          <w:rPr>
            <w:lang w:val="en-GB"/>
          </w:rPr>
          <w:t xml:space="preserve"> in respect of</w:t>
        </w:r>
        <w:bookmarkEnd w:id="1090"/>
        <w:r>
          <w:rPr>
            <w:lang w:val="en-GB"/>
          </w:rPr>
          <w:t xml:space="preserve"> the </w:t>
        </w:r>
        <w:bookmarkStart w:id="1093" w:name="_9kMJI5YVt5ED7FFbcWCvy2F"/>
        <w:bookmarkStart w:id="1094" w:name="_9kMHG5YVt4886DNkcWCvy2FYP68E46LC9FeTy9G"/>
        <w:r>
          <w:rPr>
            <w:lang w:val="en-GB"/>
          </w:rPr>
          <w:t>St Fergus</w:t>
        </w:r>
        <w:bookmarkEnd w:id="1093"/>
        <w:r>
          <w:rPr>
            <w:lang w:val="en-GB"/>
          </w:rPr>
          <w:t xml:space="preserve"> Compression Charge</w:t>
        </w:r>
        <w:bookmarkEnd w:id="1094"/>
        <w:r>
          <w:rPr>
            <w:lang w:val="en-GB"/>
          </w:rPr>
          <w:t xml:space="preserve"> is the </w:t>
        </w:r>
        <w:bookmarkStart w:id="1095" w:name="_9kMHG5YVt4886FMjduuU8kwDtk1vFBCTtdHPU"/>
        <w:r>
          <w:rPr>
            <w:lang w:val="en-GB"/>
          </w:rPr>
          <w:t xml:space="preserve">User </w:t>
        </w:r>
        <w:bookmarkStart w:id="1096" w:name="_9kMH8P6ZWu4789FNW5htA"/>
        <w:r>
          <w:rPr>
            <w:lang w:val="en-GB"/>
          </w:rPr>
          <w:t>Daily</w:t>
        </w:r>
        <w:bookmarkEnd w:id="1096"/>
        <w:r>
          <w:rPr>
            <w:lang w:val="en-GB"/>
          </w:rPr>
          <w:t xml:space="preserve"> Quantity Input</w:t>
        </w:r>
        <w:bookmarkEnd w:id="1095"/>
        <w:r>
          <w:rPr>
            <w:lang w:val="en-GB"/>
          </w:rPr>
          <w:t xml:space="preserve"> multiplied by </w:t>
        </w:r>
        <w:bookmarkStart w:id="1097" w:name="_9kMHG5YVt9ID8CB2xjDJ52wohhtxPUBAD50HY7e"/>
        <w:r>
          <w:rPr>
            <w:lang w:val="en-GB"/>
          </w:rPr>
          <w:t xml:space="preserve">the </w:t>
        </w:r>
        <w:bookmarkStart w:id="1098" w:name="_9kR3WTr7HC56Bmk0xrjccos"/>
        <w:bookmarkStart w:id="1099" w:name="_9kMJI5YVt39A8DKRG2ztleequMR87A2xEV4bAF"/>
        <w:r>
          <w:rPr>
            <w:lang w:val="en-GB"/>
          </w:rPr>
          <w:t>Applicable</w:t>
        </w:r>
        <w:bookmarkEnd w:id="1098"/>
        <w:r>
          <w:rPr>
            <w:lang w:val="en-GB"/>
          </w:rPr>
          <w:t xml:space="preserve"> Commodity Rate</w:t>
        </w:r>
        <w:bookmarkEnd w:id="1099"/>
        <w:r>
          <w:rPr>
            <w:lang w:val="en-GB"/>
          </w:rPr>
          <w:t xml:space="preserve"> as determined in accordance with</w:t>
        </w:r>
        <w:bookmarkEnd w:id="1097"/>
        <w:r>
          <w:rPr>
            <w:lang w:val="en-GB"/>
          </w:rPr>
          <w:t xml:space="preserve"> </w:t>
        </w:r>
        <w:bookmarkStart w:id="1100" w:name="_9kR3WTr2CC5BKiLcszv1IL"/>
        <w:r>
          <w:rPr>
            <w:lang w:val="en-GB"/>
          </w:rPr>
          <w:t>Section 4.2</w:t>
        </w:r>
        <w:bookmarkEnd w:id="1100"/>
        <w:r>
          <w:rPr>
            <w:lang w:val="en-GB"/>
          </w:rPr>
          <w:t xml:space="preserve"> of the </w:t>
        </w:r>
        <w:bookmarkStart w:id="1101" w:name="_9kMH2J6ZWu4BC9HKb8EFftq9C9CI23C8EdSx8F7"/>
        <w:r>
          <w:rPr>
            <w:lang w:val="en-GB"/>
          </w:rPr>
          <w:t>NTS Transportation Charging Methodology</w:t>
        </w:r>
        <w:bookmarkEnd w:id="1101"/>
        <w:r>
          <w:rPr>
            <w:lang w:val="en-GB"/>
          </w:rPr>
          <w:t xml:space="preserve"> and </w:t>
        </w:r>
        <w:bookmarkStart w:id="1102" w:name="_9kR3WTr7GB5DI5vhstop0xqArkyvEHEHN78HDJ"/>
        <w:r>
          <w:rPr>
            <w:lang w:val="en-GB"/>
          </w:rPr>
          <w:t xml:space="preserve">set out in the </w:t>
        </w:r>
        <w:bookmarkStart w:id="1103" w:name="_9kR3WTr2664DEaZnk3636Cwx628no349346MOBl"/>
        <w:r>
          <w:rPr>
            <w:lang w:val="en-GB"/>
          </w:rPr>
          <w:t>Transportation Statement</w:t>
        </w:r>
        <w:bookmarkEnd w:id="1102"/>
        <w:r>
          <w:rPr>
            <w:lang w:val="en-GB"/>
          </w:rPr>
          <w:t xml:space="preserve"> of </w:t>
        </w:r>
        <w:bookmarkStart w:id="1104" w:name="_9kMJ5K6ZWu4569GOgFs1x3qpWX6t"/>
        <w:r>
          <w:rPr>
            <w:lang w:val="en-GB"/>
          </w:rPr>
          <w:t>National Grid</w:t>
        </w:r>
        <w:bookmarkEnd w:id="1104"/>
        <w:r>
          <w:rPr>
            <w:lang w:val="en-GB"/>
          </w:rPr>
          <w:t xml:space="preserve"> NTS</w:t>
        </w:r>
        <w:bookmarkEnd w:id="1103"/>
        <w:r>
          <w:rPr>
            <w:lang w:val="en-GB"/>
          </w:rPr>
          <w:t>.</w:t>
        </w:r>
      </w:ins>
    </w:p>
    <w:p>
      <w:pPr>
        <w:pStyle w:val="Level-2"/>
        <w:rPr>
          <w:ins w:id="1105" w:author="LOF" w:date="2018-05-08T12:50:00Z"/>
          <w:lang w:val="en-GB"/>
        </w:rPr>
      </w:pPr>
      <w:ins w:id="1106" w:author="LOF" w:date="2018-05-08T12:50:00Z">
        <w:r>
          <w:rPr>
            <w:lang w:val="en-GB"/>
          </w:rPr>
          <w:t>NTS Meter Maintenance Charges</w:t>
        </w:r>
      </w:ins>
    </w:p>
    <w:p>
      <w:pPr>
        <w:pStyle w:val="Level-3"/>
        <w:rPr>
          <w:ins w:id="1107" w:author="LOF" w:date="2018-05-08T12:50:00Z"/>
          <w:lang w:val="en-GB"/>
        </w:rPr>
      </w:pPr>
      <w:ins w:id="1108" w:author="LOF" w:date="2018-05-08T12:50:00Z">
        <w:r>
          <w:rPr>
            <w:lang w:val="en-GB"/>
          </w:rPr>
          <w:t xml:space="preserve">A </w:t>
        </w:r>
        <w:bookmarkStart w:id="1109" w:name="_9kMKJ5YVt4886DKhQnw4uxok11"/>
        <w:r>
          <w:rPr>
            <w:lang w:val="en-GB"/>
          </w:rPr>
          <w:t>Shipper User</w:t>
        </w:r>
        <w:bookmarkEnd w:id="1109"/>
        <w:r>
          <w:rPr>
            <w:lang w:val="en-GB"/>
          </w:rPr>
          <w:t xml:space="preserve"> which is the </w:t>
        </w:r>
        <w:bookmarkStart w:id="1110" w:name="_9kR3WTr2664BCYKglyAxwxkbl22D2pYMSSvPLIS"/>
        <w:r>
          <w:rPr>
            <w:lang w:val="en-GB"/>
          </w:rPr>
          <w:t>Registered User of a NTS Supply Point</w:t>
        </w:r>
        <w:bookmarkEnd w:id="1110"/>
        <w:r>
          <w:rPr>
            <w:lang w:val="en-GB"/>
          </w:rPr>
          <w:t xml:space="preserve"> at which a </w:t>
        </w:r>
        <w:bookmarkStart w:id="1111" w:name="_9kR3WTr26648Hcst7DDgA63DpQ454jaHO70C2BK"/>
        <w:r>
          <w:rPr>
            <w:lang w:val="en-GB"/>
          </w:rPr>
          <w:t>NGNTS Supply Meter Installation</w:t>
        </w:r>
        <w:bookmarkEnd w:id="1111"/>
        <w:r>
          <w:rPr>
            <w:lang w:val="en-GB"/>
          </w:rPr>
          <w:t xml:space="preserve"> is installed shall pay to </w:t>
        </w:r>
        <w:bookmarkStart w:id="1112" w:name="_9kMJ6L6ZWu4569GOgFs1x3qpWX6t"/>
        <w:bookmarkStart w:id="1113" w:name="_9kR3WTr26648BWCpyu0nmTU3qWHNoAwdNTNaEFE"/>
        <w:r>
          <w:rPr>
            <w:lang w:val="en-GB"/>
          </w:rPr>
          <w:t>National Grid</w:t>
        </w:r>
        <w:bookmarkEnd w:id="1112"/>
        <w:r>
          <w:rPr>
            <w:lang w:val="en-GB"/>
          </w:rPr>
          <w:t xml:space="preserve"> NTS the NTS Meter Maintenance Charge</w:t>
        </w:r>
        <w:bookmarkEnd w:id="1113"/>
        <w:r>
          <w:rPr>
            <w:lang w:val="en-GB"/>
          </w:rPr>
          <w:t>.</w:t>
        </w:r>
      </w:ins>
    </w:p>
    <w:p>
      <w:pPr>
        <w:pStyle w:val="Level-3"/>
        <w:rPr>
          <w:ins w:id="1114" w:author="LOF" w:date="2018-05-08T12:50:00Z"/>
          <w:lang w:val="en-GB"/>
        </w:rPr>
      </w:pPr>
      <w:ins w:id="1115" w:author="LOF" w:date="2018-05-08T12:50:00Z">
        <w:r>
          <w:rPr>
            <w:lang w:val="en-GB"/>
          </w:rPr>
          <w:t xml:space="preserve">The amount </w:t>
        </w:r>
        <w:bookmarkStart w:id="1116" w:name="_9kMHG5YVt9ID7FLpPRox5vypl22"/>
        <w:r>
          <w:rPr>
            <w:lang w:val="en-GB"/>
          </w:rPr>
          <w:t xml:space="preserve">payable by a </w:t>
        </w:r>
        <w:bookmarkStart w:id="1117" w:name="_9kMLK5YVt4886DKhQnw4uxok11"/>
        <w:r>
          <w:rPr>
            <w:lang w:val="en-GB"/>
          </w:rPr>
          <w:t>Shipper User</w:t>
        </w:r>
        <w:bookmarkEnd w:id="1117"/>
        <w:r>
          <w:rPr>
            <w:lang w:val="en-GB"/>
          </w:rPr>
          <w:t xml:space="preserve"> in respect of</w:t>
        </w:r>
        <w:bookmarkEnd w:id="1116"/>
        <w:r>
          <w:rPr>
            <w:lang w:val="en-GB"/>
          </w:rPr>
          <w:t xml:space="preserve"> the </w:t>
        </w:r>
        <w:bookmarkStart w:id="1118" w:name="_9kR3WTr2664ABU5B5Iwxw1yxNJoz6u"/>
        <w:r>
          <w:rPr>
            <w:lang w:val="en-GB"/>
          </w:rPr>
          <w:t>NTS Metering Charge</w:t>
        </w:r>
        <w:bookmarkEnd w:id="1118"/>
        <w:r>
          <w:rPr>
            <w:lang w:val="en-GB"/>
          </w:rPr>
          <w:t xml:space="preserve"> is the amount, for </w:t>
        </w:r>
        <w:bookmarkStart w:id="1119" w:name="_9kMH0H6ZWu4789GFocbjL91"/>
        <w:r>
          <w:rPr>
            <w:lang w:val="en-GB"/>
          </w:rPr>
          <w:t>each Day</w:t>
        </w:r>
        <w:bookmarkEnd w:id="1119"/>
        <w:r>
          <w:rPr>
            <w:lang w:val="en-GB"/>
          </w:rPr>
          <w:t xml:space="preserve"> for which it is </w:t>
        </w:r>
        <w:bookmarkStart w:id="1120" w:name="_9kR3WTr2664AKhKglyAxwxkbl22"/>
        <w:r>
          <w:rPr>
            <w:lang w:val="en-GB"/>
          </w:rPr>
          <w:t>Registered User</w:t>
        </w:r>
        <w:bookmarkEnd w:id="1120"/>
        <w:r>
          <w:rPr>
            <w:lang w:val="en-GB"/>
          </w:rPr>
          <w:t xml:space="preserve"> of the </w:t>
        </w:r>
        <w:bookmarkStart w:id="1121" w:name="_9kR3WTr2664ACV5BBe841Bqb11D"/>
        <w:r>
          <w:rPr>
            <w:lang w:val="en-GB"/>
          </w:rPr>
          <w:t>NTS Supply Point</w:t>
        </w:r>
        <w:bookmarkEnd w:id="1121"/>
        <w:r>
          <w:rPr>
            <w:lang w:val="en-GB"/>
          </w:rPr>
          <w:t xml:space="preserve">, determined in accordance with </w:t>
        </w:r>
        <w:bookmarkStart w:id="1122" w:name="_9kR3WTr2CC5CCZLcszv1IM"/>
        <w:r>
          <w:rPr>
            <w:lang w:val="en-GB"/>
          </w:rPr>
          <w:t>Section 4.3</w:t>
        </w:r>
        <w:bookmarkEnd w:id="1122"/>
        <w:r>
          <w:rPr>
            <w:lang w:val="en-GB"/>
          </w:rPr>
          <w:t xml:space="preserve"> of the </w:t>
        </w:r>
        <w:bookmarkStart w:id="1123" w:name="_9kMH3K6ZWu4BC9HKb8EFftq9C9CI23C8EdSx8F7"/>
        <w:r>
          <w:rPr>
            <w:lang w:val="en-GB"/>
          </w:rPr>
          <w:t>NTS Transportation Charging Methodology</w:t>
        </w:r>
        <w:bookmarkEnd w:id="1123"/>
        <w:r>
          <w:rPr>
            <w:lang w:val="en-GB"/>
          </w:rPr>
          <w:t xml:space="preserve"> and set out in the </w:t>
        </w:r>
        <w:bookmarkStart w:id="1124" w:name="_9kMHG5YVt4886FGcbpm5858Eyz84Apq56B568OQ"/>
        <w:r>
          <w:rPr>
            <w:lang w:val="en-GB"/>
          </w:rPr>
          <w:t xml:space="preserve">Transportation Statement of </w:t>
        </w:r>
        <w:bookmarkStart w:id="1125" w:name="_9kMJ7M6ZWu4569GOgFs1x3qpWX6t"/>
        <w:r>
          <w:rPr>
            <w:lang w:val="en-GB"/>
          </w:rPr>
          <w:t>National Grid</w:t>
        </w:r>
        <w:bookmarkEnd w:id="1125"/>
        <w:r>
          <w:rPr>
            <w:lang w:val="en-GB"/>
          </w:rPr>
          <w:t xml:space="preserve"> NTS</w:t>
        </w:r>
        <w:bookmarkEnd w:id="1124"/>
        <w:r>
          <w:rPr>
            <w:lang w:val="en-GB"/>
          </w:rPr>
          <w:t>.</w:t>
        </w:r>
      </w:ins>
    </w:p>
    <w:p>
      <w:pPr>
        <w:pStyle w:val="Level-2"/>
        <w:rPr>
          <w:lang w:val="en-GB"/>
        </w:rPr>
      </w:pPr>
      <w:r>
        <w:rPr>
          <w:lang w:val="en-GB"/>
        </w:rPr>
        <w:t>DN Pensions Deficit Charge</w:t>
      </w:r>
      <w:bookmarkEnd w:id="1060"/>
    </w:p>
    <w:p>
      <w:pPr>
        <w:pStyle w:val="Level-3"/>
        <w:rPr>
          <w:ins w:id="1126" w:author="LOF" w:date="2018-05-08T12:50:00Z"/>
          <w:lang w:val="en-GB"/>
        </w:rPr>
      </w:pPr>
      <w:bookmarkStart w:id="1127" w:name="_9kMHG5YVt48868CPr3BgxxC"/>
      <w:r>
        <w:rPr>
          <w:lang w:val="en-GB"/>
        </w:rPr>
        <w:t>DNO Users</w:t>
      </w:r>
      <w:bookmarkEnd w:id="1127"/>
      <w:r>
        <w:rPr>
          <w:lang w:val="en-GB"/>
        </w:rPr>
        <w:t xml:space="preserve"> shall pay </w:t>
      </w:r>
      <w:ins w:id="1128" w:author="LOF" w:date="2018-05-08T12:50:00Z">
        <w:r>
          <w:rPr>
            <w:lang w:val="en-GB"/>
          </w:rPr>
          <w:t xml:space="preserve">to </w:t>
        </w:r>
      </w:ins>
      <w:bookmarkStart w:id="1129" w:name="_9kMJ8N6ZWu4569GOgFs1x3qpWX6t"/>
      <w:bookmarkStart w:id="1130" w:name="_9kR3WTr26648AVCpyu0nmTU3qWHNoAwT7Kc7MIF"/>
      <w:r>
        <w:rPr>
          <w:lang w:val="en-GB"/>
        </w:rPr>
        <w:t>National Grid</w:t>
      </w:r>
      <w:bookmarkEnd w:id="1129"/>
      <w:r>
        <w:rPr>
          <w:lang w:val="en-GB"/>
        </w:rPr>
        <w:t xml:space="preserve"> NTS </w:t>
      </w:r>
      <w:del w:id="1131" w:author="LOF" w:date="2018-05-08T12:50:00Z">
        <w:r>
          <w:rPr>
            <w:noProof/>
          </w:rPr>
          <w:delText>a transportation charge (</w:delText>
        </w:r>
      </w:del>
      <w:r>
        <w:rPr>
          <w:lang w:val="en-GB"/>
        </w:rPr>
        <w:t xml:space="preserve">the </w:t>
      </w:r>
      <w:del w:id="1132" w:author="LOF" w:date="2018-05-08T12:50:00Z">
        <w:r>
          <w:rPr>
            <w:b/>
            <w:bCs/>
            <w:noProof/>
          </w:rPr>
          <w:delText>“</w:delText>
        </w:r>
      </w:del>
      <w:r>
        <w:rPr>
          <w:lang w:val="en-GB"/>
        </w:rPr>
        <w:t>DN Pensions Deficit Charge</w:t>
      </w:r>
      <w:bookmarkEnd w:id="1130"/>
      <w:del w:id="1133" w:author="LOF" w:date="2018-05-08T12:50:00Z">
        <w:r>
          <w:rPr>
            <w:b/>
            <w:bCs/>
            <w:noProof/>
          </w:rPr>
          <w:delText>”</w:delText>
        </w:r>
        <w:r>
          <w:rPr>
            <w:noProof/>
          </w:rPr>
          <w:delText xml:space="preserve">) in respect of pensions deficits. </w:delText>
        </w:r>
      </w:del>
      <w:ins w:id="1134" w:author="LOF" w:date="2018-05-08T12:50:00Z">
        <w:r>
          <w:rPr>
            <w:lang w:val="en-GB"/>
          </w:rPr>
          <w:t xml:space="preserve">. </w:t>
        </w:r>
      </w:ins>
    </w:p>
    <w:p>
      <w:pPr>
        <w:pStyle w:val="Level-3"/>
        <w:rPr>
          <w:ins w:id="1135" w:author="LOF" w:date="2018-05-08T12:50:00Z"/>
          <w:lang w:val="en-GB"/>
        </w:rPr>
      </w:pPr>
      <w:r>
        <w:rPr>
          <w:lang w:val="en-GB"/>
        </w:rPr>
        <w:t xml:space="preserve">The amount of such </w:t>
      </w:r>
      <w:bookmarkStart w:id="1136" w:name="_9kR3WTr266469Mp2Kp40x38ZGpustBgPu5C0"/>
      <w:r>
        <w:rPr>
          <w:lang w:val="en-GB"/>
        </w:rPr>
        <w:t>DN Pensions Deficit Charge</w:t>
      </w:r>
      <w:bookmarkEnd w:id="1136"/>
      <w:r>
        <w:rPr>
          <w:lang w:val="en-GB"/>
        </w:rPr>
        <w:t xml:space="preserve"> shall be determined in accordance </w:t>
      </w:r>
      <w:bookmarkStart w:id="1137" w:name="_9kR3WTr2CC5CDaLcszv1IN"/>
      <w:ins w:id="1138" w:author="LOF" w:date="2018-05-08T12:50:00Z">
        <w:r>
          <w:rPr>
            <w:lang w:val="en-GB"/>
          </w:rPr>
          <w:t>Section 4.4</w:t>
        </w:r>
        <w:bookmarkEnd w:id="1137"/>
        <w:r>
          <w:rPr>
            <w:lang w:val="en-GB"/>
          </w:rPr>
          <w:t xml:space="preserve"> </w:t>
        </w:r>
        <w:bookmarkStart w:id="1139" w:name="_9kMHG5YVt9ID89Bus731123p"/>
        <w:r>
          <w:rPr>
            <w:lang w:val="en-GB"/>
          </w:rPr>
          <w:t xml:space="preserve">of the </w:t>
        </w:r>
        <w:bookmarkStart w:id="1140" w:name="_9kMH4L6ZWu4BC9HKb8EFftq9C9CI23C8EdSx8F7"/>
        <w:r>
          <w:rPr>
            <w:lang w:val="en-GB"/>
          </w:rPr>
          <w:t>NTS Transportation Charging Methodology</w:t>
        </w:r>
        <w:bookmarkEnd w:id="1140"/>
        <w:r>
          <w:rPr>
            <w:lang w:val="en-GB"/>
          </w:rPr>
          <w:t xml:space="preserve"> and set out in </w:t>
        </w:r>
      </w:ins>
      <w:r>
        <w:rPr>
          <w:lang w:val="en-GB"/>
        </w:rPr>
        <w:t xml:space="preserve">with the </w:t>
      </w:r>
      <w:bookmarkStart w:id="1141" w:name="_9kMIH5YVt4886FGcbpm5858Eyz84Apq56B568OQ"/>
      <w:r>
        <w:rPr>
          <w:lang w:val="en-GB"/>
        </w:rPr>
        <w:t xml:space="preserve">Transportation Statement of </w:t>
      </w:r>
      <w:bookmarkStart w:id="1142" w:name="_9kMJ9O6ZWu4569GOgFs1x3qpWX6t"/>
      <w:r>
        <w:rPr>
          <w:lang w:val="en-GB"/>
        </w:rPr>
        <w:t>National Grid</w:t>
      </w:r>
      <w:bookmarkEnd w:id="1142"/>
      <w:r>
        <w:rPr>
          <w:lang w:val="en-GB"/>
        </w:rPr>
        <w:t xml:space="preserve"> NTS</w:t>
      </w:r>
      <w:bookmarkEnd w:id="1141"/>
      <w:r>
        <w:rPr>
          <w:lang w:val="en-GB"/>
        </w:rPr>
        <w:t>.</w:t>
      </w:r>
      <w:bookmarkEnd w:id="1139"/>
      <w:r>
        <w:rPr>
          <w:lang w:val="en-GB"/>
        </w:rPr>
        <w:t xml:space="preserve"> </w:t>
      </w:r>
      <w:del w:id="1143" w:author="LOF" w:date="2018-05-08T12:50:00Z">
        <w:r>
          <w:rPr>
            <w:noProof/>
          </w:rPr>
          <w:delText>Such</w:delText>
        </w:r>
      </w:del>
    </w:p>
    <w:p>
      <w:pPr>
        <w:pStyle w:val="Level-2"/>
        <w:rPr>
          <w:ins w:id="1144" w:author="LOF" w:date="2018-05-08T12:50:00Z"/>
          <w:lang w:val="en-GB"/>
        </w:rPr>
      </w:pPr>
      <w:ins w:id="1145" w:author="LOF" w:date="2018-05-08T12:50:00Z">
        <w:r>
          <w:rPr>
            <w:lang w:val="en-GB"/>
          </w:rPr>
          <w:t>Shared Supply Meter Point Administration Charges</w:t>
        </w:r>
      </w:ins>
    </w:p>
    <w:p>
      <w:pPr>
        <w:pStyle w:val="Level-3"/>
        <w:rPr>
          <w:ins w:id="1146" w:author="LOF" w:date="2018-05-08T12:50:00Z"/>
          <w:lang w:val="en-GB"/>
        </w:rPr>
      </w:pPr>
      <w:ins w:id="1147" w:author="LOF" w:date="2018-05-08T12:50:00Z">
        <w:r>
          <w:rPr>
            <w:lang w:val="en-GB"/>
          </w:rPr>
          <w:t xml:space="preserve">A </w:t>
        </w:r>
        <w:bookmarkStart w:id="1148" w:name="_9kMML5YVt4886DKhQnw4uxok11"/>
        <w:r>
          <w:rPr>
            <w:lang w:val="en-GB"/>
          </w:rPr>
          <w:t>Shipper User</w:t>
        </w:r>
        <w:bookmarkEnd w:id="1148"/>
        <w:r>
          <w:rPr>
            <w:lang w:val="en-GB"/>
          </w:rPr>
          <w:t xml:space="preserve"> which is a </w:t>
        </w:r>
        <w:bookmarkStart w:id="1149" w:name="_9kR3WTr2664BDZKglyAxwxkbl22D2pdfu5AxmyS"/>
        <w:r>
          <w:rPr>
            <w:lang w:val="en-GB"/>
          </w:rPr>
          <w:t>Registered User of a Shared Supply Meter Point</w:t>
        </w:r>
        <w:bookmarkEnd w:id="1149"/>
        <w:r>
          <w:rPr>
            <w:lang w:val="en-GB"/>
          </w:rPr>
          <w:t xml:space="preserve"> shall </w:t>
        </w:r>
        <w:r>
          <w:rPr>
            <w:lang w:val="en-GB"/>
          </w:rPr>
          <w:lastRenderedPageBreak/>
          <w:t xml:space="preserve">pay to </w:t>
        </w:r>
        <w:bookmarkStart w:id="1150" w:name="_9kMJAP6ZWu4569GOgFs1x3qpWX6t"/>
        <w:bookmarkStart w:id="1151" w:name="_9kR3WTr26648CXCpyu0nmTU3qWHNoAwigv6Bynz"/>
        <w:r>
          <w:rPr>
            <w:lang w:val="en-GB"/>
          </w:rPr>
          <w:t>National Grid</w:t>
        </w:r>
        <w:bookmarkEnd w:id="1150"/>
        <w:r>
          <w:rPr>
            <w:lang w:val="en-GB"/>
          </w:rPr>
          <w:t xml:space="preserve"> NTS the Shared Supply Meter Point Administration Charges</w:t>
        </w:r>
        <w:bookmarkEnd w:id="1151"/>
        <w:r>
          <w:rPr>
            <w:lang w:val="en-GB"/>
          </w:rPr>
          <w:t>.</w:t>
        </w:r>
      </w:ins>
    </w:p>
    <w:p>
      <w:pPr>
        <w:pStyle w:val="Level-3"/>
        <w:rPr>
          <w:ins w:id="1152" w:author="LOF" w:date="2018-05-08T12:50:00Z"/>
          <w:lang w:val="en-GB"/>
        </w:rPr>
      </w:pPr>
      <w:ins w:id="1153" w:author="LOF" w:date="2018-05-08T12:50:00Z">
        <w:r>
          <w:rPr>
            <w:lang w:val="en-GB"/>
          </w:rPr>
          <w:t xml:space="preserve">The amounts </w:t>
        </w:r>
        <w:bookmarkStart w:id="1154" w:name="_9kR3WTr7GB5DLpPctt"/>
        <w:bookmarkStart w:id="1155" w:name="_9kMIH5YVt9ID7FLpPRox5vypl22"/>
        <w:r>
          <w:rPr>
            <w:lang w:val="en-GB"/>
          </w:rPr>
          <w:t xml:space="preserve">payable by a </w:t>
        </w:r>
        <w:bookmarkStart w:id="1156" w:name="_9kMNM5YVt4886DKhQnw4uxok11"/>
        <w:r>
          <w:rPr>
            <w:lang w:val="en-GB"/>
          </w:rPr>
          <w:t>Shipper User</w:t>
        </w:r>
        <w:bookmarkEnd w:id="1156"/>
        <w:bookmarkEnd w:id="1154"/>
        <w:r>
          <w:rPr>
            <w:lang w:val="en-GB"/>
          </w:rPr>
          <w:t xml:space="preserve"> in respect of</w:t>
        </w:r>
        <w:bookmarkEnd w:id="1155"/>
        <w:r>
          <w:rPr>
            <w:lang w:val="en-GB"/>
          </w:rPr>
          <w:t xml:space="preserve"> the </w:t>
        </w:r>
        <w:bookmarkStart w:id="1157" w:name="_9kR3WTr2664BGdOdotgVhB74EqR565rj99LjO7D"/>
        <w:r>
          <w:rPr>
            <w:lang w:val="en-GB"/>
          </w:rPr>
          <w:t>Shared Supply Meter Point Administration Charge</w:t>
        </w:r>
        <w:bookmarkEnd w:id="1157"/>
        <w:r>
          <w:rPr>
            <w:lang w:val="en-GB"/>
          </w:rPr>
          <w:t xml:space="preserve"> are the amounts, upon establishing the </w:t>
        </w:r>
        <w:bookmarkStart w:id="1158" w:name="_9kR3WTr2664BFcOdotgVhB74EqR565rj99L"/>
        <w:r>
          <w:rPr>
            <w:lang w:val="en-GB"/>
          </w:rPr>
          <w:t>Shared Supply Meter Point</w:t>
        </w:r>
        <w:bookmarkEnd w:id="1158"/>
        <w:r>
          <w:rPr>
            <w:lang w:val="en-GB"/>
          </w:rPr>
          <w:t xml:space="preserve">, upon a change of any of the </w:t>
        </w:r>
        <w:bookmarkStart w:id="1159" w:name="_9kR3WTr2664BHeOdoxutYRns5H434ris99O"/>
        <w:r>
          <w:rPr>
            <w:lang w:val="en-GB"/>
          </w:rPr>
          <w:t>Sharing Registered Users</w:t>
        </w:r>
        <w:bookmarkEnd w:id="1159"/>
        <w:r>
          <w:rPr>
            <w:lang w:val="en-GB"/>
          </w:rPr>
          <w:t xml:space="preserve">, and for </w:t>
        </w:r>
        <w:bookmarkStart w:id="1160" w:name="_9kMH1I6ZWu4789GFocbjL91"/>
        <w:r>
          <w:rPr>
            <w:lang w:val="en-GB"/>
          </w:rPr>
          <w:t>each Day</w:t>
        </w:r>
        <w:bookmarkEnd w:id="1160"/>
        <w:r>
          <w:rPr>
            <w:lang w:val="en-GB"/>
          </w:rPr>
          <w:t xml:space="preserve"> for which it is </w:t>
        </w:r>
        <w:bookmarkStart w:id="1161" w:name="_9kMHG5YVt4886CMjMin0Czyzmdn44"/>
        <w:r>
          <w:rPr>
            <w:lang w:val="en-GB"/>
          </w:rPr>
          <w:t>Registered User</w:t>
        </w:r>
        <w:bookmarkEnd w:id="1161"/>
        <w:r>
          <w:rPr>
            <w:lang w:val="en-GB"/>
          </w:rPr>
          <w:t xml:space="preserve"> of the </w:t>
        </w:r>
        <w:bookmarkStart w:id="1162" w:name="_9kMHG5YVt4886DHeQfqviXjD96GsT787tlBBN"/>
        <w:r>
          <w:rPr>
            <w:lang w:val="en-GB"/>
          </w:rPr>
          <w:t>Shared Supply Meter Point</w:t>
        </w:r>
        <w:bookmarkEnd w:id="1162"/>
        <w:r>
          <w:rPr>
            <w:lang w:val="en-GB"/>
          </w:rPr>
          <w:t xml:space="preserve">, determined in accordance with </w:t>
        </w:r>
        <w:bookmarkStart w:id="1163" w:name="_9kR3WTr2CC5CEbLcszv1IO"/>
        <w:r>
          <w:rPr>
            <w:lang w:val="en-GB"/>
          </w:rPr>
          <w:t>Section 4.5</w:t>
        </w:r>
        <w:bookmarkEnd w:id="1163"/>
        <w:r>
          <w:rPr>
            <w:lang w:val="en-GB"/>
          </w:rPr>
          <w:t xml:space="preserve"> </w:t>
        </w:r>
        <w:bookmarkStart w:id="1164" w:name="_9kR3WTr7GB678rqWEr0w2poVW5sYJPpxr52LOLO"/>
        <w:bookmarkStart w:id="1165" w:name="_9kR3WTr7GB679sq51zz01n"/>
        <w:r>
          <w:rPr>
            <w:lang w:val="en-GB"/>
          </w:rPr>
          <w:t xml:space="preserve">of the </w:t>
        </w:r>
        <w:bookmarkStart w:id="1166" w:name="_9kMH5M6ZWu4BC9HKb8EFftq9C9CI23C8EdSx8F7"/>
        <w:r>
          <w:rPr>
            <w:lang w:val="en-GB"/>
          </w:rPr>
          <w:t>NTS Transportation Charging Methodology</w:t>
        </w:r>
        <w:bookmarkEnd w:id="1166"/>
        <w:r>
          <w:rPr>
            <w:lang w:val="en-GB"/>
          </w:rPr>
          <w:t xml:space="preserve"> and set out </w:t>
        </w:r>
        <w:bookmarkStart w:id="1167" w:name="_9kR3WTr7GB676pqjZcp5vfqtl6B99ABx"/>
        <w:r>
          <w:rPr>
            <w:lang w:val="en-GB"/>
          </w:rPr>
          <w:t xml:space="preserve">in the </w:t>
        </w:r>
        <w:bookmarkStart w:id="1168" w:name="_9kMJI5YVt4886FGcbpm5858Eyz84Apq56B568OQ"/>
        <w:r>
          <w:rPr>
            <w:lang w:val="en-GB"/>
          </w:rPr>
          <w:t>Transportation Statement</w:t>
        </w:r>
        <w:bookmarkEnd w:id="1167"/>
        <w:bookmarkEnd w:id="1164"/>
        <w:r>
          <w:rPr>
            <w:lang w:val="en-GB"/>
          </w:rPr>
          <w:t xml:space="preserve"> of </w:t>
        </w:r>
        <w:bookmarkStart w:id="1169" w:name="_9kMK2G6ZWu4569GOgFs1x3qpWX6t"/>
        <w:r>
          <w:rPr>
            <w:lang w:val="en-GB"/>
          </w:rPr>
          <w:t>National Grid</w:t>
        </w:r>
        <w:bookmarkEnd w:id="1169"/>
        <w:r>
          <w:rPr>
            <w:lang w:val="en-GB"/>
          </w:rPr>
          <w:t xml:space="preserve"> NTS</w:t>
        </w:r>
        <w:bookmarkEnd w:id="1168"/>
        <w:r>
          <w:rPr>
            <w:lang w:val="en-GB"/>
          </w:rPr>
          <w:t>.</w:t>
        </w:r>
        <w:bookmarkEnd w:id="1165"/>
      </w:ins>
    </w:p>
    <w:p>
      <w:pPr>
        <w:pStyle w:val="Level-2"/>
        <w:rPr>
          <w:ins w:id="1170" w:author="LOF" w:date="2018-05-08T12:50:00Z"/>
          <w:lang w:val="en-GB"/>
        </w:rPr>
      </w:pPr>
      <w:ins w:id="1171" w:author="LOF" w:date="2018-05-08T12:50:00Z">
        <w:r>
          <w:rPr>
            <w:lang w:val="en-GB"/>
          </w:rPr>
          <w:t xml:space="preserve">Interconnection Point Allocation Charges </w:t>
        </w:r>
      </w:ins>
    </w:p>
    <w:p>
      <w:pPr>
        <w:pStyle w:val="Level-3"/>
        <w:rPr>
          <w:ins w:id="1172" w:author="LOF" w:date="2018-05-08T12:50:00Z"/>
          <w:lang w:val="en-GB"/>
        </w:rPr>
      </w:pPr>
      <w:ins w:id="1173" w:author="LOF" w:date="2018-05-08T12:50:00Z">
        <w:r>
          <w:rPr>
            <w:lang w:val="en-GB"/>
          </w:rPr>
          <w:t xml:space="preserve">A </w:t>
        </w:r>
        <w:bookmarkStart w:id="1174" w:name="_9kMON5YVt4886DKhQnw4uxok11"/>
        <w:r>
          <w:rPr>
            <w:lang w:val="en-GB"/>
          </w:rPr>
          <w:t>Shipper User</w:t>
        </w:r>
        <w:bookmarkEnd w:id="1174"/>
        <w:r>
          <w:rPr>
            <w:lang w:val="en-GB"/>
          </w:rPr>
          <w:t xml:space="preserve"> which delivers gas to or offtakes gas or from the </w:t>
        </w:r>
        <w:bookmarkStart w:id="1175" w:name="_9kR3WTr26649CW5BJrsnWR910zx991r7EAGsoEE"/>
        <w:r>
          <w:rPr>
            <w:lang w:val="en-GB"/>
          </w:rPr>
          <w:t>NTS at an Interconnection Point</w:t>
        </w:r>
        <w:bookmarkEnd w:id="1175"/>
        <w:r>
          <w:rPr>
            <w:lang w:val="en-GB"/>
          </w:rPr>
          <w:t xml:space="preserve"> shall pay the </w:t>
        </w:r>
        <w:bookmarkStart w:id="1176" w:name="_9kR3WTr26647DUK2utsq22uk0739lh77JhUCG8v"/>
        <w:r>
          <w:rPr>
            <w:lang w:val="en-GB"/>
          </w:rPr>
          <w:t xml:space="preserve">Interconnection Point Allocation Charges to </w:t>
        </w:r>
        <w:bookmarkStart w:id="1177" w:name="_9kMK3H6ZWu4569GOgFs1x3qpWX6t"/>
        <w:r>
          <w:rPr>
            <w:lang w:val="en-GB"/>
          </w:rPr>
          <w:t>National Grid</w:t>
        </w:r>
        <w:bookmarkEnd w:id="1177"/>
        <w:r>
          <w:rPr>
            <w:lang w:val="en-GB"/>
          </w:rPr>
          <w:t xml:space="preserve"> NTS</w:t>
        </w:r>
        <w:bookmarkEnd w:id="1176"/>
        <w:r>
          <w:rPr>
            <w:lang w:val="en-GB"/>
          </w:rPr>
          <w:t>.</w:t>
        </w:r>
      </w:ins>
    </w:p>
    <w:p>
      <w:pPr>
        <w:pStyle w:val="Level-3"/>
        <w:rPr>
          <w:ins w:id="1178" w:author="LOF" w:date="2018-05-08T12:50:00Z"/>
          <w:lang w:val="en-GB"/>
        </w:rPr>
      </w:pPr>
      <w:ins w:id="1179" w:author="LOF" w:date="2018-05-08T12:50:00Z">
        <w:r>
          <w:rPr>
            <w:lang w:val="en-GB"/>
          </w:rPr>
          <w:t xml:space="preserve">The amounts </w:t>
        </w:r>
        <w:bookmarkStart w:id="1180" w:name="_9kMJI5YVt9ID7FLpPRox5vypl22"/>
        <w:r>
          <w:rPr>
            <w:lang w:val="en-GB"/>
          </w:rPr>
          <w:t xml:space="preserve">payable by a </w:t>
        </w:r>
        <w:bookmarkStart w:id="1181" w:name="_9kMPO5YVt4886DKhQnw4uxok11"/>
        <w:r>
          <w:rPr>
            <w:lang w:val="en-GB"/>
          </w:rPr>
          <w:t>Shipper User</w:t>
        </w:r>
        <w:bookmarkEnd w:id="1181"/>
        <w:r>
          <w:rPr>
            <w:lang w:val="en-GB"/>
          </w:rPr>
          <w:t xml:space="preserve"> in respect of</w:t>
        </w:r>
        <w:bookmarkEnd w:id="1180"/>
        <w:r>
          <w:rPr>
            <w:lang w:val="en-GB"/>
          </w:rPr>
          <w:t xml:space="preserve"> the </w:t>
        </w:r>
        <w:bookmarkStart w:id="1182" w:name="_9kR3WTr26647CTK2utsq22uk0739lh77JhUCG8v"/>
        <w:r>
          <w:rPr>
            <w:lang w:val="en-GB"/>
          </w:rPr>
          <w:t>Interconnection Point Allocation Charges</w:t>
        </w:r>
        <w:bookmarkEnd w:id="1182"/>
        <w:r>
          <w:rPr>
            <w:lang w:val="en-GB"/>
          </w:rPr>
          <w:t xml:space="preserve"> are the amounts, upon becoming a </w:t>
        </w:r>
        <w:bookmarkStart w:id="1183" w:name="_9kMJ6L6ZWu5997GMjevv"/>
        <w:r>
          <w:rPr>
            <w:lang w:val="en-GB"/>
          </w:rPr>
          <w:t>User</w:t>
        </w:r>
        <w:bookmarkEnd w:id="1183"/>
        <w:r>
          <w:rPr>
            <w:lang w:val="en-GB"/>
          </w:rPr>
          <w:t xml:space="preserve"> (as provided in </w:t>
        </w:r>
        <w:bookmarkStart w:id="1184" w:name="_9kR3WTr3CB5CKTll"/>
        <w:bookmarkStart w:id="1185" w:name="_9kR3WTr4756BBMll"/>
        <w:r>
          <w:rPr>
            <w:lang w:val="en-GB"/>
          </w:rPr>
          <w:t>EID</w:t>
        </w:r>
        <w:bookmarkEnd w:id="1184"/>
        <w:bookmarkEnd w:id="1185"/>
        <w:r>
          <w:rPr>
            <w:lang w:val="en-GB"/>
          </w:rPr>
          <w:t xml:space="preserve"> </w:t>
        </w:r>
        <w:bookmarkStart w:id="1186" w:name="_9kR3WTr2CC5CGdLcszv1OYMNv"/>
        <w:r>
          <w:rPr>
            <w:lang w:val="en-GB"/>
          </w:rPr>
          <w:t>Section A2.4.2(b)</w:t>
        </w:r>
        <w:bookmarkEnd w:id="1186"/>
        <w:r>
          <w:rPr>
            <w:lang w:val="en-GB"/>
          </w:rPr>
          <w:t xml:space="preserve">) of the </w:t>
        </w:r>
        <w:bookmarkStart w:id="1187" w:name="_9kR3WTr26647BSK2utsq22uk0739lh77J"/>
        <w:r>
          <w:rPr>
            <w:lang w:val="en-GB"/>
          </w:rPr>
          <w:t>Interconnection Point</w:t>
        </w:r>
        <w:bookmarkEnd w:id="1187"/>
        <w:r>
          <w:rPr>
            <w:lang w:val="en-GB"/>
          </w:rPr>
          <w:t xml:space="preserve">, and for </w:t>
        </w:r>
        <w:bookmarkStart w:id="1188" w:name="_9kMH2J6ZWu4789GFocbjL91"/>
        <w:r>
          <w:rPr>
            <w:lang w:val="en-GB"/>
          </w:rPr>
          <w:t>each Day</w:t>
        </w:r>
        <w:bookmarkEnd w:id="1188"/>
        <w:r>
          <w:rPr>
            <w:lang w:val="en-GB"/>
          </w:rPr>
          <w:t xml:space="preserve"> on which it delivers and/or offtakes gas (as an UDQI or UDQO) at the </w:t>
        </w:r>
        <w:bookmarkStart w:id="1189" w:name="_9kMHG5YVt48869DUM4wvus44wm295Bnj99L"/>
        <w:r>
          <w:rPr>
            <w:lang w:val="en-GB"/>
          </w:rPr>
          <w:t>Interconnection Point</w:t>
        </w:r>
        <w:bookmarkEnd w:id="1189"/>
        <w:r>
          <w:rPr>
            <w:lang w:val="en-GB"/>
          </w:rPr>
          <w:t xml:space="preserve">, determined in accordance with </w:t>
        </w:r>
        <w:bookmarkStart w:id="1190" w:name="_9kR3WTr2CC5CFcLcszv1IP"/>
        <w:r>
          <w:rPr>
            <w:lang w:val="en-GB"/>
          </w:rPr>
          <w:t>Section 4.6</w:t>
        </w:r>
        <w:bookmarkEnd w:id="1190"/>
        <w:r>
          <w:rPr>
            <w:lang w:val="en-GB"/>
          </w:rPr>
          <w:t xml:space="preserve"> of the </w:t>
        </w:r>
        <w:bookmarkStart w:id="1191" w:name="_9kMH6N6ZWu4BC9HKb8EFftq9C9CI23C8EdSx8F7"/>
        <w:r>
          <w:rPr>
            <w:lang w:val="en-GB"/>
          </w:rPr>
          <w:t>NTS Transportation Charging Methodology</w:t>
        </w:r>
        <w:bookmarkEnd w:id="1191"/>
        <w:r>
          <w:rPr>
            <w:lang w:val="en-GB"/>
          </w:rPr>
          <w:t xml:space="preserve"> and set out in the </w:t>
        </w:r>
        <w:bookmarkStart w:id="1192" w:name="_9kMKJ5YVt4886FGcbpm5858Eyz84Apq56B568OQ"/>
        <w:r>
          <w:rPr>
            <w:lang w:val="en-GB"/>
          </w:rPr>
          <w:t xml:space="preserve">Transportation Statement of </w:t>
        </w:r>
        <w:bookmarkStart w:id="1193" w:name="_9kMK4I6ZWu4569GOgFs1x3qpWX6t"/>
        <w:r>
          <w:rPr>
            <w:lang w:val="en-GB"/>
          </w:rPr>
          <w:t>National Grid</w:t>
        </w:r>
        <w:bookmarkEnd w:id="1193"/>
        <w:r>
          <w:rPr>
            <w:lang w:val="en-GB"/>
          </w:rPr>
          <w:t xml:space="preserve"> NTS</w:t>
        </w:r>
        <w:bookmarkEnd w:id="1192"/>
        <w:r>
          <w:rPr>
            <w:lang w:val="en-GB"/>
          </w:rPr>
          <w:t>.</w:t>
        </w:r>
      </w:ins>
    </w:p>
    <w:p>
      <w:pPr>
        <w:pStyle w:val="Level-2"/>
        <w:rPr>
          <w:ins w:id="1194" w:author="LOF" w:date="2018-05-08T12:50:00Z"/>
          <w:lang w:val="en-GB"/>
        </w:rPr>
      </w:pPr>
      <w:ins w:id="1195" w:author="LOF" w:date="2018-05-08T12:50:00Z">
        <w:r>
          <w:rPr>
            <w:lang w:val="en-GB"/>
          </w:rPr>
          <w:t>Invoicing and payment</w:t>
        </w:r>
      </w:ins>
    </w:p>
    <w:p>
      <w:pPr>
        <w:pStyle w:val="Level-3"/>
        <w:rPr>
          <w:lang w:val="en-GB"/>
        </w:rPr>
      </w:pPr>
      <w:bookmarkStart w:id="1196" w:name="_9kMKJ5YVt5ED7FFbcWCvy2F"/>
      <w:bookmarkStart w:id="1197" w:name="_9kMIH5YVt4886DNkcWCvy2FYP68E46LC9FeTy9G"/>
      <w:ins w:id="1198" w:author="LOF" w:date="2018-05-08T12:50:00Z">
        <w:r>
          <w:rPr>
            <w:lang w:val="en-GB"/>
          </w:rPr>
          <w:t>St Fergus</w:t>
        </w:r>
        <w:bookmarkEnd w:id="1196"/>
        <w:r>
          <w:rPr>
            <w:lang w:val="en-GB"/>
          </w:rPr>
          <w:t xml:space="preserve"> Compression Charges</w:t>
        </w:r>
        <w:bookmarkEnd w:id="1197"/>
        <w:r>
          <w:rPr>
            <w:lang w:val="en-GB"/>
          </w:rPr>
          <w:t xml:space="preserve">, </w:t>
        </w:r>
        <w:bookmarkStart w:id="1199" w:name="_9kR3WTr26649Jd5B5IwxwfJm0C4zwx0sTRw7E2F"/>
        <w:r>
          <w:rPr>
            <w:lang w:val="en-GB"/>
          </w:rPr>
          <w:t>NTS Meter Maintenance Charges</w:t>
        </w:r>
        <w:bookmarkEnd w:id="1199"/>
        <w:r>
          <w:rPr>
            <w:lang w:val="en-GB"/>
          </w:rPr>
          <w:t>,</w:t>
        </w:r>
      </w:ins>
      <w:r>
        <w:rPr>
          <w:lang w:val="en-GB"/>
        </w:rPr>
        <w:t xml:space="preserve"> </w:t>
      </w:r>
      <w:bookmarkStart w:id="1200" w:name="_9kMHG5YVt48868BOr4Mr62z5AbIrwuvDiRw7E2"/>
      <w:r>
        <w:rPr>
          <w:lang w:val="en-GB"/>
        </w:rPr>
        <w:t>DN Pensions Deficit Charges</w:t>
      </w:r>
      <w:bookmarkEnd w:id="1200"/>
      <w:ins w:id="1201" w:author="LOF" w:date="2018-05-08T12:50:00Z">
        <w:r>
          <w:rPr>
            <w:lang w:val="en-GB"/>
          </w:rPr>
          <w:t xml:space="preserve">, </w:t>
        </w:r>
        <w:bookmarkStart w:id="1202" w:name="_9kMHG5YVt4886DIfQfqviXjD96GsT787tlBBNlQ"/>
        <w:r>
          <w:rPr>
            <w:lang w:val="en-GB"/>
          </w:rPr>
          <w:t>Shared Supply Meter Point Administration Charges</w:t>
        </w:r>
        <w:bookmarkEnd w:id="1202"/>
        <w:r>
          <w:rPr>
            <w:lang w:val="en-GB"/>
          </w:rPr>
          <w:t xml:space="preserve">, and </w:t>
        </w:r>
        <w:bookmarkStart w:id="1203" w:name="_9kMHG5YVt48869EVM4wvus44wm295Bnj99LjWEI"/>
        <w:r>
          <w:rPr>
            <w:lang w:val="en-GB"/>
          </w:rPr>
          <w:t>Interconnection Point Allocation Charges</w:t>
        </w:r>
      </w:ins>
      <w:bookmarkEnd w:id="1203"/>
      <w:r>
        <w:rPr>
          <w:lang w:val="en-GB"/>
        </w:rPr>
        <w:t xml:space="preserve"> shall be invoiced and payable in accordance with </w:t>
      </w:r>
      <w:bookmarkStart w:id="1204" w:name="_9kMIH5YVt4EE7EJgNeu1x3i"/>
      <w:r>
        <w:rPr>
          <w:lang w:val="en-GB"/>
        </w:rPr>
        <w:t>Section S</w:t>
      </w:r>
      <w:bookmarkEnd w:id="1204"/>
      <w:r>
        <w:rPr>
          <w:lang w:val="en-GB"/>
        </w:rPr>
        <w:t>.</w:t>
      </w:r>
      <w:del w:id="1205" w:author="LOF" w:date="2018-05-08T12:50:00Z">
        <w:r>
          <w:rPr>
            <w:noProof/>
          </w:rPr>
          <w:delText xml:space="preserve"> </w:delText>
        </w:r>
      </w:del>
    </w:p>
    <w:sectPr>
      <w:headerReference w:type="even" r:id="rId9"/>
      <w:headerReference w:type="default" r:id="rId10"/>
      <w:footerReference w:type="even" r:id="rId11"/>
      <w:footerReference w:type="default" r:id="rId12"/>
      <w:headerReference w:type="first" r:id="rId13"/>
      <w:footerReference w:type="first" r:id="rId14"/>
      <w:type w:val="oddPage"/>
      <w:pgSz w:w="11907" w:h="16842" w:code="9"/>
      <w:pgMar w:top="1440" w:right="1701" w:bottom="1440" w:left="1701" w:header="720" w:footer="720" w:gutter="0"/>
      <w:paperSrc w:first="264" w:other="264"/>
      <w:pgNumType w:start="1" w:chapStyle="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fldChar w:fldCharType="begin"/>
    </w:r>
    <w:r>
      <w:instrText xml:space="preserve"> DOCPROPERTY DocumentNumber </w:instrText>
    </w:r>
    <w:r>
      <w:fldChar w:fldCharType="separate"/>
    </w:r>
    <w:r>
      <w:t>63521674.01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8C3AFBB2"/>
    <w:lvl w:ilvl="0">
      <w:start w:val="1"/>
      <w:numFmt w:val="decimal"/>
      <w:pStyle w:val="Appendix"/>
      <w:suff w:val="nothing"/>
      <w:lvlText w:val="Appendix"/>
      <w:lvlJc w:val="left"/>
      <w:rPr>
        <w:rFonts w:hint="eastAsia"/>
        <w:spacing w:val="0"/>
      </w:rPr>
    </w:lvl>
    <w:lvl w:ilvl="1">
      <w:start w:val="1"/>
      <w:numFmt w:val="none"/>
      <w:suff w:val="nothing"/>
      <w:lvlText w:val=""/>
      <w:lvlJc w:val="left"/>
      <w:rPr>
        <w:rFonts w:hint="eastAsia"/>
        <w:spacing w:val="0"/>
      </w:rPr>
    </w:lvl>
    <w:lvl w:ilvl="2">
      <w:start w:val="1"/>
      <w:numFmt w:val="none"/>
      <w:suff w:val="nothing"/>
      <w:lvlText w:val=""/>
      <w:lvlJc w:val="left"/>
      <w:rPr>
        <w:rFonts w:hint="eastAsia"/>
        <w:spacing w:val="0"/>
      </w:rPr>
    </w:lvl>
    <w:lvl w:ilvl="3">
      <w:start w:val="1"/>
      <w:numFmt w:val="none"/>
      <w:suff w:val="nothing"/>
      <w:lvlText w:val=""/>
      <w:lvlJc w:val="left"/>
      <w:rPr>
        <w:rFonts w:hint="eastAsia"/>
        <w:spacing w:val="0"/>
      </w:rPr>
    </w:lvl>
    <w:lvl w:ilvl="4">
      <w:start w:val="1"/>
      <w:numFmt w:val="none"/>
      <w:suff w:val="nothing"/>
      <w:lvlText w:val=""/>
      <w:lvlJc w:val="left"/>
      <w:rPr>
        <w:rFonts w:hint="eastAsia"/>
        <w:spacing w:val="0"/>
      </w:rPr>
    </w:lvl>
    <w:lvl w:ilvl="5">
      <w:start w:val="1"/>
      <w:numFmt w:val="none"/>
      <w:suff w:val="nothing"/>
      <w:lvlText w:val=""/>
      <w:lvlJc w:val="left"/>
      <w:rPr>
        <w:rFonts w:hint="eastAsia"/>
        <w:spacing w:val="0"/>
      </w:rPr>
    </w:lvl>
    <w:lvl w:ilvl="6">
      <w:start w:val="1"/>
      <w:numFmt w:val="none"/>
      <w:suff w:val="nothing"/>
      <w:lvlText w:val=""/>
      <w:lvlJc w:val="left"/>
      <w:rPr>
        <w:rFonts w:hint="eastAsia"/>
        <w:spacing w:val="0"/>
      </w:rPr>
    </w:lvl>
    <w:lvl w:ilvl="7">
      <w:start w:val="1"/>
      <w:numFmt w:val="none"/>
      <w:suff w:val="nothing"/>
      <w:lvlText w:val=""/>
      <w:lvlJc w:val="left"/>
      <w:rPr>
        <w:rFonts w:hint="eastAsia"/>
        <w:spacing w:val="0"/>
      </w:rPr>
    </w:lvl>
    <w:lvl w:ilvl="8">
      <w:start w:val="1"/>
      <w:numFmt w:val="none"/>
      <w:suff w:val="nothing"/>
      <w:lvlText w:val=""/>
      <w:lvlJc w:val="left"/>
      <w:rPr>
        <w:rFonts w:hint="eastAsia"/>
        <w:spacing w:val="0"/>
      </w:rPr>
    </w:lvl>
  </w:abstractNum>
  <w:abstractNum w:abstractNumId="1">
    <w:nsid w:val="00000015"/>
    <w:multiLevelType w:val="multilevel"/>
    <w:tmpl w:val="B1440898"/>
    <w:lvl w:ilvl="0">
      <w:start w:val="1"/>
      <w:numFmt w:val="decimal"/>
      <w:pStyle w:val="Schedule"/>
      <w:suff w:val="nothing"/>
      <w:lvlText w:val="Schedule %1"/>
      <w:lvlJc w:val="left"/>
      <w:rPr>
        <w:rFonts w:hint="eastAsia"/>
        <w:spacing w:val="0"/>
      </w:rPr>
    </w:lvl>
    <w:lvl w:ilvl="1">
      <w:start w:val="1"/>
      <w:numFmt w:val="none"/>
      <w:suff w:val="nothing"/>
      <w:lvlText w:val=""/>
      <w:lvlJc w:val="left"/>
      <w:rPr>
        <w:rFonts w:hint="eastAsia"/>
        <w:spacing w:val="0"/>
      </w:rPr>
    </w:lvl>
    <w:lvl w:ilvl="2">
      <w:start w:val="1"/>
      <w:numFmt w:val="none"/>
      <w:suff w:val="nothing"/>
      <w:lvlText w:val=""/>
      <w:lvlJc w:val="left"/>
      <w:rPr>
        <w:rFonts w:hint="eastAsia"/>
        <w:spacing w:val="0"/>
      </w:rPr>
    </w:lvl>
    <w:lvl w:ilvl="3">
      <w:start w:val="1"/>
      <w:numFmt w:val="none"/>
      <w:suff w:val="nothing"/>
      <w:lvlText w:val=""/>
      <w:lvlJc w:val="left"/>
      <w:rPr>
        <w:rFonts w:hint="eastAsia"/>
        <w:spacing w:val="0"/>
      </w:rPr>
    </w:lvl>
    <w:lvl w:ilvl="4">
      <w:start w:val="1"/>
      <w:numFmt w:val="none"/>
      <w:suff w:val="nothing"/>
      <w:lvlText w:val=""/>
      <w:lvlJc w:val="left"/>
      <w:rPr>
        <w:rFonts w:hint="eastAsia"/>
        <w:spacing w:val="0"/>
      </w:rPr>
    </w:lvl>
    <w:lvl w:ilvl="5">
      <w:start w:val="1"/>
      <w:numFmt w:val="none"/>
      <w:suff w:val="nothing"/>
      <w:lvlText w:val=""/>
      <w:lvlJc w:val="left"/>
      <w:rPr>
        <w:rFonts w:hint="eastAsia"/>
        <w:spacing w:val="0"/>
      </w:rPr>
    </w:lvl>
    <w:lvl w:ilvl="6">
      <w:start w:val="1"/>
      <w:numFmt w:val="none"/>
      <w:suff w:val="nothing"/>
      <w:lvlText w:val=""/>
      <w:lvlJc w:val="left"/>
      <w:rPr>
        <w:rFonts w:hint="eastAsia"/>
        <w:spacing w:val="0"/>
      </w:rPr>
    </w:lvl>
    <w:lvl w:ilvl="7">
      <w:start w:val="1"/>
      <w:numFmt w:val="none"/>
      <w:suff w:val="nothing"/>
      <w:lvlText w:val=""/>
      <w:lvlJc w:val="left"/>
      <w:rPr>
        <w:rFonts w:hint="eastAsia"/>
        <w:spacing w:val="0"/>
      </w:rPr>
    </w:lvl>
    <w:lvl w:ilvl="8">
      <w:start w:val="1"/>
      <w:numFmt w:val="none"/>
      <w:suff w:val="nothing"/>
      <w:lvlText w:val=""/>
      <w:lvlJc w:val="left"/>
      <w:rPr>
        <w:rFonts w:hint="eastAsia"/>
        <w:spacing w:val="0"/>
      </w:rPr>
    </w:lvl>
  </w:abstractNum>
  <w:abstractNum w:abstractNumId="2">
    <w:nsid w:val="1FB77334"/>
    <w:multiLevelType w:val="hybridMultilevel"/>
    <w:tmpl w:val="C1600A18"/>
    <w:lvl w:ilvl="0" w:tplc="FFFFFFFF">
      <w:start w:val="109"/>
      <w:numFmt w:val="decimal"/>
      <w:lvlText w:val="%1"/>
      <w:lvlJc w:val="left"/>
      <w:pPr>
        <w:tabs>
          <w:tab w:val="num" w:pos="1440"/>
        </w:tabs>
        <w:ind w:left="1440" w:hanging="360"/>
      </w:pPr>
      <w:rPr>
        <w:rFonts w:hint="default"/>
      </w:rPr>
    </w:lvl>
    <w:lvl w:ilvl="1" w:tplc="FFFFFFFF">
      <w:start w:val="109"/>
      <w:numFmt w:val="none"/>
      <w:lvlText w:val="1"/>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2A661EF"/>
    <w:multiLevelType w:val="multilevel"/>
    <w:tmpl w:val="D06C59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440"/>
        </w:tabs>
        <w:ind w:left="720" w:firstLine="0"/>
      </w:pPr>
      <w:rPr>
        <w:rFonts w:hint="default"/>
      </w:rPr>
    </w:lvl>
    <w:lvl w:ilvl="4">
      <w:start w:val="1"/>
      <w:numFmt w:val="lowerRoman"/>
      <w:lvlText w:val="(%5)"/>
      <w:lvlJc w:val="left"/>
      <w:pPr>
        <w:tabs>
          <w:tab w:val="num" w:pos="2520"/>
        </w:tabs>
        <w:ind w:left="720" w:firstLine="720"/>
      </w:pPr>
      <w:rPr>
        <w:rFonts w:hint="default"/>
      </w:rPr>
    </w:lvl>
    <w:lvl w:ilvl="5">
      <w:start w:val="1"/>
      <w:numFmt w:val="decimal"/>
      <w:lvlText w:val="(%6)"/>
      <w:lvlJc w:val="left"/>
      <w:pPr>
        <w:tabs>
          <w:tab w:val="num" w:pos="2880"/>
        </w:tabs>
        <w:ind w:left="720" w:firstLine="144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25445B13"/>
    <w:multiLevelType w:val="multilevel"/>
    <w:tmpl w:val="8BD27A18"/>
    <w:lvl w:ilvl="0">
      <w:start w:val="1"/>
      <w:numFmt w:val="decimal"/>
      <w:lvlText w:val="%1"/>
      <w:lvlJc w:val="left"/>
      <w:pPr>
        <w:tabs>
          <w:tab w:val="num" w:pos="820"/>
        </w:tabs>
        <w:ind w:left="820" w:hanging="720"/>
      </w:pPr>
      <w:rPr>
        <w:rFonts w:hint="default"/>
        <w:u w:val="single"/>
      </w:rPr>
    </w:lvl>
    <w:lvl w:ilvl="1">
      <w:start w:val="1"/>
      <w:numFmt w:val="decimal"/>
      <w:lvlText w:val="%1.%2"/>
      <w:lvlJc w:val="left"/>
      <w:pPr>
        <w:tabs>
          <w:tab w:val="num" w:pos="820"/>
        </w:tabs>
        <w:ind w:left="820" w:hanging="720"/>
      </w:pPr>
      <w:rPr>
        <w:rFonts w:hint="default"/>
        <w:u w:val="single"/>
      </w:rPr>
    </w:lvl>
    <w:lvl w:ilvl="2">
      <w:start w:val="1"/>
      <w:numFmt w:val="decimal"/>
      <w:lvlText w:val="%1.%2.%3"/>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u w:val="single"/>
      </w:rPr>
    </w:lvl>
    <w:lvl w:ilvl="4">
      <w:start w:val="1"/>
      <w:numFmt w:val="lowerRoman"/>
      <w:lvlText w:val="(%5)"/>
      <w:lvlJc w:val="left"/>
      <w:pPr>
        <w:tabs>
          <w:tab w:val="num" w:pos="2160"/>
        </w:tabs>
        <w:ind w:left="2160" w:hanging="720"/>
      </w:pPr>
      <w:rPr>
        <w:rFonts w:hint="default"/>
        <w:u w:val="single"/>
      </w:rPr>
    </w:lvl>
    <w:lvl w:ilvl="5">
      <w:start w:val="27"/>
      <w:numFmt w:val="lowerLetter"/>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
    <w:nsid w:val="41A16E8A"/>
    <w:multiLevelType w:val="multilevel"/>
    <w:tmpl w:val="8BD27A18"/>
    <w:lvl w:ilvl="0">
      <w:start w:val="1"/>
      <w:numFmt w:val="decimal"/>
      <w:lvlText w:val="%1"/>
      <w:lvlJc w:val="left"/>
      <w:pPr>
        <w:tabs>
          <w:tab w:val="num" w:pos="820"/>
        </w:tabs>
        <w:ind w:left="820" w:hanging="720"/>
      </w:pPr>
      <w:rPr>
        <w:rFonts w:hint="default"/>
        <w:u w:val="single"/>
      </w:rPr>
    </w:lvl>
    <w:lvl w:ilvl="1">
      <w:start w:val="1"/>
      <w:numFmt w:val="decimal"/>
      <w:lvlText w:val="%1.%2"/>
      <w:lvlJc w:val="left"/>
      <w:pPr>
        <w:tabs>
          <w:tab w:val="num" w:pos="820"/>
        </w:tabs>
        <w:ind w:left="820" w:hanging="720"/>
      </w:pPr>
      <w:rPr>
        <w:rFonts w:hint="default"/>
        <w:u w:val="single"/>
      </w:rPr>
    </w:lvl>
    <w:lvl w:ilvl="2">
      <w:start w:val="1"/>
      <w:numFmt w:val="decimal"/>
      <w:lvlText w:val="%1.%2.%3"/>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u w:val="single"/>
      </w:rPr>
    </w:lvl>
    <w:lvl w:ilvl="4">
      <w:start w:val="1"/>
      <w:numFmt w:val="lowerRoman"/>
      <w:lvlText w:val="(%5)"/>
      <w:lvlJc w:val="left"/>
      <w:pPr>
        <w:tabs>
          <w:tab w:val="num" w:pos="2160"/>
        </w:tabs>
        <w:ind w:left="2160" w:hanging="720"/>
      </w:pPr>
      <w:rPr>
        <w:rFonts w:hint="default"/>
        <w:u w:val="single"/>
      </w:rPr>
    </w:lvl>
    <w:lvl w:ilvl="5">
      <w:start w:val="27"/>
      <w:numFmt w:val="lowerLetter"/>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6">
    <w:nsid w:val="4D933963"/>
    <w:multiLevelType w:val="hybridMultilevel"/>
    <w:tmpl w:val="A46648B0"/>
    <w:lvl w:ilvl="0" w:tplc="C7000716">
      <w:start w:val="2"/>
      <w:numFmt w:val="upperLetter"/>
      <w:pStyle w:val="Heading1"/>
      <w:lvlText w:val="%1"/>
      <w:lvlJc w:val="left"/>
      <w:pPr>
        <w:tabs>
          <w:tab w:val="num" w:pos="360"/>
        </w:tabs>
        <w:ind w:left="360" w:hanging="360"/>
      </w:pPr>
      <w:rPr>
        <w:rFonts w:hint="default"/>
      </w:rPr>
    </w:lvl>
    <w:lvl w:ilvl="1" w:tplc="1548BCCA" w:tentative="1">
      <w:start w:val="1"/>
      <w:numFmt w:val="lowerLetter"/>
      <w:lvlText w:val="%2."/>
      <w:lvlJc w:val="left"/>
      <w:pPr>
        <w:tabs>
          <w:tab w:val="num" w:pos="1440"/>
        </w:tabs>
        <w:ind w:left="1440" w:hanging="360"/>
      </w:pPr>
    </w:lvl>
    <w:lvl w:ilvl="2" w:tplc="3C8082EA" w:tentative="1">
      <w:start w:val="1"/>
      <w:numFmt w:val="lowerRoman"/>
      <w:lvlText w:val="%3."/>
      <w:lvlJc w:val="right"/>
      <w:pPr>
        <w:tabs>
          <w:tab w:val="num" w:pos="2160"/>
        </w:tabs>
        <w:ind w:left="2160" w:hanging="180"/>
      </w:pPr>
    </w:lvl>
    <w:lvl w:ilvl="3" w:tplc="C85281F8" w:tentative="1">
      <w:start w:val="1"/>
      <w:numFmt w:val="decimal"/>
      <w:lvlText w:val="%4."/>
      <w:lvlJc w:val="left"/>
      <w:pPr>
        <w:tabs>
          <w:tab w:val="num" w:pos="2880"/>
        </w:tabs>
        <w:ind w:left="2880" w:hanging="360"/>
      </w:pPr>
    </w:lvl>
    <w:lvl w:ilvl="4" w:tplc="8AFEBF94" w:tentative="1">
      <w:start w:val="1"/>
      <w:numFmt w:val="lowerLetter"/>
      <w:lvlText w:val="%5."/>
      <w:lvlJc w:val="left"/>
      <w:pPr>
        <w:tabs>
          <w:tab w:val="num" w:pos="3600"/>
        </w:tabs>
        <w:ind w:left="3600" w:hanging="360"/>
      </w:pPr>
    </w:lvl>
    <w:lvl w:ilvl="5" w:tplc="0560886E" w:tentative="1">
      <w:start w:val="1"/>
      <w:numFmt w:val="lowerRoman"/>
      <w:lvlText w:val="%6."/>
      <w:lvlJc w:val="right"/>
      <w:pPr>
        <w:tabs>
          <w:tab w:val="num" w:pos="4320"/>
        </w:tabs>
        <w:ind w:left="4320" w:hanging="180"/>
      </w:pPr>
    </w:lvl>
    <w:lvl w:ilvl="6" w:tplc="492EF5F8" w:tentative="1">
      <w:start w:val="1"/>
      <w:numFmt w:val="decimal"/>
      <w:lvlText w:val="%7."/>
      <w:lvlJc w:val="left"/>
      <w:pPr>
        <w:tabs>
          <w:tab w:val="num" w:pos="5040"/>
        </w:tabs>
        <w:ind w:left="5040" w:hanging="360"/>
      </w:pPr>
    </w:lvl>
    <w:lvl w:ilvl="7" w:tplc="CD7E1910" w:tentative="1">
      <w:start w:val="1"/>
      <w:numFmt w:val="lowerLetter"/>
      <w:lvlText w:val="%8."/>
      <w:lvlJc w:val="left"/>
      <w:pPr>
        <w:tabs>
          <w:tab w:val="num" w:pos="5760"/>
        </w:tabs>
        <w:ind w:left="5760" w:hanging="360"/>
      </w:pPr>
    </w:lvl>
    <w:lvl w:ilvl="8" w:tplc="EE78020C" w:tentative="1">
      <w:start w:val="1"/>
      <w:numFmt w:val="lowerRoman"/>
      <w:lvlText w:val="%9."/>
      <w:lvlJc w:val="right"/>
      <w:pPr>
        <w:tabs>
          <w:tab w:val="num" w:pos="6480"/>
        </w:tabs>
        <w:ind w:left="6480" w:hanging="180"/>
      </w:pPr>
    </w:lvl>
  </w:abstractNum>
  <w:abstractNum w:abstractNumId="7">
    <w:nsid w:val="5DB40D3E"/>
    <w:multiLevelType w:val="multilevel"/>
    <w:tmpl w:val="36AE117C"/>
    <w:lvl w:ilvl="0">
      <w:start w:val="1"/>
      <w:numFmt w:val="none"/>
      <w:lvlRestart w:val="0"/>
      <w:pStyle w:val="Definition"/>
      <w:suff w:val="nothing"/>
      <w:lvlText w:val="%1"/>
      <w:lvlJc w:val="left"/>
      <w:pPr>
        <w:ind w:left="720" w:firstLine="0"/>
      </w:pPr>
      <w:rPr>
        <w:rFonts w:hint="default"/>
      </w:rPr>
    </w:lvl>
    <w:lvl w:ilvl="1">
      <w:start w:val="1"/>
      <w:numFmt w:val="lowerLetter"/>
      <w:pStyle w:val="Definitiona"/>
      <w:lvlText w:val="(%2)"/>
      <w:lvlJc w:val="left"/>
      <w:pPr>
        <w:tabs>
          <w:tab w:val="num" w:pos="1440"/>
        </w:tabs>
        <w:ind w:left="1440" w:hanging="720"/>
      </w:pPr>
      <w:rPr>
        <w:rFonts w:hint="default"/>
      </w:rPr>
    </w:lvl>
    <w:lvl w:ilvl="2">
      <w:start w:val="1"/>
      <w:numFmt w:val="lowerRoman"/>
      <w:pStyle w:val="Definitioni"/>
      <w:lvlText w:val="(%3)"/>
      <w:lvlJc w:val="left"/>
      <w:pPr>
        <w:tabs>
          <w:tab w:val="num" w:pos="2160"/>
        </w:tabs>
        <w:ind w:left="2160" w:hanging="720"/>
      </w:pPr>
      <w:rPr>
        <w:rFonts w:hint="default"/>
        <w:b w:val="0"/>
        <w:i w:val="0"/>
      </w:rPr>
    </w:lvl>
    <w:lvl w:ilvl="3">
      <w:start w:val="27"/>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27"/>
      <w:numFmt w:val="none"/>
      <w:lvlText w:val=""/>
      <w:lvlJc w:val="left"/>
      <w:pPr>
        <w:tabs>
          <w:tab w:val="num" w:pos="357"/>
        </w:tabs>
        <w:ind w:left="0" w:firstLine="0"/>
      </w:pPr>
      <w:rPr>
        <w:rFonts w:hint="default"/>
      </w:rPr>
    </w:lvl>
    <w:lvl w:ilvl="6">
      <w:start w:val="1"/>
      <w:numFmt w:val="none"/>
      <w:lvlText w:val=""/>
      <w:lvlJc w:val="left"/>
      <w:pPr>
        <w:tabs>
          <w:tab w:val="num" w:pos="357"/>
        </w:tabs>
        <w:ind w:left="1296" w:hanging="1296"/>
      </w:pPr>
      <w:rPr>
        <w:rFonts w:hint="default"/>
      </w:rPr>
    </w:lvl>
    <w:lvl w:ilvl="7">
      <w:start w:val="1"/>
      <w:numFmt w:val="none"/>
      <w:lvlText w:val=""/>
      <w:lvlJc w:val="left"/>
      <w:pPr>
        <w:tabs>
          <w:tab w:val="num" w:pos="357"/>
        </w:tabs>
        <w:ind w:left="0" w:firstLine="0"/>
      </w:pPr>
      <w:rPr>
        <w:rFonts w:hint="default"/>
      </w:rPr>
    </w:lvl>
    <w:lvl w:ilvl="8">
      <w:start w:val="1"/>
      <w:numFmt w:val="none"/>
      <w:lvlText w:val="%1%9"/>
      <w:lvlJc w:val="left"/>
      <w:pPr>
        <w:tabs>
          <w:tab w:val="num" w:pos="357"/>
        </w:tabs>
        <w:ind w:left="0" w:firstLine="0"/>
      </w:pPr>
      <w:rPr>
        <w:rFonts w:hint="default"/>
      </w:rPr>
    </w:lvl>
  </w:abstractNum>
  <w:abstractNum w:abstractNumId="8">
    <w:nsid w:val="640B57E5"/>
    <w:multiLevelType w:val="multilevel"/>
    <w:tmpl w:val="7C041672"/>
    <w:lvl w:ilvl="0">
      <w:start w:val="1"/>
      <w:numFmt w:val="decimal"/>
      <w:pStyle w:val="AL-1"/>
      <w:isLgl/>
      <w:lvlText w:val="%1"/>
      <w:lvlJc w:val="left"/>
      <w:pPr>
        <w:tabs>
          <w:tab w:val="num" w:pos="720"/>
        </w:tabs>
        <w:ind w:left="720" w:hanging="720"/>
      </w:pPr>
      <w:rPr>
        <w:rFonts w:hint="default"/>
      </w:rPr>
    </w:lvl>
    <w:lvl w:ilvl="1">
      <w:start w:val="1"/>
      <w:numFmt w:val="decimal"/>
      <w:pStyle w:val="AL-2"/>
      <w:lvlText w:val="%1.%2"/>
      <w:lvlJc w:val="left"/>
      <w:pPr>
        <w:tabs>
          <w:tab w:val="num" w:pos="720"/>
        </w:tabs>
        <w:ind w:left="720" w:hanging="720"/>
      </w:pPr>
      <w:rPr>
        <w:rFonts w:hint="default"/>
      </w:rPr>
    </w:lvl>
    <w:lvl w:ilvl="2">
      <w:start w:val="1"/>
      <w:numFmt w:val="lowerLetter"/>
      <w:pStyle w:val="AL-4a"/>
      <w:lvlText w:val="(%3)"/>
      <w:lvlJc w:val="left"/>
      <w:pPr>
        <w:tabs>
          <w:tab w:val="num" w:pos="21"/>
        </w:tabs>
        <w:ind w:left="-339" w:firstLine="0"/>
      </w:pPr>
      <w:rPr>
        <w:rFonts w:hint="default"/>
      </w:rPr>
    </w:lvl>
    <w:lvl w:ilvl="3">
      <w:start w:val="1"/>
      <w:numFmt w:val="lowerRoman"/>
      <w:pStyle w:val="AL-5r"/>
      <w:lvlText w:val="(%4)"/>
      <w:lvlJc w:val="left"/>
      <w:pPr>
        <w:tabs>
          <w:tab w:val="num" w:pos="1800"/>
        </w:tabs>
        <w:ind w:left="720" w:firstLine="0"/>
      </w:pPr>
      <w:rPr>
        <w:rFonts w:hint="default"/>
      </w:rPr>
    </w:lvl>
    <w:lvl w:ilvl="4">
      <w:start w:val="1"/>
      <w:numFmt w:val="none"/>
      <w:lvlText w:val=""/>
      <w:lvlJc w:val="left"/>
      <w:pPr>
        <w:tabs>
          <w:tab w:val="num" w:pos="1080"/>
        </w:tabs>
        <w:ind w:left="0" w:firstLine="720"/>
      </w:pPr>
      <w:rPr>
        <w:rFonts w:hint="default"/>
      </w:rPr>
    </w:lvl>
    <w:lvl w:ilvl="5">
      <w:start w:val="1"/>
      <w:numFmt w:val="decimal"/>
      <w:pStyle w:val="AL-6n"/>
      <w:lvlText w:val="(%6)"/>
      <w:lvlJc w:val="left"/>
      <w:pPr>
        <w:tabs>
          <w:tab w:val="num" w:pos="2520"/>
        </w:tabs>
        <w:ind w:left="2160" w:firstLine="0"/>
      </w:pPr>
      <w:rPr>
        <w:rFonts w:hint="default"/>
      </w:rPr>
    </w:lvl>
    <w:lvl w:ilvl="6">
      <w:start w:val="1"/>
      <w:numFmt w:val="decimal"/>
      <w:lvlText w:val="(%7)"/>
      <w:lvlJc w:val="left"/>
      <w:pPr>
        <w:tabs>
          <w:tab w:val="num" w:pos="2880"/>
        </w:tabs>
        <w:ind w:left="720" w:firstLine="144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9">
    <w:nsid w:val="730A18B1"/>
    <w:multiLevelType w:val="multilevel"/>
    <w:tmpl w:val="6C22CC82"/>
    <w:lvl w:ilvl="0">
      <w:start w:val="1"/>
      <w:numFmt w:val="decimal"/>
      <w:pStyle w:val="Level-1"/>
      <w:isLgl/>
      <w:lvlText w:val="%1"/>
      <w:lvlJc w:val="left"/>
      <w:pPr>
        <w:tabs>
          <w:tab w:val="num" w:pos="1398"/>
        </w:tabs>
        <w:ind w:left="1398" w:hanging="720"/>
      </w:pPr>
      <w:rPr>
        <w:rFonts w:hint="default"/>
      </w:rPr>
    </w:lvl>
    <w:lvl w:ilvl="1">
      <w:start w:val="1"/>
      <w:numFmt w:val="decimal"/>
      <w:pStyle w:val="Level-2"/>
      <w:lvlText w:val="%1.%2"/>
      <w:lvlJc w:val="left"/>
      <w:pPr>
        <w:tabs>
          <w:tab w:val="num" w:pos="1398"/>
        </w:tabs>
        <w:ind w:left="1398" w:hanging="720"/>
      </w:pPr>
      <w:rPr>
        <w:rFonts w:hint="default"/>
      </w:rPr>
    </w:lvl>
    <w:lvl w:ilvl="2">
      <w:start w:val="1"/>
      <w:numFmt w:val="decimal"/>
      <w:pStyle w:val="Level-3"/>
      <w:lvlText w:val="%1.%2.%3"/>
      <w:lvlJc w:val="left"/>
      <w:pPr>
        <w:tabs>
          <w:tab w:val="num" w:pos="1398"/>
        </w:tabs>
        <w:ind w:left="1398" w:hanging="720"/>
      </w:pPr>
      <w:rPr>
        <w:rFonts w:hint="default"/>
      </w:rPr>
    </w:lvl>
    <w:lvl w:ilvl="3">
      <w:start w:val="1"/>
      <w:numFmt w:val="lowerLetter"/>
      <w:pStyle w:val="Level-4a"/>
      <w:lvlText w:val="(%4)"/>
      <w:lvlJc w:val="left"/>
      <w:pPr>
        <w:tabs>
          <w:tab w:val="num" w:pos="2118"/>
        </w:tabs>
        <w:ind w:left="1398" w:firstLine="0"/>
      </w:pPr>
      <w:rPr>
        <w:rFonts w:hint="default"/>
      </w:rPr>
    </w:lvl>
    <w:lvl w:ilvl="4">
      <w:start w:val="1"/>
      <w:numFmt w:val="none"/>
      <w:lvlText w:val=""/>
      <w:lvlJc w:val="left"/>
      <w:pPr>
        <w:tabs>
          <w:tab w:val="num" w:pos="1758"/>
        </w:tabs>
        <w:ind w:left="678" w:firstLine="720"/>
      </w:pPr>
      <w:rPr>
        <w:rFonts w:hint="default"/>
      </w:rPr>
    </w:lvl>
    <w:lvl w:ilvl="5">
      <w:start w:val="1"/>
      <w:numFmt w:val="lowerRoman"/>
      <w:pStyle w:val="Level-5r"/>
      <w:lvlText w:val="(%6)"/>
      <w:lvlJc w:val="left"/>
      <w:pPr>
        <w:tabs>
          <w:tab w:val="num" w:pos="3198"/>
        </w:tabs>
        <w:ind w:left="1398" w:firstLine="720"/>
      </w:pPr>
      <w:rPr>
        <w:rFonts w:hint="default"/>
      </w:rPr>
    </w:lvl>
    <w:lvl w:ilvl="6">
      <w:start w:val="1"/>
      <w:numFmt w:val="decimal"/>
      <w:pStyle w:val="Level-6n"/>
      <w:lvlText w:val="(%7)"/>
      <w:lvlJc w:val="left"/>
      <w:pPr>
        <w:tabs>
          <w:tab w:val="num" w:pos="3558"/>
        </w:tabs>
        <w:ind w:left="1398" w:firstLine="1440"/>
      </w:pPr>
      <w:rPr>
        <w:rFonts w:hint="default"/>
      </w:rPr>
    </w:lvl>
    <w:lvl w:ilvl="7">
      <w:start w:val="1"/>
      <w:numFmt w:val="decimal"/>
      <w:lvlText w:val="%1.%2.%3.%4.%5.%6.%7.%8."/>
      <w:lvlJc w:val="left"/>
      <w:pPr>
        <w:tabs>
          <w:tab w:val="num" w:pos="6438"/>
        </w:tabs>
        <w:ind w:left="5862" w:hanging="1224"/>
      </w:pPr>
      <w:rPr>
        <w:rFonts w:hint="default"/>
      </w:rPr>
    </w:lvl>
    <w:lvl w:ilvl="8">
      <w:start w:val="1"/>
      <w:numFmt w:val="decimal"/>
      <w:lvlText w:val="%1.%2.%3.%4.%5.%6.%7.%8.%9."/>
      <w:lvlJc w:val="left"/>
      <w:pPr>
        <w:tabs>
          <w:tab w:val="num" w:pos="7158"/>
        </w:tabs>
        <w:ind w:left="6438" w:hanging="1440"/>
      </w:pPr>
      <w:rPr>
        <w:rFonts w:hint="default"/>
      </w:rPr>
    </w:lvl>
  </w:abstractNum>
  <w:abstractNum w:abstractNumId="10">
    <w:nsid w:val="77D74CA8"/>
    <w:multiLevelType w:val="multilevel"/>
    <w:tmpl w:val="E92825A4"/>
    <w:lvl w:ilvl="0">
      <w:start w:val="1"/>
      <w:numFmt w:val="none"/>
      <w:pStyle w:val="Heading2"/>
      <w:lvlText w:val="ANNEX D-1"/>
      <w:lvlJc w:val="left"/>
      <w:pPr>
        <w:tabs>
          <w:tab w:val="num" w:pos="2139"/>
        </w:tabs>
        <w:ind w:left="1059" w:hanging="360"/>
      </w:pPr>
      <w:rPr>
        <w:rFonts w:ascii="Arial" w:hAnsi="Arial" w:hint="default"/>
        <w:b/>
        <w:i w:val="0"/>
        <w:sz w:val="24"/>
      </w:rPr>
    </w:lvl>
    <w:lvl w:ilvl="1">
      <w:start w:val="1"/>
      <w:numFmt w:val="decimal"/>
      <w:pStyle w:val="Heading21"/>
      <w:lvlText w:val="%1.%2"/>
      <w:lvlJc w:val="left"/>
      <w:pPr>
        <w:tabs>
          <w:tab w:val="num" w:pos="1491"/>
        </w:tabs>
        <w:ind w:left="1491" w:hanging="432"/>
      </w:pPr>
      <w:rPr>
        <w:rFonts w:hint="default"/>
      </w:rPr>
    </w:lvl>
    <w:lvl w:ilvl="2">
      <w:start w:val="1"/>
      <w:numFmt w:val="lowerLetter"/>
      <w:lvlText w:val="(%3)"/>
      <w:lvlJc w:val="left"/>
      <w:pPr>
        <w:tabs>
          <w:tab w:val="num" w:pos="1923"/>
        </w:tabs>
        <w:ind w:left="1923" w:hanging="504"/>
      </w:pPr>
      <w:rPr>
        <w:rFonts w:hint="default"/>
      </w:rPr>
    </w:lvl>
    <w:lvl w:ilvl="3">
      <w:start w:val="1"/>
      <w:numFmt w:val="lowerRoman"/>
      <w:lvlText w:val="(%4)"/>
      <w:lvlJc w:val="left"/>
      <w:pPr>
        <w:tabs>
          <w:tab w:val="num" w:pos="2859"/>
        </w:tabs>
        <w:ind w:left="2427" w:hanging="648"/>
      </w:pPr>
      <w:rPr>
        <w:rFonts w:hint="default"/>
      </w:rPr>
    </w:lvl>
    <w:lvl w:ilvl="4">
      <w:start w:val="1"/>
      <w:numFmt w:val="decimal"/>
      <w:lvlText w:val="(%5)"/>
      <w:lvlJc w:val="left"/>
      <w:pPr>
        <w:tabs>
          <w:tab w:val="num" w:pos="2931"/>
        </w:tabs>
        <w:ind w:left="2931" w:hanging="792"/>
      </w:pPr>
      <w:rPr>
        <w:rFonts w:hint="default"/>
      </w:rPr>
    </w:lvl>
    <w:lvl w:ilvl="5">
      <w:start w:val="1"/>
      <w:numFmt w:val="decimal"/>
      <w:lvlText w:val="(%6)"/>
      <w:lvlJc w:val="left"/>
      <w:pPr>
        <w:tabs>
          <w:tab w:val="num" w:pos="3435"/>
        </w:tabs>
        <w:ind w:left="3435" w:hanging="936"/>
      </w:pPr>
      <w:rPr>
        <w:rFonts w:hint="default"/>
      </w:rPr>
    </w:lvl>
    <w:lvl w:ilvl="6">
      <w:start w:val="1"/>
      <w:numFmt w:val="decimal"/>
      <w:lvlText w:val="%1.%2.%3.%4.%5.%6.%7."/>
      <w:lvlJc w:val="left"/>
      <w:pPr>
        <w:tabs>
          <w:tab w:val="num" w:pos="4299"/>
        </w:tabs>
        <w:ind w:left="3939" w:hanging="1080"/>
      </w:pPr>
      <w:rPr>
        <w:rFonts w:hint="default"/>
      </w:rPr>
    </w:lvl>
    <w:lvl w:ilvl="7">
      <w:start w:val="1"/>
      <w:numFmt w:val="decimal"/>
      <w:lvlText w:val="%1.%2.%3.%4.%5.%6.%7.%8."/>
      <w:lvlJc w:val="left"/>
      <w:pPr>
        <w:tabs>
          <w:tab w:val="num" w:pos="5019"/>
        </w:tabs>
        <w:ind w:left="4443" w:hanging="1224"/>
      </w:pPr>
      <w:rPr>
        <w:rFonts w:hint="default"/>
      </w:rPr>
    </w:lvl>
    <w:lvl w:ilvl="8">
      <w:start w:val="1"/>
      <w:numFmt w:val="decimal"/>
      <w:lvlText w:val="%1.%2.%3.%4.%5.%6.%7.%8.%9."/>
      <w:lvlJc w:val="left"/>
      <w:pPr>
        <w:tabs>
          <w:tab w:val="num" w:pos="5739"/>
        </w:tabs>
        <w:ind w:left="5019" w:hanging="1440"/>
      </w:pPr>
      <w:rPr>
        <w:rFonts w:hint="default"/>
      </w:rPr>
    </w:lvl>
  </w:abstractNum>
  <w:abstractNum w:abstractNumId="11">
    <w:nsid w:val="7C325A63"/>
    <w:multiLevelType w:val="hybridMultilevel"/>
    <w:tmpl w:val="B3B827F8"/>
    <w:lvl w:ilvl="0" w:tplc="910AA0BE">
      <w:start w:val="2"/>
      <w:numFmt w:val="upperLetter"/>
      <w:pStyle w:val="Section"/>
      <w:lvlText w:val="%1"/>
      <w:lvlJc w:val="left"/>
      <w:pPr>
        <w:tabs>
          <w:tab w:val="num" w:pos="720"/>
        </w:tabs>
        <w:ind w:left="720" w:hanging="720"/>
      </w:pPr>
      <w:rPr>
        <w:rFonts w:hint="default"/>
      </w:rPr>
    </w:lvl>
    <w:lvl w:ilvl="1" w:tplc="473C3D1E" w:tentative="1">
      <w:start w:val="1"/>
      <w:numFmt w:val="lowerLetter"/>
      <w:lvlText w:val="%2."/>
      <w:lvlJc w:val="left"/>
      <w:pPr>
        <w:tabs>
          <w:tab w:val="num" w:pos="1440"/>
        </w:tabs>
        <w:ind w:left="1440" w:hanging="360"/>
      </w:pPr>
    </w:lvl>
    <w:lvl w:ilvl="2" w:tplc="2B92FC6A" w:tentative="1">
      <w:start w:val="1"/>
      <w:numFmt w:val="lowerRoman"/>
      <w:lvlText w:val="%3."/>
      <w:lvlJc w:val="right"/>
      <w:pPr>
        <w:tabs>
          <w:tab w:val="num" w:pos="2160"/>
        </w:tabs>
        <w:ind w:left="2160" w:hanging="180"/>
      </w:pPr>
    </w:lvl>
    <w:lvl w:ilvl="3" w:tplc="213A3910" w:tentative="1">
      <w:start w:val="1"/>
      <w:numFmt w:val="decimal"/>
      <w:lvlText w:val="%4."/>
      <w:lvlJc w:val="left"/>
      <w:pPr>
        <w:tabs>
          <w:tab w:val="num" w:pos="2880"/>
        </w:tabs>
        <w:ind w:left="2880" w:hanging="360"/>
      </w:pPr>
    </w:lvl>
    <w:lvl w:ilvl="4" w:tplc="A5763960" w:tentative="1">
      <w:start w:val="1"/>
      <w:numFmt w:val="lowerLetter"/>
      <w:lvlText w:val="%5."/>
      <w:lvlJc w:val="left"/>
      <w:pPr>
        <w:tabs>
          <w:tab w:val="num" w:pos="3600"/>
        </w:tabs>
        <w:ind w:left="3600" w:hanging="360"/>
      </w:pPr>
    </w:lvl>
    <w:lvl w:ilvl="5" w:tplc="76A89812" w:tentative="1">
      <w:start w:val="1"/>
      <w:numFmt w:val="lowerRoman"/>
      <w:lvlText w:val="%6."/>
      <w:lvlJc w:val="right"/>
      <w:pPr>
        <w:tabs>
          <w:tab w:val="num" w:pos="4320"/>
        </w:tabs>
        <w:ind w:left="4320" w:hanging="180"/>
      </w:pPr>
    </w:lvl>
    <w:lvl w:ilvl="6" w:tplc="6F3CBE0C" w:tentative="1">
      <w:start w:val="1"/>
      <w:numFmt w:val="decimal"/>
      <w:lvlText w:val="%7."/>
      <w:lvlJc w:val="left"/>
      <w:pPr>
        <w:tabs>
          <w:tab w:val="num" w:pos="5040"/>
        </w:tabs>
        <w:ind w:left="5040" w:hanging="360"/>
      </w:pPr>
    </w:lvl>
    <w:lvl w:ilvl="7" w:tplc="6726AD90" w:tentative="1">
      <w:start w:val="1"/>
      <w:numFmt w:val="lowerLetter"/>
      <w:lvlText w:val="%8."/>
      <w:lvlJc w:val="left"/>
      <w:pPr>
        <w:tabs>
          <w:tab w:val="num" w:pos="5760"/>
        </w:tabs>
        <w:ind w:left="5760" w:hanging="360"/>
      </w:pPr>
    </w:lvl>
    <w:lvl w:ilvl="8" w:tplc="20DCFB60"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8"/>
  </w:num>
  <w:num w:numId="4">
    <w:abstractNumId w:val="8"/>
  </w:num>
  <w:num w:numId="5">
    <w:abstractNumId w:val="8"/>
  </w:num>
  <w:num w:numId="6">
    <w:abstractNumId w:val="8"/>
  </w:num>
  <w:num w:numId="7">
    <w:abstractNumId w:val="10"/>
  </w:num>
  <w:num w:numId="8">
    <w:abstractNumId w:val="10"/>
  </w:num>
  <w:num w:numId="9">
    <w:abstractNumId w:val="6"/>
  </w:num>
  <w:num w:numId="10">
    <w:abstractNumId w:val="9"/>
  </w:num>
  <w:num w:numId="11">
    <w:abstractNumId w:val="11"/>
  </w:num>
  <w:num w:numId="12">
    <w:abstractNumId w:val="1"/>
  </w:num>
  <w:num w:numId="13">
    <w:abstractNumId w:val="0"/>
  </w:num>
  <w:num w:numId="14">
    <w:abstractNumId w:val="7"/>
  </w:num>
  <w:num w:numId="15">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8"/>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num>
  <w:num w:numId="23">
    <w:abstractNumId w:val="9"/>
  </w:num>
  <w:num w:numId="24">
    <w:abstractNumId w:val="9"/>
  </w:num>
  <w:num w:numId="25">
    <w:abstractNumId w:val="9"/>
  </w:num>
  <w:num w:numId="26">
    <w:abstractNumId w:val="2"/>
  </w:num>
  <w:num w:numId="27">
    <w:abstractNumId w:val="5"/>
  </w:num>
  <w:num w:numId="28">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evenAndOddHeaders/>
  <w:drawingGridHorizontalSpacing w:val="100"/>
  <w:drawingGridVerticalSpacing w:val="136"/>
  <w:displayHorizontalDrawingGridEvery w:val="0"/>
  <w:displayVerticalDrawingGridEvery w:val="2"/>
  <w:doNotShadeFormData/>
  <w:characterSpacingControl w:val="compressPunctuation"/>
  <w:doNotValidateAgainstSchema/>
  <w:doNotDemarcateInvalidXml/>
  <w:hdrShapeDefaults>
    <o:shapedefaults v:ext="edit" spidmax="18433" fillcolor="white">
      <v:fill color="white"/>
      <v:shadow color="#868686"/>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fillcolor="white">
      <v:fill color="white"/>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semiHidden="0" w:uiPriority="0" w:unhideWhenUsed="0" w:qFormat="1"/>
    <w:lsdException w:name="table of figures" w:uiPriority="0"/>
    <w:lsdException w:name="envelope address" w:uiPriority="0"/>
    <w:lsdException w:name="envelope return" w:uiPriority="0"/>
    <w:lsdException w:name="footnote reference" w:uiPriority="0"/>
    <w:lsdException w:name="line number" w:uiPriority="0"/>
    <w:lsdException w:name="page number" w:uiPriority="0"/>
    <w:lsdException w:name="endnote text" w:uiPriority="0"/>
    <w:lsdException w:name="macro" w:uiPriority="0"/>
    <w:lsdException w:name="List Number 3" w:uiPriority="0"/>
    <w:lsdException w:name="Title" w:semiHidden="0" w:uiPriority="0" w:unhideWhenUsed="0" w:qFormat="1"/>
    <w:lsdException w:name="Default Paragraph Font" w:uiPriority="0"/>
    <w:lsdException w:name="Body Text" w:uiPriority="0"/>
    <w:lsdException w:name="Body Text Indent" w:uiPriority="0"/>
    <w:lsdException w:name="Message Header"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 List"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autoSpaceDE w:val="0"/>
      <w:autoSpaceDN w:val="0"/>
      <w:adjustRightInd w:val="0"/>
    </w:pPr>
    <w:rPr>
      <w:rFonts w:ascii="Arial" w:hAnsi="Arial"/>
      <w:szCs w:val="24"/>
      <w:lang w:val="en-US" w:eastAsia="en-US"/>
    </w:rPr>
  </w:style>
  <w:style w:type="paragraph" w:styleId="Heading1">
    <w:name w:val="heading 1"/>
    <w:basedOn w:val="Normal"/>
    <w:next w:val="Normal"/>
    <w:link w:val="Heading1Char"/>
    <w:qFormat/>
    <w:pPr>
      <w:keepNext/>
      <w:widowControl/>
      <w:numPr>
        <w:numId w:val="9"/>
      </w:numPr>
      <w:autoSpaceDE/>
      <w:autoSpaceDN/>
      <w:adjustRightInd/>
      <w:spacing w:before="240" w:after="360"/>
      <w:outlineLvl w:val="0"/>
    </w:pPr>
    <w:rPr>
      <w:b/>
      <w:bCs/>
      <w:caps/>
      <w:kern w:val="32"/>
      <w:sz w:val="36"/>
      <w:szCs w:val="32"/>
      <w:u w:color="000000"/>
      <w:lang w:eastAsia="x-none"/>
    </w:rPr>
  </w:style>
  <w:style w:type="paragraph" w:styleId="Heading2">
    <w:name w:val="heading 2"/>
    <w:basedOn w:val="Normal"/>
    <w:next w:val="Normal"/>
    <w:link w:val="Heading2Char"/>
    <w:qFormat/>
    <w:pPr>
      <w:keepNext/>
      <w:numPr>
        <w:numId w:val="7"/>
      </w:numPr>
      <w:spacing w:before="240" w:after="60"/>
      <w:outlineLvl w:val="1"/>
    </w:pPr>
    <w:rPr>
      <w:b/>
      <w:bCs/>
      <w:i/>
      <w:iCs/>
      <w:sz w:val="28"/>
      <w:szCs w:val="28"/>
      <w:lang w:eastAsia="x-none"/>
    </w:rPr>
  </w:style>
  <w:style w:type="paragraph" w:styleId="Heading3">
    <w:name w:val="heading 3"/>
    <w:basedOn w:val="Normal"/>
    <w:next w:val="Normal"/>
    <w:link w:val="Heading3Char"/>
    <w:qFormat/>
    <w:pPr>
      <w:keepNext/>
      <w:spacing w:before="240" w:after="60"/>
      <w:outlineLvl w:val="2"/>
    </w:pPr>
    <w:rPr>
      <w:b/>
      <w:bCs/>
      <w:sz w:val="26"/>
      <w:szCs w:val="26"/>
      <w:lang w:eastAsia="x-none"/>
    </w:rPr>
  </w:style>
  <w:style w:type="paragraph" w:styleId="Heading4">
    <w:name w:val="heading 4"/>
    <w:basedOn w:val="Normal"/>
    <w:next w:val="Normal"/>
    <w:link w:val="Heading4Char"/>
    <w:qFormat/>
    <w:pPr>
      <w:keepNext/>
      <w:spacing w:before="240" w:after="60"/>
      <w:outlineLvl w:val="3"/>
    </w:pPr>
    <w:rPr>
      <w:rFonts w:ascii="Times New Roman" w:hAnsi="Times New Roman"/>
      <w:b/>
      <w:bCs/>
      <w:sz w:val="28"/>
      <w:szCs w:val="28"/>
      <w:lang w:eastAsia="x-none"/>
    </w:rPr>
  </w:style>
  <w:style w:type="paragraph" w:styleId="Heading5">
    <w:name w:val="heading 5"/>
    <w:basedOn w:val="Normal"/>
    <w:next w:val="Normal"/>
    <w:link w:val="Heading5Char"/>
    <w:qFormat/>
    <w:pPr>
      <w:spacing w:before="240" w:after="60"/>
      <w:outlineLvl w:val="4"/>
    </w:pPr>
    <w:rPr>
      <w:b/>
      <w:bCs/>
      <w:i/>
      <w:iCs/>
      <w:sz w:val="26"/>
      <w:szCs w:val="26"/>
      <w:lang w:eastAsia="x-none"/>
    </w:rPr>
  </w:style>
  <w:style w:type="paragraph" w:styleId="Heading6">
    <w:name w:val="heading 6"/>
    <w:basedOn w:val="Normal"/>
    <w:next w:val="Normal"/>
    <w:link w:val="Heading6Char"/>
    <w:qFormat/>
    <w:pPr>
      <w:spacing w:before="240" w:after="60"/>
      <w:outlineLvl w:val="5"/>
    </w:pPr>
    <w:rPr>
      <w:rFonts w:ascii="Times New Roman" w:hAnsi="Times New Roman"/>
      <w:b/>
      <w:bCs/>
      <w:sz w:val="22"/>
      <w:szCs w:val="22"/>
      <w:lang w:eastAsia="x-none"/>
    </w:rPr>
  </w:style>
  <w:style w:type="paragraph" w:styleId="Heading7">
    <w:name w:val="heading 7"/>
    <w:basedOn w:val="Normal"/>
    <w:next w:val="Normal"/>
    <w:link w:val="Heading7Char"/>
    <w:qFormat/>
    <w:pPr>
      <w:numPr>
        <w:ilvl w:val="6"/>
        <w:numId w:val="1"/>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qFormat/>
    <w:pPr>
      <w:numPr>
        <w:ilvl w:val="7"/>
        <w:numId w:val="1"/>
      </w:numPr>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qFormat/>
    <w:pPr>
      <w:numPr>
        <w:ilvl w:val="8"/>
        <w:numId w:val="1"/>
      </w:numPr>
      <w:spacing w:before="240" w:after="60"/>
      <w:outlineLvl w:val="8"/>
    </w:pPr>
    <w:rPr>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tabs>
        <w:tab w:val="left" w:pos="0"/>
        <w:tab w:val="left" w:pos="567"/>
        <w:tab w:val="left" w:pos="1134"/>
      </w:tabs>
      <w:jc w:val="both"/>
    </w:pPr>
  </w:style>
  <w:style w:type="paragraph" w:customStyle="1" w:styleId="Body-1">
    <w:name w:val="Body-1"/>
    <w:basedOn w:val="Normal"/>
    <w:pPr>
      <w:tabs>
        <w:tab w:val="left" w:pos="981"/>
        <w:tab w:val="left" w:pos="1020"/>
      </w:tabs>
      <w:ind w:left="720"/>
    </w:pPr>
    <w:rPr>
      <w:rFonts w:ascii="Times New Roman" w:hAnsi="Times New Roman"/>
      <w:sz w:val="22"/>
    </w:rPr>
  </w:style>
  <w:style w:type="paragraph" w:customStyle="1" w:styleId="Body-2">
    <w:name w:val="Body-2"/>
    <w:basedOn w:val="Normal"/>
    <w:pPr>
      <w:tabs>
        <w:tab w:val="left" w:pos="981"/>
      </w:tabs>
      <w:spacing w:before="120" w:after="120"/>
      <w:ind w:left="720"/>
    </w:pPr>
    <w:rPr>
      <w:rFonts w:ascii="Times New Roman" w:hAnsi="Times New Roman"/>
      <w:sz w:val="22"/>
    </w:rPr>
  </w:style>
  <w:style w:type="paragraph" w:customStyle="1" w:styleId="Body-3">
    <w:name w:val="Body-3"/>
    <w:basedOn w:val="Normal"/>
    <w:pPr>
      <w:tabs>
        <w:tab w:val="left" w:pos="981"/>
      </w:tabs>
      <w:ind w:left="1020"/>
    </w:pPr>
    <w:rPr>
      <w:rFonts w:ascii="Times New Roman" w:hAnsi="Times New Roman"/>
      <w:sz w:val="22"/>
    </w:rPr>
  </w:style>
  <w:style w:type="paragraph" w:customStyle="1" w:styleId="Body-4">
    <w:name w:val="Body-4"/>
    <w:basedOn w:val="Normal"/>
    <w:pPr>
      <w:tabs>
        <w:tab w:val="left" w:pos="339"/>
        <w:tab w:val="left" w:pos="981"/>
      </w:tabs>
      <w:spacing w:before="120" w:after="120"/>
      <w:ind w:left="720"/>
    </w:pPr>
    <w:rPr>
      <w:rFonts w:ascii="Times New Roman" w:hAnsi="Times New Roman"/>
      <w:noProof/>
      <w:sz w:val="22"/>
    </w:rPr>
  </w:style>
  <w:style w:type="paragraph" w:customStyle="1" w:styleId="Body-5">
    <w:name w:val="Body-5"/>
    <w:basedOn w:val="Normal"/>
    <w:pPr>
      <w:tabs>
        <w:tab w:val="left" w:pos="342"/>
        <w:tab w:val="left" w:pos="981"/>
      </w:tabs>
      <w:spacing w:before="120" w:after="120"/>
      <w:ind w:left="1440"/>
    </w:pPr>
    <w:rPr>
      <w:rFonts w:ascii="Times New Roman" w:hAnsi="Times New Roman"/>
      <w:sz w:val="22"/>
    </w:rPr>
  </w:style>
  <w:style w:type="paragraph" w:styleId="Footer">
    <w:name w:val="footer"/>
    <w:basedOn w:val="Normal"/>
    <w:link w:val="FooterChar"/>
    <w:pPr>
      <w:tabs>
        <w:tab w:val="center" w:pos="2837"/>
        <w:tab w:val="right" w:pos="5103"/>
        <w:tab w:val="right" w:pos="6804"/>
      </w:tabs>
    </w:pPr>
    <w:rPr>
      <w:lang w:eastAsia="x-none"/>
    </w:rPr>
  </w:style>
  <w:style w:type="paragraph" w:styleId="Header">
    <w:name w:val="header"/>
    <w:basedOn w:val="Normal"/>
    <w:link w:val="HeaderChar"/>
    <w:pPr>
      <w:jc w:val="right"/>
    </w:pPr>
    <w:rPr>
      <w:lang w:eastAsia="x-none"/>
    </w:rPr>
  </w:style>
  <w:style w:type="paragraph" w:customStyle="1" w:styleId="Level-1">
    <w:name w:val="Level-1"/>
    <w:basedOn w:val="Normal"/>
    <w:autoRedefine/>
    <w:pPr>
      <w:keepNext/>
      <w:numPr>
        <w:numId w:val="10"/>
      </w:numPr>
      <w:tabs>
        <w:tab w:val="left" w:pos="720"/>
      </w:tabs>
      <w:spacing w:before="120" w:after="120"/>
    </w:pPr>
    <w:rPr>
      <w:rFonts w:ascii="Times New Roman" w:hAnsi="Times New Roman"/>
      <w:b/>
      <w:noProof/>
      <w:sz w:val="22"/>
      <w:lang w:val="en-GB"/>
    </w:rPr>
  </w:style>
  <w:style w:type="paragraph" w:customStyle="1" w:styleId="Level-2">
    <w:name w:val="Level-2"/>
    <w:basedOn w:val="Normal"/>
    <w:autoRedefine/>
    <w:pPr>
      <w:keepNext/>
      <w:numPr>
        <w:ilvl w:val="1"/>
        <w:numId w:val="10"/>
      </w:numPr>
      <w:spacing w:before="120" w:after="120" w:line="300" w:lineRule="atLeast"/>
    </w:pPr>
    <w:rPr>
      <w:rFonts w:ascii="Times New Roman" w:hAnsi="Times New Roman" w:cs="Arial"/>
      <w:b/>
      <w:bCs/>
      <w:noProof/>
      <w:sz w:val="22"/>
    </w:rPr>
  </w:style>
  <w:style w:type="paragraph" w:customStyle="1" w:styleId="Level-3">
    <w:name w:val="Level-3"/>
    <w:basedOn w:val="Normal"/>
    <w:pPr>
      <w:numPr>
        <w:ilvl w:val="2"/>
        <w:numId w:val="10"/>
      </w:numPr>
      <w:tabs>
        <w:tab w:val="left" w:pos="720"/>
      </w:tabs>
      <w:spacing w:before="120" w:after="120"/>
    </w:pPr>
    <w:rPr>
      <w:rFonts w:ascii="Times New Roman" w:hAnsi="Times New Roman"/>
      <w:sz w:val="22"/>
    </w:rPr>
  </w:style>
  <w:style w:type="paragraph" w:customStyle="1" w:styleId="Level-4">
    <w:name w:val="Level-4"/>
    <w:basedOn w:val="Normal"/>
    <w:pPr>
      <w:tabs>
        <w:tab w:val="left" w:pos="260"/>
        <w:tab w:val="left" w:pos="981"/>
      </w:tabs>
      <w:ind w:left="260" w:hanging="1441"/>
    </w:pPr>
  </w:style>
  <w:style w:type="paragraph" w:customStyle="1" w:styleId="Level-4a">
    <w:name w:val="Level-4a"/>
    <w:basedOn w:val="Normal"/>
    <w:pPr>
      <w:numPr>
        <w:ilvl w:val="3"/>
        <w:numId w:val="10"/>
      </w:numPr>
      <w:tabs>
        <w:tab w:val="left" w:pos="720"/>
      </w:tabs>
      <w:spacing w:before="120" w:after="120"/>
    </w:pPr>
    <w:rPr>
      <w:rFonts w:ascii="Times New Roman" w:eastAsia="MS Mincho" w:hAnsi="Times New Roman" w:cs="Arial"/>
      <w:sz w:val="22"/>
      <w:szCs w:val="20"/>
    </w:rPr>
  </w:style>
  <w:style w:type="paragraph" w:customStyle="1" w:styleId="Level-4ax">
    <w:name w:val="Level-4ax"/>
    <w:basedOn w:val="Normal"/>
    <w:pPr>
      <w:tabs>
        <w:tab w:val="left" w:pos="260"/>
      </w:tabs>
      <w:ind w:left="260" w:hanging="721"/>
    </w:pPr>
  </w:style>
  <w:style w:type="paragraph" w:customStyle="1" w:styleId="Level-4r">
    <w:name w:val="Level-4r"/>
    <w:basedOn w:val="Normal"/>
    <w:pPr>
      <w:tabs>
        <w:tab w:val="left" w:pos="1020"/>
      </w:tabs>
      <w:ind w:left="339" w:hanging="681"/>
    </w:pPr>
  </w:style>
  <w:style w:type="paragraph" w:customStyle="1" w:styleId="Level-5a">
    <w:name w:val="Level-5a"/>
    <w:basedOn w:val="Normal"/>
    <w:pPr>
      <w:tabs>
        <w:tab w:val="left" w:pos="285"/>
      </w:tabs>
      <w:ind w:left="285" w:hanging="567"/>
    </w:pPr>
  </w:style>
  <w:style w:type="paragraph" w:customStyle="1" w:styleId="Level-5n">
    <w:name w:val="Level-5n"/>
    <w:basedOn w:val="Normal"/>
    <w:pPr>
      <w:ind w:left="285" w:hanging="567"/>
    </w:pPr>
  </w:style>
  <w:style w:type="paragraph" w:customStyle="1" w:styleId="Level-5r">
    <w:name w:val="Level-5r"/>
    <w:basedOn w:val="Normal"/>
    <w:autoRedefine/>
    <w:pPr>
      <w:numPr>
        <w:ilvl w:val="5"/>
        <w:numId w:val="10"/>
      </w:numPr>
      <w:spacing w:before="120" w:after="120"/>
    </w:pPr>
    <w:rPr>
      <w:rFonts w:ascii="Times New Roman" w:eastAsia="MS Mincho" w:hAnsi="Times New Roman"/>
      <w:noProof/>
      <w:w w:val="0"/>
      <w:sz w:val="22"/>
      <w:lang w:val="en-GB"/>
    </w:rPr>
  </w:style>
  <w:style w:type="paragraph" w:customStyle="1" w:styleId="Level-6n">
    <w:name w:val="Level-6n"/>
    <w:basedOn w:val="Normal"/>
    <w:pPr>
      <w:numPr>
        <w:ilvl w:val="6"/>
        <w:numId w:val="10"/>
      </w:numPr>
      <w:tabs>
        <w:tab w:val="left" w:pos="720"/>
      </w:tabs>
      <w:spacing w:before="120" w:after="120"/>
    </w:pPr>
    <w:rPr>
      <w:rFonts w:ascii="Times New Roman" w:hAnsi="Times New Roman"/>
      <w:sz w:val="22"/>
    </w:rPr>
  </w:style>
  <w:style w:type="paragraph" w:customStyle="1" w:styleId="PageTab">
    <w:name w:val="PageTab"/>
    <w:basedOn w:val="Normal"/>
    <w:pPr>
      <w:tabs>
        <w:tab w:val="left" w:pos="0"/>
        <w:tab w:val="left" w:pos="567"/>
        <w:tab w:val="left" w:pos="1134"/>
      </w:tabs>
      <w:jc w:val="both"/>
    </w:pPr>
  </w:style>
  <w:style w:type="paragraph" w:customStyle="1" w:styleId="PageTabSpacer">
    <w:name w:val="PageTabSpacer"/>
    <w:basedOn w:val="Normal"/>
    <w:pPr>
      <w:tabs>
        <w:tab w:val="left" w:pos="0"/>
        <w:tab w:val="left" w:pos="567"/>
        <w:tab w:val="left" w:pos="1134"/>
      </w:tabs>
      <w:jc w:val="center"/>
    </w:pPr>
  </w:style>
  <w:style w:type="paragraph" w:customStyle="1" w:styleId="Param1">
    <w:name w:val="Param1"/>
    <w:basedOn w:val="Normal"/>
    <w:pPr>
      <w:tabs>
        <w:tab w:val="left" w:pos="339"/>
        <w:tab w:val="left" w:pos="1020"/>
      </w:tabs>
      <w:ind w:left="1020"/>
      <w:jc w:val="both"/>
    </w:pPr>
  </w:style>
  <w:style w:type="paragraph" w:customStyle="1" w:styleId="Param2">
    <w:name w:val="Param2"/>
    <w:basedOn w:val="Normal"/>
    <w:pPr>
      <w:tabs>
        <w:tab w:val="left" w:pos="339"/>
      </w:tabs>
      <w:ind w:left="339" w:hanging="681"/>
      <w:jc w:val="both"/>
    </w:pPr>
  </w:style>
  <w:style w:type="paragraph" w:customStyle="1" w:styleId="Param3">
    <w:name w:val="Param3"/>
    <w:basedOn w:val="Normal"/>
    <w:pPr>
      <w:tabs>
        <w:tab w:val="left" w:pos="342"/>
      </w:tabs>
      <w:ind w:left="342" w:hanging="681"/>
      <w:jc w:val="both"/>
    </w:pPr>
  </w:style>
  <w:style w:type="paragraph" w:customStyle="1" w:styleId="Param4">
    <w:name w:val="Param4"/>
    <w:basedOn w:val="Normal"/>
    <w:pPr>
      <w:tabs>
        <w:tab w:val="left" w:pos="1023"/>
      </w:tabs>
      <w:ind w:left="1023" w:hanging="681"/>
      <w:jc w:val="both"/>
    </w:pPr>
  </w:style>
  <w:style w:type="paragraph" w:customStyle="1" w:styleId="Section">
    <w:name w:val="Section"/>
    <w:basedOn w:val="Normal"/>
    <w:pPr>
      <w:framePr w:hSpace="187" w:vSpace="187" w:wrap="around" w:vAnchor="page" w:hAnchor="text" w:y="1" w:anchorLock="1"/>
      <w:numPr>
        <w:numId w:val="11"/>
      </w:numPr>
      <w:spacing w:before="120" w:after="120" w:line="10" w:lineRule="atLeast"/>
    </w:pPr>
    <w:rPr>
      <w:b/>
      <w:sz w:val="36"/>
    </w:rPr>
  </w:style>
  <w:style w:type="paragraph" w:customStyle="1" w:styleId="TblBody">
    <w:name w:val="Tbl_Body"/>
    <w:basedOn w:val="Normal"/>
  </w:style>
  <w:style w:type="paragraph" w:customStyle="1" w:styleId="TblHead">
    <w:name w:val="Tbl_Head"/>
    <w:basedOn w:val="Normal"/>
  </w:style>
  <w:style w:type="paragraph" w:customStyle="1" w:styleId="vf">
    <w:name w:val="v/f"/>
    <w:basedOn w:val="Normal"/>
    <w:pPr>
      <w:tabs>
        <w:tab w:val="left" w:pos="339"/>
        <w:tab w:val="left" w:pos="1020"/>
      </w:tabs>
      <w:ind w:left="339" w:hanging="681"/>
    </w:pPr>
  </w:style>
  <w:style w:type="character" w:customStyle="1" w:styleId="AlphaNum">
    <w:name w:val="AlphaNum"/>
  </w:style>
  <w:style w:type="character" w:customStyle="1" w:styleId="Bold">
    <w:name w:val="Bold"/>
  </w:style>
  <w:style w:type="character" w:styleId="Emphasis">
    <w:name w:val="Emphasis"/>
    <w:qFormat/>
    <w:rPr>
      <w:i/>
      <w:iCs/>
    </w:rPr>
  </w:style>
  <w:style w:type="paragraph" w:customStyle="1" w:styleId="AL-1">
    <w:name w:val="AL-1"/>
    <w:basedOn w:val="Level-1"/>
    <w:autoRedefine/>
    <w:pPr>
      <w:numPr>
        <w:numId w:val="2"/>
      </w:numPr>
      <w:tabs>
        <w:tab w:val="clear" w:pos="720"/>
        <w:tab w:val="left" w:pos="0"/>
      </w:tabs>
      <w:ind w:left="90" w:hanging="90"/>
    </w:pPr>
  </w:style>
  <w:style w:type="paragraph" w:customStyle="1" w:styleId="AL-2">
    <w:name w:val="AL-2"/>
    <w:basedOn w:val="Normal"/>
    <w:pPr>
      <w:numPr>
        <w:ilvl w:val="1"/>
        <w:numId w:val="3"/>
      </w:numPr>
      <w:spacing w:before="120" w:after="120"/>
    </w:pPr>
    <w:rPr>
      <w:rFonts w:ascii="Times New Roman" w:hAnsi="Times New Roman"/>
      <w:sz w:val="22"/>
    </w:rPr>
  </w:style>
  <w:style w:type="paragraph" w:customStyle="1" w:styleId="AL-4a">
    <w:name w:val="AL-4a"/>
    <w:basedOn w:val="Normal"/>
    <w:autoRedefine/>
    <w:pPr>
      <w:numPr>
        <w:ilvl w:val="2"/>
        <w:numId w:val="4"/>
      </w:numPr>
      <w:tabs>
        <w:tab w:val="clear" w:pos="21"/>
        <w:tab w:val="num" w:pos="720"/>
      </w:tabs>
      <w:spacing w:before="120" w:after="120"/>
      <w:ind w:left="1440" w:hanging="720"/>
    </w:pPr>
    <w:rPr>
      <w:rFonts w:ascii="Times New Roman" w:hAnsi="Times New Roman"/>
      <w:sz w:val="22"/>
    </w:rPr>
  </w:style>
  <w:style w:type="paragraph" w:customStyle="1" w:styleId="AL-4r">
    <w:name w:val="AL-4r"/>
    <w:basedOn w:val="Normal"/>
    <w:pPr>
      <w:spacing w:before="120" w:after="120"/>
    </w:pPr>
    <w:rPr>
      <w:rFonts w:ascii="Times New Roman" w:hAnsi="Times New Roman"/>
      <w:sz w:val="22"/>
    </w:rPr>
  </w:style>
  <w:style w:type="paragraph" w:customStyle="1" w:styleId="AL-5n">
    <w:name w:val="AL-5n"/>
    <w:basedOn w:val="AL-1"/>
    <w:pPr>
      <w:numPr>
        <w:numId w:val="0"/>
      </w:numPr>
      <w:ind w:left="90" w:hanging="90"/>
    </w:pPr>
    <w:rPr>
      <w:b w:val="0"/>
    </w:rPr>
  </w:style>
  <w:style w:type="paragraph" w:customStyle="1" w:styleId="AL-5r">
    <w:name w:val="AL-5r"/>
    <w:basedOn w:val="Normal"/>
    <w:autoRedefine/>
    <w:pPr>
      <w:numPr>
        <w:ilvl w:val="3"/>
        <w:numId w:val="5"/>
      </w:numPr>
      <w:tabs>
        <w:tab w:val="clear" w:pos="1800"/>
        <w:tab w:val="left" w:pos="720"/>
      </w:tabs>
      <w:spacing w:before="120" w:after="120"/>
      <w:ind w:left="2160" w:hanging="720"/>
    </w:pPr>
    <w:rPr>
      <w:rFonts w:ascii="Times New Roman" w:hAnsi="Times New Roman"/>
      <w:noProof/>
      <w:sz w:val="22"/>
      <w:lang w:val="en-GB"/>
    </w:rPr>
  </w:style>
  <w:style w:type="paragraph" w:customStyle="1" w:styleId="AL-6a">
    <w:name w:val="AL-6a"/>
    <w:basedOn w:val="Normal"/>
    <w:pPr>
      <w:spacing w:before="120" w:after="120"/>
    </w:pPr>
    <w:rPr>
      <w:rFonts w:ascii="Times New Roman" w:hAnsi="Times New Roman"/>
      <w:sz w:val="22"/>
    </w:rPr>
  </w:style>
  <w:style w:type="paragraph" w:customStyle="1" w:styleId="AL-6n">
    <w:name w:val="AL-6n"/>
    <w:basedOn w:val="Normal"/>
    <w:pPr>
      <w:numPr>
        <w:ilvl w:val="5"/>
        <w:numId w:val="6"/>
      </w:numPr>
    </w:pPr>
  </w:style>
  <w:style w:type="paragraph" w:styleId="BodyTextIndent3">
    <w:name w:val="Body Text Indent 3"/>
    <w:basedOn w:val="Normal"/>
    <w:pPr>
      <w:tabs>
        <w:tab w:val="left" w:pos="681"/>
      </w:tabs>
      <w:autoSpaceDE/>
      <w:autoSpaceDN/>
      <w:adjustRightInd/>
      <w:spacing w:before="120" w:after="80" w:line="280" w:lineRule="atLeast"/>
      <w:ind w:left="681" w:hanging="681"/>
    </w:pPr>
    <w:rPr>
      <w:rFonts w:ascii="Times New Roman" w:hAnsi="Times New Roman"/>
      <w:b/>
      <w:bCs/>
      <w:snapToGrid w:val="0"/>
      <w:color w:val="FF0000"/>
      <w:sz w:val="22"/>
      <w:szCs w:val="20"/>
      <w:lang w:val="en-GB"/>
    </w:rPr>
  </w:style>
  <w:style w:type="paragraph" w:customStyle="1" w:styleId="Body-6">
    <w:name w:val="Body-6"/>
    <w:basedOn w:val="Body-5"/>
    <w:pPr>
      <w:ind w:left="2160"/>
    </w:pPr>
  </w:style>
  <w:style w:type="paragraph" w:styleId="DocumentMap">
    <w:name w:val="Document Map"/>
    <w:basedOn w:val="Normal"/>
    <w:link w:val="DocumentMapChar"/>
    <w:pPr>
      <w:shd w:val="clear" w:color="auto" w:fill="000080"/>
    </w:pPr>
    <w:rPr>
      <w:rFonts w:ascii="Tahoma" w:hAnsi="Tahoma"/>
      <w:lang w:eastAsia="x-none"/>
    </w:rPr>
  </w:style>
  <w:style w:type="character" w:styleId="FollowedHyperlink">
    <w:name w:val="FollowedHyperlink"/>
    <w:rPr>
      <w:color w:val="800080"/>
      <w:u w:val="single"/>
    </w:rPr>
  </w:style>
  <w:style w:type="character" w:styleId="FootnoteReference">
    <w:name w:val="footnote reference"/>
    <w:rPr>
      <w:vertAlign w:val="superscript"/>
    </w:rPr>
  </w:style>
  <w:style w:type="paragraph" w:styleId="FootnoteText">
    <w:name w:val="footnote text"/>
    <w:basedOn w:val="Normal"/>
    <w:link w:val="FootnoteTextChar"/>
    <w:rPr>
      <w:szCs w:val="20"/>
      <w:lang w:eastAsia="x-none"/>
    </w:rPr>
  </w:style>
  <w:style w:type="paragraph" w:customStyle="1" w:styleId="Heading21">
    <w:name w:val="Heading 2_1"/>
    <w:basedOn w:val="Heading2"/>
    <w:pPr>
      <w:numPr>
        <w:ilvl w:val="1"/>
        <w:numId w:val="8"/>
      </w:numPr>
    </w:pPr>
    <w:rPr>
      <w:noProof/>
    </w:rPr>
  </w:style>
  <w:style w:type="character" w:styleId="Hyperlink">
    <w:name w:val="Hyperlink"/>
    <w:rPr>
      <w:color w:val="0000FF"/>
      <w:u w:val="single"/>
    </w:rPr>
  </w:style>
  <w:style w:type="paragraph" w:styleId="Index1">
    <w:name w:val="index 1"/>
    <w:basedOn w:val="Normal"/>
    <w:next w:val="Normal"/>
    <w:autoRedefine/>
    <w:pPr>
      <w:tabs>
        <w:tab w:val="right" w:leader="dot" w:pos="8499"/>
      </w:tabs>
      <w:ind w:left="202" w:hanging="202"/>
    </w:pPr>
    <w:rPr>
      <w:rFonts w:ascii="Times New Roman" w:hAnsi="Times New Roman"/>
      <w:b/>
      <w:noProof/>
      <w:color w:val="00007F"/>
      <w:szCs w:val="21"/>
    </w:rPr>
  </w:style>
  <w:style w:type="paragraph" w:styleId="Index2">
    <w:name w:val="index 2"/>
    <w:basedOn w:val="Normal"/>
    <w:next w:val="Normal"/>
    <w:autoRedefine/>
    <w:pPr>
      <w:ind w:left="400" w:hanging="200"/>
    </w:pPr>
    <w:rPr>
      <w:rFonts w:ascii="Times New Roman" w:hAnsi="Times New Roman"/>
      <w:szCs w:val="21"/>
    </w:rPr>
  </w:style>
  <w:style w:type="paragraph" w:styleId="Index3">
    <w:name w:val="index 3"/>
    <w:basedOn w:val="Normal"/>
    <w:next w:val="Normal"/>
    <w:autoRedefine/>
    <w:pPr>
      <w:ind w:left="600" w:hanging="200"/>
    </w:pPr>
    <w:rPr>
      <w:rFonts w:ascii="Times New Roman" w:hAnsi="Times New Roman"/>
      <w:szCs w:val="21"/>
    </w:rPr>
  </w:style>
  <w:style w:type="paragraph" w:styleId="Index4">
    <w:name w:val="index 4"/>
    <w:basedOn w:val="Normal"/>
    <w:next w:val="Normal"/>
    <w:autoRedefine/>
    <w:pPr>
      <w:ind w:left="800" w:hanging="200"/>
    </w:pPr>
    <w:rPr>
      <w:rFonts w:ascii="Times New Roman" w:hAnsi="Times New Roman"/>
      <w:szCs w:val="21"/>
    </w:rPr>
  </w:style>
  <w:style w:type="paragraph" w:styleId="Index5">
    <w:name w:val="index 5"/>
    <w:basedOn w:val="Normal"/>
    <w:next w:val="Normal"/>
    <w:autoRedefine/>
    <w:pPr>
      <w:ind w:left="1000" w:hanging="200"/>
    </w:pPr>
    <w:rPr>
      <w:rFonts w:ascii="Times New Roman" w:hAnsi="Times New Roman"/>
      <w:szCs w:val="21"/>
    </w:rPr>
  </w:style>
  <w:style w:type="paragraph" w:styleId="Index6">
    <w:name w:val="index 6"/>
    <w:basedOn w:val="Normal"/>
    <w:next w:val="Normal"/>
    <w:autoRedefine/>
    <w:pPr>
      <w:ind w:left="1200" w:hanging="200"/>
    </w:pPr>
    <w:rPr>
      <w:rFonts w:ascii="Times New Roman" w:hAnsi="Times New Roman"/>
      <w:szCs w:val="21"/>
    </w:rPr>
  </w:style>
  <w:style w:type="paragraph" w:styleId="Index7">
    <w:name w:val="index 7"/>
    <w:basedOn w:val="Normal"/>
    <w:next w:val="Normal"/>
    <w:autoRedefine/>
    <w:pPr>
      <w:ind w:left="1400" w:hanging="200"/>
    </w:pPr>
    <w:rPr>
      <w:rFonts w:ascii="Times New Roman" w:hAnsi="Times New Roman"/>
      <w:szCs w:val="21"/>
    </w:rPr>
  </w:style>
  <w:style w:type="paragraph" w:styleId="Index8">
    <w:name w:val="index 8"/>
    <w:basedOn w:val="Normal"/>
    <w:next w:val="Normal"/>
    <w:autoRedefine/>
    <w:pPr>
      <w:ind w:left="1600" w:hanging="200"/>
    </w:pPr>
    <w:rPr>
      <w:rFonts w:ascii="Times New Roman" w:hAnsi="Times New Roman"/>
      <w:szCs w:val="21"/>
    </w:rPr>
  </w:style>
  <w:style w:type="paragraph" w:styleId="Index9">
    <w:name w:val="index 9"/>
    <w:basedOn w:val="Normal"/>
    <w:next w:val="Normal"/>
    <w:autoRedefine/>
    <w:pPr>
      <w:ind w:left="1800" w:hanging="200"/>
    </w:pPr>
    <w:rPr>
      <w:rFonts w:ascii="Times New Roman" w:hAnsi="Times New Roman"/>
      <w:szCs w:val="21"/>
    </w:rPr>
  </w:style>
  <w:style w:type="paragraph" w:styleId="IndexHeading">
    <w:name w:val="index heading"/>
    <w:basedOn w:val="Normal"/>
    <w:next w:val="Index1"/>
    <w:pPr>
      <w:pBdr>
        <w:top w:val="single" w:sz="12" w:space="0" w:color="auto"/>
      </w:pBdr>
      <w:spacing w:before="360" w:after="240"/>
    </w:pPr>
    <w:rPr>
      <w:rFonts w:ascii="Times New Roman" w:hAnsi="Times New Roman"/>
      <w:b/>
      <w:bCs/>
      <w:i/>
      <w:iCs/>
      <w:szCs w:val="31"/>
    </w:rPr>
  </w:style>
  <w:style w:type="character" w:styleId="PageNumber">
    <w:name w:val="page number"/>
    <w:basedOn w:val="DefaultParagraphFont"/>
  </w:style>
  <w:style w:type="paragraph" w:customStyle="1" w:styleId="tab">
    <w:name w:val="tab"/>
    <w:basedOn w:val="PageTab"/>
    <w:pPr>
      <w:tabs>
        <w:tab w:val="clear" w:pos="0"/>
        <w:tab w:val="clear" w:pos="567"/>
        <w:tab w:val="clear" w:pos="1134"/>
        <w:tab w:val="left" w:pos="720"/>
      </w:tabs>
      <w:spacing w:before="120" w:after="120"/>
      <w:ind w:left="3600" w:hanging="720"/>
    </w:pPr>
    <w:rPr>
      <w:rFonts w:ascii="Times New Roman" w:hAnsi="Times New Roman"/>
      <w:noProof/>
    </w:rPr>
  </w:style>
  <w:style w:type="paragraph" w:customStyle="1" w:styleId="tab-5">
    <w:name w:val="tab-5"/>
    <w:basedOn w:val="tab"/>
    <w:pPr>
      <w:ind w:left="1440"/>
    </w:pPr>
    <w:rPr>
      <w:sz w:val="22"/>
      <w:lang w:val="en-GB"/>
    </w:rPr>
  </w:style>
  <w:style w:type="paragraph" w:styleId="TOC1">
    <w:name w:val="toc 1"/>
    <w:basedOn w:val="Normal"/>
    <w:next w:val="Normal"/>
    <w:pPr>
      <w:tabs>
        <w:tab w:val="left" w:pos="446"/>
        <w:tab w:val="right" w:pos="8496"/>
      </w:tabs>
      <w:spacing w:before="120" w:after="120"/>
    </w:pPr>
    <w:rPr>
      <w:rFonts w:ascii="Times New Roman" w:hAnsi="Times New Roman"/>
      <w:b/>
      <w:bCs/>
      <w:caps/>
      <w:sz w:val="24"/>
    </w:rPr>
  </w:style>
  <w:style w:type="paragraph" w:styleId="TOC2">
    <w:name w:val="toc 2"/>
    <w:basedOn w:val="Normal"/>
    <w:next w:val="Normal"/>
    <w:pPr>
      <w:tabs>
        <w:tab w:val="left" w:pos="880"/>
        <w:tab w:val="right" w:pos="8499"/>
      </w:tabs>
      <w:ind w:left="936" w:hanging="720"/>
    </w:pPr>
    <w:rPr>
      <w:rFonts w:ascii="Times New Roman" w:hAnsi="Times New Roman"/>
      <w:smallCaps/>
      <w:noProof/>
      <w:sz w:val="24"/>
      <w:szCs w:val="26"/>
    </w:rPr>
  </w:style>
  <w:style w:type="paragraph" w:styleId="TOC3">
    <w:name w:val="toc 3"/>
    <w:basedOn w:val="Normal"/>
    <w:next w:val="Normal"/>
    <w:autoRedefine/>
    <w:pPr>
      <w:ind w:left="400"/>
    </w:pPr>
    <w:rPr>
      <w:rFonts w:ascii="Times New Roman" w:hAnsi="Times New Roman"/>
      <w:i/>
      <w:iCs/>
    </w:rPr>
  </w:style>
  <w:style w:type="paragraph" w:styleId="TOC4">
    <w:name w:val="toc 4"/>
    <w:basedOn w:val="Normal"/>
    <w:next w:val="Normal"/>
    <w:autoRedefine/>
    <w:pPr>
      <w:ind w:left="600"/>
    </w:pPr>
    <w:rPr>
      <w:rFonts w:ascii="Times New Roman" w:hAnsi="Times New Roman"/>
      <w:szCs w:val="21"/>
    </w:rPr>
  </w:style>
  <w:style w:type="paragraph" w:styleId="TOC5">
    <w:name w:val="toc 5"/>
    <w:basedOn w:val="Normal"/>
    <w:next w:val="Normal"/>
    <w:autoRedefine/>
    <w:pPr>
      <w:ind w:left="800"/>
    </w:pPr>
    <w:rPr>
      <w:rFonts w:ascii="Times New Roman" w:hAnsi="Times New Roman"/>
      <w:szCs w:val="21"/>
    </w:rPr>
  </w:style>
  <w:style w:type="paragraph" w:styleId="TOC6">
    <w:name w:val="toc 6"/>
    <w:basedOn w:val="Normal"/>
    <w:next w:val="Normal"/>
    <w:autoRedefine/>
    <w:pPr>
      <w:ind w:left="1000"/>
    </w:pPr>
    <w:rPr>
      <w:rFonts w:ascii="Times New Roman" w:hAnsi="Times New Roman"/>
      <w:szCs w:val="21"/>
    </w:rPr>
  </w:style>
  <w:style w:type="paragraph" w:styleId="TOC7">
    <w:name w:val="toc 7"/>
    <w:basedOn w:val="Normal"/>
    <w:next w:val="Normal"/>
    <w:autoRedefine/>
    <w:pPr>
      <w:ind w:left="1200"/>
    </w:pPr>
    <w:rPr>
      <w:rFonts w:ascii="Times New Roman" w:hAnsi="Times New Roman"/>
      <w:szCs w:val="21"/>
    </w:rPr>
  </w:style>
  <w:style w:type="paragraph" w:styleId="TOC8">
    <w:name w:val="toc 8"/>
    <w:basedOn w:val="Normal"/>
    <w:next w:val="Normal"/>
    <w:autoRedefine/>
    <w:pPr>
      <w:ind w:left="1400"/>
    </w:pPr>
    <w:rPr>
      <w:rFonts w:ascii="Times New Roman" w:hAnsi="Times New Roman"/>
      <w:szCs w:val="21"/>
    </w:rPr>
  </w:style>
  <w:style w:type="paragraph" w:styleId="TOC9">
    <w:name w:val="toc 9"/>
    <w:basedOn w:val="Normal"/>
    <w:next w:val="Normal"/>
    <w:autoRedefine/>
    <w:pPr>
      <w:ind w:left="1600"/>
    </w:pPr>
    <w:rPr>
      <w:rFonts w:ascii="Times New Roman" w:hAnsi="Times New Roman"/>
      <w:szCs w:val="21"/>
    </w:rPr>
  </w:style>
  <w:style w:type="paragraph" w:customStyle="1" w:styleId="TAB0">
    <w:name w:val="TAB"/>
    <w:basedOn w:val="Normal"/>
    <w:pPr>
      <w:tabs>
        <w:tab w:val="left" w:pos="720"/>
      </w:tabs>
      <w:spacing w:after="140"/>
      <w:ind w:left="1440" w:hanging="720"/>
      <w:jc w:val="both"/>
    </w:pPr>
    <w:rPr>
      <w:rFonts w:ascii="Times New Roman" w:hAnsi="Times New Roman"/>
      <w:noProof/>
      <w:color w:val="000000"/>
      <w:sz w:val="22"/>
    </w:rPr>
  </w:style>
  <w:style w:type="character" w:customStyle="1" w:styleId="DefinedTerm">
    <w:name w:val="Defined Term"/>
    <w:rPr>
      <w:rFonts w:ascii="Times New Roman" w:hAnsi="Times New Roman"/>
      <w:b/>
      <w:noProof/>
      <w:color w:val="000080"/>
      <w:sz w:val="22"/>
    </w:rPr>
  </w:style>
  <w:style w:type="paragraph" w:styleId="TableofFigures">
    <w:name w:val="table of figures"/>
    <w:basedOn w:val="Normal"/>
    <w:next w:val="Normal"/>
    <w:pPr>
      <w:ind w:left="400" w:hanging="400"/>
    </w:pPr>
  </w:style>
  <w:style w:type="paragraph" w:customStyle="1" w:styleId="DefinedTermIndex">
    <w:name w:val="Defined Term Index"/>
    <w:basedOn w:val="Normal"/>
    <w:pPr>
      <w:tabs>
        <w:tab w:val="right" w:leader="dot" w:pos="8460"/>
        <w:tab w:val="right" w:leader="dot" w:pos="8494"/>
      </w:tabs>
    </w:pPr>
    <w:rPr>
      <w:rFonts w:ascii="Times New Roman" w:hAnsi="Times New Roman"/>
      <w:b/>
      <w:noProof/>
      <w:color w:val="00007F"/>
      <w:sz w:val="22"/>
      <w:szCs w:val="21"/>
    </w:rPr>
  </w:style>
  <w:style w:type="paragraph" w:customStyle="1" w:styleId="Level-5">
    <w:name w:val="Level-5"/>
    <w:basedOn w:val="Normal"/>
    <w:pPr>
      <w:tabs>
        <w:tab w:val="left" w:pos="567"/>
      </w:tabs>
      <w:spacing w:line="260" w:lineRule="atLeast"/>
      <w:ind w:left="567"/>
    </w:pPr>
    <w:rPr>
      <w:rFonts w:ascii="Times New Roman" w:hAnsi="Times New Roman"/>
    </w:rPr>
  </w:style>
  <w:style w:type="paragraph" w:customStyle="1" w:styleId="DefTermsTitle">
    <w:name w:val="Def Terms Title"/>
    <w:basedOn w:val="Section"/>
    <w:pPr>
      <w:framePr w:hSpace="0" w:vSpace="0" w:wrap="auto" w:vAnchor="margin" w:yAlign="inline"/>
    </w:pPr>
  </w:style>
  <w:style w:type="paragraph" w:customStyle="1" w:styleId="Level-8ar">
    <w:name w:val="Level-8ar"/>
    <w:basedOn w:val="Normal"/>
    <w:pPr>
      <w:tabs>
        <w:tab w:val="num" w:pos="360"/>
      </w:tabs>
    </w:pPr>
    <w:rPr>
      <w:rFonts w:ascii="Times New Roman" w:hAnsi="Times New Roman"/>
    </w:rPr>
  </w:style>
  <w:style w:type="paragraph" w:customStyle="1" w:styleId="Level-7aa">
    <w:name w:val="Level-7aa"/>
    <w:basedOn w:val="Normal"/>
    <w:pPr>
      <w:spacing w:before="120" w:after="120"/>
      <w:ind w:left="4320" w:hanging="720"/>
    </w:pPr>
    <w:rPr>
      <w:rFonts w:ascii="Times New Roman" w:hAnsi="Times New Roman"/>
      <w:noProof/>
      <w:sz w:val="22"/>
    </w:rPr>
  </w:style>
  <w:style w:type="paragraph" w:styleId="BodyTextIndent">
    <w:name w:val="Body Text Indent"/>
    <w:basedOn w:val="Normal"/>
    <w:pPr>
      <w:tabs>
        <w:tab w:val="left" w:pos="709"/>
        <w:tab w:val="left" w:pos="1418"/>
        <w:tab w:val="left" w:pos="2127"/>
        <w:tab w:val="left" w:pos="2835"/>
        <w:tab w:val="left" w:pos="3544"/>
        <w:tab w:val="left" w:pos="4253"/>
        <w:tab w:val="left" w:pos="4962"/>
        <w:tab w:val="left" w:pos="5670"/>
        <w:tab w:val="left" w:pos="6379"/>
        <w:tab w:val="left" w:pos="7088"/>
        <w:tab w:val="left" w:pos="7797"/>
      </w:tabs>
      <w:spacing w:line="360" w:lineRule="atLeast"/>
      <w:ind w:left="709" w:hanging="709"/>
    </w:pPr>
    <w:rPr>
      <w:color w:val="000080"/>
      <w:sz w:val="24"/>
    </w:rPr>
  </w:style>
  <w:style w:type="paragraph" w:styleId="BodyText">
    <w:name w:val="Body Text"/>
    <w:basedOn w:val="Normal"/>
    <w:link w:val="BodyTextChar"/>
    <w:pPr>
      <w:widowControl/>
      <w:tabs>
        <w:tab w:val="left" w:pos="900"/>
      </w:tabs>
      <w:spacing w:line="360" w:lineRule="atLeast"/>
    </w:pPr>
    <w:rPr>
      <w:rFonts w:ascii="Times New Roman" w:hAnsi="Times New Roman"/>
      <w:color w:val="000000"/>
      <w:sz w:val="24"/>
      <w:lang w:eastAsia="x-none"/>
    </w:rPr>
  </w:style>
  <w:style w:type="paragraph" w:styleId="BodyTextIndent2">
    <w:name w:val="Body Text Indent 2"/>
    <w:basedOn w:val="Normal"/>
    <w:link w:val="BodyTextIndent2Char"/>
    <w:pPr>
      <w:widowControl/>
      <w:autoSpaceDE/>
      <w:autoSpaceDN/>
      <w:adjustRightInd/>
      <w:spacing w:after="120" w:line="480" w:lineRule="auto"/>
      <w:ind w:left="283"/>
    </w:pPr>
    <w:rPr>
      <w:szCs w:val="20"/>
      <w:lang w:val="x-none" w:eastAsia="x-none"/>
    </w:rPr>
  </w:style>
  <w:style w:type="paragraph" w:styleId="Date">
    <w:name w:val="Date"/>
    <w:basedOn w:val="Normal"/>
    <w:next w:val="Normal"/>
    <w:link w:val="DateChar"/>
    <w:rPr>
      <w:rFonts w:ascii="Times New Roman" w:hAnsi="Times New Roman"/>
      <w:noProof/>
      <w:sz w:val="22"/>
      <w:lang w:eastAsia="x-none"/>
    </w:rPr>
  </w:style>
  <w:style w:type="paragraph" w:styleId="BodyText3">
    <w:name w:val="Body Text 3"/>
    <w:basedOn w:val="Normal"/>
    <w:link w:val="BodyText3Char"/>
    <w:pPr>
      <w:spacing w:after="120"/>
    </w:pPr>
    <w:rPr>
      <w:sz w:val="16"/>
      <w:szCs w:val="16"/>
      <w:lang w:eastAsia="x-none"/>
    </w:rPr>
  </w:style>
  <w:style w:type="character" w:customStyle="1" w:styleId="DeltaViewInsertion">
    <w:name w:val="DeltaView Insertion"/>
    <w:rPr>
      <w:color w:val="0000FF"/>
      <w:spacing w:val="0"/>
      <w:u w:val="double"/>
    </w:rPr>
  </w:style>
  <w:style w:type="paragraph" w:customStyle="1" w:styleId="Level1">
    <w:name w:val="Level 1"/>
    <w:basedOn w:val="Normal"/>
    <w:autoRedefine/>
    <w:pPr>
      <w:widowControl/>
      <w:autoSpaceDE/>
      <w:autoSpaceDN/>
      <w:adjustRightInd/>
      <w:spacing w:before="120" w:after="120"/>
      <w:jc w:val="both"/>
    </w:pPr>
    <w:rPr>
      <w:rFonts w:ascii="Times New Roman" w:hAnsi="Times New Roman"/>
      <w:bCs/>
      <w:color w:val="000080"/>
      <w:sz w:val="24"/>
      <w:lang w:val="en-GB"/>
    </w:rPr>
  </w:style>
  <w:style w:type="paragraph" w:customStyle="1" w:styleId="Schedule">
    <w:name w:val="Schedule"/>
    <w:basedOn w:val="BodyText"/>
    <w:next w:val="BodyText"/>
    <w:pPr>
      <w:numPr>
        <w:numId w:val="12"/>
      </w:numPr>
      <w:tabs>
        <w:tab w:val="clear" w:pos="900"/>
      </w:tabs>
      <w:spacing w:after="230" w:line="240" w:lineRule="auto"/>
    </w:pPr>
    <w:rPr>
      <w:rFonts w:ascii="Arial" w:hAnsi="Arial" w:cs="Arial"/>
      <w:b/>
      <w:bCs/>
      <w:color w:val="auto"/>
      <w:sz w:val="28"/>
      <w:szCs w:val="28"/>
      <w:lang w:val="en-GB"/>
    </w:rPr>
  </w:style>
  <w:style w:type="paragraph" w:customStyle="1" w:styleId="Appendix">
    <w:name w:val="Appendix"/>
    <w:basedOn w:val="Normal"/>
    <w:next w:val="BodyText"/>
    <w:pPr>
      <w:widowControl/>
      <w:numPr>
        <w:numId w:val="13"/>
      </w:numPr>
      <w:spacing w:after="240"/>
    </w:pPr>
    <w:rPr>
      <w:rFonts w:cs="Arial"/>
      <w:b/>
      <w:bCs/>
      <w:sz w:val="28"/>
      <w:szCs w:val="28"/>
      <w:lang w:val="en-GB"/>
    </w:rPr>
  </w:style>
  <w:style w:type="character" w:customStyle="1" w:styleId="DeltaViewDeletion">
    <w:name w:val="DeltaView Deletion"/>
    <w:rPr>
      <w:strike/>
      <w:color w:val="0000FF"/>
      <w:spacing w:val="0"/>
    </w:rPr>
  </w:style>
  <w:style w:type="paragraph" w:customStyle="1" w:styleId="Address">
    <w:name w:val="Address"/>
    <w:basedOn w:val="Normal"/>
    <w:pPr>
      <w:widowControl/>
    </w:pPr>
    <w:rPr>
      <w:rFonts w:cs="Arial"/>
      <w:b/>
      <w:bCs/>
      <w:sz w:val="18"/>
      <w:szCs w:val="18"/>
      <w:lang w:val="en-GB"/>
    </w:rPr>
  </w:style>
  <w:style w:type="paragraph" w:customStyle="1" w:styleId="BodyText1">
    <w:name w:val="Body Text 1"/>
    <w:basedOn w:val="BodyText"/>
    <w:pPr>
      <w:tabs>
        <w:tab w:val="clear" w:pos="900"/>
      </w:tabs>
      <w:spacing w:after="230" w:line="240" w:lineRule="auto"/>
      <w:ind w:left="709"/>
    </w:pPr>
    <w:rPr>
      <w:rFonts w:ascii="Arial" w:hAnsi="Arial" w:cs="Arial"/>
      <w:color w:val="auto"/>
      <w:sz w:val="20"/>
      <w:szCs w:val="20"/>
      <w:lang w:val="en-GB"/>
    </w:rPr>
  </w:style>
  <w:style w:type="paragraph" w:customStyle="1" w:styleId="BodyText4">
    <w:name w:val="Body Text 4"/>
    <w:basedOn w:val="BodyText"/>
    <w:pPr>
      <w:tabs>
        <w:tab w:val="clear" w:pos="900"/>
      </w:tabs>
      <w:spacing w:after="230" w:line="240" w:lineRule="auto"/>
      <w:ind w:left="1418"/>
    </w:pPr>
    <w:rPr>
      <w:rFonts w:ascii="Arial" w:hAnsi="Arial" w:cs="Arial"/>
      <w:color w:val="auto"/>
      <w:sz w:val="20"/>
      <w:szCs w:val="20"/>
      <w:lang w:val="en-GB"/>
    </w:rPr>
  </w:style>
  <w:style w:type="paragraph" w:customStyle="1" w:styleId="BodyText5">
    <w:name w:val="Body Text 5"/>
    <w:basedOn w:val="BodyText"/>
    <w:pPr>
      <w:tabs>
        <w:tab w:val="clear" w:pos="900"/>
      </w:tabs>
      <w:spacing w:after="230" w:line="240" w:lineRule="auto"/>
      <w:ind w:left="2126"/>
    </w:pPr>
    <w:rPr>
      <w:rFonts w:ascii="Arial" w:hAnsi="Arial" w:cs="Arial"/>
      <w:color w:val="auto"/>
      <w:sz w:val="20"/>
      <w:szCs w:val="20"/>
      <w:lang w:val="en-GB"/>
    </w:rPr>
  </w:style>
  <w:style w:type="paragraph" w:customStyle="1" w:styleId="BodyText6">
    <w:name w:val="Body Text 6"/>
    <w:basedOn w:val="BodyText"/>
    <w:pPr>
      <w:tabs>
        <w:tab w:val="clear" w:pos="900"/>
      </w:tabs>
      <w:spacing w:after="230" w:line="240" w:lineRule="auto"/>
      <w:ind w:left="2835"/>
    </w:pPr>
    <w:rPr>
      <w:rFonts w:ascii="Arial" w:hAnsi="Arial" w:cs="Arial"/>
      <w:color w:val="auto"/>
      <w:sz w:val="20"/>
      <w:szCs w:val="20"/>
      <w:lang w:val="en-GB"/>
    </w:rPr>
  </w:style>
  <w:style w:type="paragraph" w:customStyle="1" w:styleId="Cover1">
    <w:name w:val="Cover1"/>
    <w:basedOn w:val="Normal"/>
    <w:next w:val="Normal"/>
    <w:pPr>
      <w:widowControl/>
    </w:pPr>
    <w:rPr>
      <w:rFonts w:cs="Arial"/>
      <w:b/>
      <w:bCs/>
      <w:sz w:val="24"/>
      <w:lang w:val="en-GB"/>
    </w:rPr>
  </w:style>
  <w:style w:type="paragraph" w:customStyle="1" w:styleId="Cover2">
    <w:name w:val="Cover2"/>
    <w:basedOn w:val="Normal"/>
    <w:next w:val="Cover1"/>
    <w:pPr>
      <w:widowControl/>
      <w:spacing w:after="240"/>
    </w:pPr>
    <w:rPr>
      <w:rFonts w:cs="Arial"/>
      <w:sz w:val="24"/>
      <w:lang w:val="en-GB"/>
    </w:rPr>
  </w:style>
  <w:style w:type="paragraph" w:customStyle="1" w:styleId="FooterLandscape">
    <w:name w:val="Footer Landscape"/>
    <w:basedOn w:val="Footer"/>
    <w:pPr>
      <w:widowControl/>
      <w:pBdr>
        <w:top w:val="single" w:sz="4" w:space="4" w:color="auto"/>
      </w:pBdr>
      <w:tabs>
        <w:tab w:val="clear" w:pos="2837"/>
        <w:tab w:val="clear" w:pos="5103"/>
        <w:tab w:val="clear" w:pos="6804"/>
        <w:tab w:val="center" w:pos="4536"/>
        <w:tab w:val="center" w:pos="6926"/>
        <w:tab w:val="right" w:pos="9072"/>
        <w:tab w:val="right" w:pos="13680"/>
      </w:tabs>
    </w:pPr>
    <w:rPr>
      <w:rFonts w:cs="Arial"/>
      <w:sz w:val="16"/>
      <w:szCs w:val="16"/>
      <w:lang w:val="en-GB"/>
    </w:rPr>
  </w:style>
  <w:style w:type="paragraph" w:customStyle="1" w:styleId="FrontSheet">
    <w:name w:val="Front Sheet"/>
    <w:basedOn w:val="Normal"/>
    <w:pPr>
      <w:widowControl/>
      <w:spacing w:after="240"/>
    </w:pPr>
    <w:rPr>
      <w:rFonts w:cs="Arial"/>
      <w:b/>
      <w:bCs/>
      <w:caps/>
      <w:sz w:val="30"/>
      <w:szCs w:val="30"/>
      <w:lang w:val="en-GB"/>
    </w:rPr>
  </w:style>
  <w:style w:type="paragraph" w:customStyle="1" w:styleId="HeaderLandscape">
    <w:name w:val="Header Landscape"/>
    <w:basedOn w:val="Header"/>
    <w:pPr>
      <w:widowControl/>
      <w:tabs>
        <w:tab w:val="center" w:pos="4536"/>
        <w:tab w:val="center" w:pos="6926"/>
        <w:tab w:val="right" w:pos="9072"/>
        <w:tab w:val="right" w:pos="13680"/>
      </w:tabs>
      <w:jc w:val="left"/>
    </w:pPr>
    <w:rPr>
      <w:rFonts w:cs="Arial"/>
      <w:szCs w:val="20"/>
      <w:lang w:val="en-GB"/>
    </w:rPr>
  </w:style>
  <w:style w:type="paragraph" w:customStyle="1" w:styleId="Leader">
    <w:name w:val="Leader"/>
    <w:basedOn w:val="BodyText"/>
    <w:pPr>
      <w:tabs>
        <w:tab w:val="clear" w:pos="900"/>
      </w:tabs>
      <w:spacing w:before="120" w:after="230" w:line="240" w:lineRule="auto"/>
    </w:pPr>
    <w:rPr>
      <w:rFonts w:ascii="Arial" w:hAnsi="Arial" w:cs="Arial"/>
      <w:b/>
      <w:bCs/>
      <w:color w:val="auto"/>
      <w:lang w:val="en-GB"/>
    </w:rPr>
  </w:style>
  <w:style w:type="paragraph" w:customStyle="1" w:styleId="Note">
    <w:name w:val="Note"/>
    <w:basedOn w:val="Normal"/>
    <w:pPr>
      <w:widowControl/>
      <w:pBdr>
        <w:top w:val="double" w:sz="4" w:space="2" w:color="auto"/>
        <w:left w:val="double" w:sz="4" w:space="4" w:color="auto"/>
        <w:bottom w:val="double" w:sz="4" w:space="2" w:color="auto"/>
        <w:right w:val="double" w:sz="4" w:space="4" w:color="auto"/>
      </w:pBdr>
      <w:spacing w:after="240"/>
      <w:ind w:left="709"/>
    </w:pPr>
    <w:rPr>
      <w:rFonts w:cs="Arial"/>
      <w:color w:val="000080"/>
      <w:sz w:val="18"/>
      <w:szCs w:val="18"/>
      <w:lang w:val="en-GB"/>
    </w:rPr>
  </w:style>
  <w:style w:type="paragraph" w:customStyle="1" w:styleId="Parties">
    <w:name w:val="Parties"/>
    <w:basedOn w:val="BodyText"/>
    <w:pPr>
      <w:tabs>
        <w:tab w:val="clear" w:pos="900"/>
        <w:tab w:val="num" w:pos="709"/>
      </w:tabs>
      <w:spacing w:after="230" w:line="240" w:lineRule="auto"/>
      <w:ind w:left="709" w:hanging="709"/>
    </w:pPr>
    <w:rPr>
      <w:rFonts w:ascii="Arial" w:hAnsi="Arial" w:cs="Arial"/>
      <w:color w:val="auto"/>
      <w:sz w:val="20"/>
      <w:szCs w:val="20"/>
      <w:lang w:val="en-GB"/>
    </w:rPr>
  </w:style>
  <w:style w:type="paragraph" w:customStyle="1" w:styleId="Recital">
    <w:name w:val="Recital"/>
    <w:basedOn w:val="BodyText"/>
    <w:pPr>
      <w:tabs>
        <w:tab w:val="clear" w:pos="900"/>
        <w:tab w:val="num" w:pos="709"/>
      </w:tabs>
      <w:spacing w:after="230" w:line="240" w:lineRule="auto"/>
      <w:ind w:left="709" w:hanging="709"/>
    </w:pPr>
    <w:rPr>
      <w:rFonts w:ascii="Arial" w:hAnsi="Arial" w:cs="Arial"/>
      <w:color w:val="auto"/>
      <w:sz w:val="20"/>
      <w:szCs w:val="20"/>
      <w:lang w:val="en-GB"/>
    </w:rPr>
  </w:style>
  <w:style w:type="character" w:customStyle="1" w:styleId="Annotation">
    <w:name w:val="Annotation"/>
    <w:rPr>
      <w:b/>
      <w:bCs/>
      <w:i/>
      <w:iCs/>
      <w:spacing w:val="0"/>
      <w:shd w:val="clear" w:color="auto" w:fill="auto"/>
    </w:rPr>
  </w:style>
  <w:style w:type="character" w:customStyle="1" w:styleId="Mandatorytext">
    <w:name w:val="Mandatory text"/>
    <w:rPr>
      <w:b/>
      <w:bCs/>
      <w:spacing w:val="0"/>
      <w:shd w:val="clear" w:color="auto" w:fill="auto"/>
    </w:rPr>
  </w:style>
  <w:style w:type="paragraph" w:styleId="BalloonText">
    <w:name w:val="Balloon Text"/>
    <w:basedOn w:val="Normal"/>
    <w:link w:val="BalloonTextChar"/>
    <w:pPr>
      <w:widowControl/>
    </w:pPr>
    <w:rPr>
      <w:rFonts w:ascii="Tahoma" w:hAnsi="Tahoma"/>
      <w:sz w:val="16"/>
      <w:szCs w:val="16"/>
      <w:lang w:val="x-none" w:eastAsia="x-none"/>
    </w:rPr>
  </w:style>
  <w:style w:type="paragraph" w:customStyle="1" w:styleId="DeltaViewTableHeading">
    <w:name w:val="DeltaView Table Heading"/>
    <w:basedOn w:val="Normal"/>
    <w:pPr>
      <w:widowControl/>
      <w:spacing w:after="120"/>
    </w:pPr>
    <w:rPr>
      <w:rFonts w:cs="Arial"/>
      <w:b/>
      <w:bCs/>
      <w:sz w:val="24"/>
    </w:rPr>
  </w:style>
  <w:style w:type="paragraph" w:customStyle="1" w:styleId="DeltaViewTableBody">
    <w:name w:val="DeltaView Table Body"/>
    <w:basedOn w:val="Normal"/>
    <w:pPr>
      <w:widowControl/>
    </w:pPr>
    <w:rPr>
      <w:rFonts w:cs="Arial"/>
      <w:sz w:val="24"/>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eastAsia="en-US"/>
    </w:rPr>
  </w:style>
  <w:style w:type="character" w:customStyle="1" w:styleId="DeltaViewMoveSource">
    <w:name w:val="DeltaView Move Source"/>
    <w:rPr>
      <w:strike/>
      <w:color w:val="0000FF"/>
      <w:spacing w:val="0"/>
    </w:rPr>
  </w:style>
  <w:style w:type="character" w:customStyle="1" w:styleId="DeltaViewMoveDestination">
    <w:name w:val="DeltaView Move Destination"/>
    <w:rPr>
      <w:color w:val="0000FF"/>
      <w:spacing w:val="0"/>
      <w:u w:val="double"/>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rPr>
      <w:color w:val="0000FF"/>
      <w:spacing w:val="0"/>
      <w:u w:val="double"/>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paragraph" w:styleId="ListNumber3">
    <w:name w:val="List Number 3"/>
    <w:basedOn w:val="Normal"/>
    <w:pPr>
      <w:widowControl/>
      <w:tabs>
        <w:tab w:val="num" w:pos="926"/>
      </w:tabs>
      <w:ind w:left="926" w:hanging="360"/>
    </w:pPr>
    <w:rPr>
      <w:rFonts w:cs="Arial"/>
      <w:szCs w:val="20"/>
      <w:lang w:val="en-GB"/>
    </w:rPr>
  </w:style>
  <w:style w:type="paragraph" w:styleId="BodyText2">
    <w:name w:val="Body Text 2"/>
    <w:basedOn w:val="Normal"/>
    <w:link w:val="BodyText2Char"/>
    <w:rPr>
      <w:noProof/>
      <w:color w:val="000000"/>
      <w:lang w:eastAsia="x-none"/>
    </w:rPr>
  </w:style>
  <w:style w:type="character" w:customStyle="1" w:styleId="FootnoteTextChar">
    <w:name w:val="Footnote Text Char"/>
    <w:link w:val="FootnoteText"/>
    <w:rPr>
      <w:rFonts w:ascii="Arial" w:hAnsi="Arial"/>
      <w:lang w:val="en-US"/>
    </w:rPr>
  </w:style>
  <w:style w:type="character" w:customStyle="1" w:styleId="BodyTextChar">
    <w:name w:val="Body Text Char"/>
    <w:link w:val="BodyText"/>
    <w:rPr>
      <w:color w:val="000000"/>
      <w:sz w:val="24"/>
      <w:szCs w:val="24"/>
      <w:lang w:val="en-US"/>
    </w:rPr>
  </w:style>
  <w:style w:type="character" w:customStyle="1" w:styleId="Heading1Char">
    <w:name w:val="Heading 1 Char"/>
    <w:link w:val="Heading1"/>
    <w:rPr>
      <w:rFonts w:ascii="Arial" w:hAnsi="Arial"/>
      <w:b/>
      <w:bCs/>
      <w:caps/>
      <w:kern w:val="32"/>
      <w:sz w:val="36"/>
      <w:szCs w:val="32"/>
      <w:u w:color="000000"/>
      <w:lang w:val="en-US" w:eastAsia="x-none"/>
    </w:rPr>
  </w:style>
  <w:style w:type="character" w:customStyle="1" w:styleId="BodyText2Char">
    <w:name w:val="Body Text 2 Char"/>
    <w:link w:val="BodyText2"/>
    <w:rPr>
      <w:rFonts w:ascii="Arial" w:hAnsi="Arial"/>
      <w:noProof/>
      <w:color w:val="000000"/>
      <w:szCs w:val="24"/>
      <w:lang w:val="en-US"/>
    </w:rPr>
  </w:style>
  <w:style w:type="character" w:customStyle="1" w:styleId="Heading2Char">
    <w:name w:val="Heading 2 Char"/>
    <w:link w:val="Heading2"/>
    <w:rPr>
      <w:rFonts w:ascii="Arial" w:hAnsi="Arial"/>
      <w:b/>
      <w:bCs/>
      <w:i/>
      <w:iCs/>
      <w:sz w:val="28"/>
      <w:szCs w:val="28"/>
      <w:lang w:val="en-US" w:eastAsia="x-none"/>
    </w:rPr>
  </w:style>
  <w:style w:type="character" w:customStyle="1" w:styleId="BodyText3Char">
    <w:name w:val="Body Text 3 Char"/>
    <w:link w:val="BodyText3"/>
    <w:rPr>
      <w:rFonts w:ascii="Arial" w:hAnsi="Arial"/>
      <w:sz w:val="16"/>
      <w:szCs w:val="16"/>
      <w:lang w:val="en-US"/>
    </w:rPr>
  </w:style>
  <w:style w:type="character" w:customStyle="1" w:styleId="Heading3Char">
    <w:name w:val="Heading 3 Char"/>
    <w:link w:val="Heading3"/>
    <w:rPr>
      <w:rFonts w:ascii="Arial" w:hAnsi="Arial"/>
      <w:b/>
      <w:bCs/>
      <w:sz w:val="26"/>
      <w:szCs w:val="26"/>
      <w:lang w:val="en-US"/>
    </w:rPr>
  </w:style>
  <w:style w:type="character" w:customStyle="1" w:styleId="Heading4Char">
    <w:name w:val="Heading 4 Char"/>
    <w:link w:val="Heading4"/>
    <w:rPr>
      <w:b/>
      <w:bCs/>
      <w:sz w:val="28"/>
      <w:szCs w:val="28"/>
      <w:lang w:val="en-US"/>
    </w:rPr>
  </w:style>
  <w:style w:type="character" w:customStyle="1" w:styleId="Heading5Char">
    <w:name w:val="Heading 5 Char"/>
    <w:link w:val="Heading5"/>
    <w:rPr>
      <w:rFonts w:ascii="Arial" w:hAnsi="Arial"/>
      <w:b/>
      <w:bCs/>
      <w:i/>
      <w:iCs/>
      <w:sz w:val="26"/>
      <w:szCs w:val="26"/>
      <w:lang w:val="en-US"/>
    </w:rPr>
  </w:style>
  <w:style w:type="character" w:customStyle="1" w:styleId="Heading6Char">
    <w:name w:val="Heading 6 Char"/>
    <w:link w:val="Heading6"/>
    <w:rPr>
      <w:b/>
      <w:bCs/>
      <w:sz w:val="22"/>
      <w:szCs w:val="22"/>
      <w:lang w:val="en-US"/>
    </w:rPr>
  </w:style>
  <w:style w:type="character" w:customStyle="1" w:styleId="Heading7Char">
    <w:name w:val="Heading 7 Char"/>
    <w:link w:val="Heading7"/>
    <w:rPr>
      <w:sz w:val="24"/>
      <w:szCs w:val="24"/>
      <w:lang w:val="en-US" w:eastAsia="x-none"/>
    </w:rPr>
  </w:style>
  <w:style w:type="character" w:customStyle="1" w:styleId="Heading8Char">
    <w:name w:val="Heading 8 Char"/>
    <w:link w:val="Heading8"/>
    <w:rPr>
      <w:i/>
      <w:iCs/>
      <w:sz w:val="24"/>
      <w:szCs w:val="24"/>
      <w:lang w:val="en-US" w:eastAsia="x-none"/>
    </w:rPr>
  </w:style>
  <w:style w:type="character" w:customStyle="1" w:styleId="Heading9Char">
    <w:name w:val="Heading 9 Char"/>
    <w:link w:val="Heading9"/>
    <w:rPr>
      <w:rFonts w:ascii="Arial" w:hAnsi="Arial"/>
      <w:sz w:val="22"/>
      <w:szCs w:val="22"/>
      <w:lang w:val="en-US" w:eastAsia="x-none"/>
    </w:rPr>
  </w:style>
  <w:style w:type="character" w:customStyle="1" w:styleId="BalloonTextChar">
    <w:name w:val="Balloon Text Char"/>
    <w:link w:val="BalloonText"/>
    <w:rPr>
      <w:rFonts w:ascii="Tahoma" w:hAnsi="Tahoma" w:cs="Tahoma"/>
      <w:sz w:val="16"/>
      <w:szCs w:val="16"/>
    </w:rPr>
  </w:style>
  <w:style w:type="paragraph" w:styleId="Caption">
    <w:name w:val="caption"/>
    <w:basedOn w:val="Normal"/>
    <w:next w:val="Normal"/>
    <w:qFormat/>
    <w:pPr>
      <w:widowControl/>
      <w:autoSpaceDE/>
      <w:autoSpaceDN/>
      <w:adjustRightInd/>
      <w:spacing w:before="120" w:after="120" w:line="276" w:lineRule="auto"/>
    </w:pPr>
    <w:rPr>
      <w:b/>
      <w:szCs w:val="20"/>
      <w:lang w:val="en-GB"/>
    </w:rPr>
  </w:style>
  <w:style w:type="character" w:customStyle="1" w:styleId="CommentTextChar">
    <w:name w:val="Comment Text Char"/>
    <w:link w:val="CommentText"/>
    <w:semiHidden/>
    <w:rPr>
      <w:rFonts w:ascii="Arial" w:hAnsi="Arial"/>
    </w:rPr>
  </w:style>
  <w:style w:type="paragraph" w:styleId="CommentText">
    <w:name w:val="annotation text"/>
    <w:basedOn w:val="Normal"/>
    <w:link w:val="CommentTextChar"/>
    <w:semiHidden/>
    <w:pPr>
      <w:widowControl/>
      <w:autoSpaceDE/>
      <w:autoSpaceDN/>
      <w:adjustRightInd/>
      <w:spacing w:line="276" w:lineRule="auto"/>
    </w:pPr>
    <w:rPr>
      <w:szCs w:val="20"/>
      <w:lang w:val="x-none" w:eastAsia="x-none"/>
    </w:rPr>
  </w:style>
  <w:style w:type="character" w:customStyle="1" w:styleId="CommentTextChar1">
    <w:name w:val="Comment Text Char1"/>
    <w:uiPriority w:val="99"/>
    <w:semiHidden/>
    <w:rPr>
      <w:rFonts w:ascii="Arial" w:hAnsi="Arial"/>
      <w:sz w:val="24"/>
      <w:szCs w:val="24"/>
      <w:lang w:val="en-US"/>
    </w:rPr>
  </w:style>
  <w:style w:type="character" w:customStyle="1" w:styleId="DateChar">
    <w:name w:val="Date Char"/>
    <w:link w:val="Date"/>
    <w:rPr>
      <w:noProof/>
      <w:sz w:val="22"/>
      <w:szCs w:val="24"/>
      <w:lang w:val="en-US"/>
    </w:rPr>
  </w:style>
  <w:style w:type="character" w:customStyle="1" w:styleId="DocumentMapChar">
    <w:name w:val="Document Map Char"/>
    <w:link w:val="DocumentMap"/>
    <w:rPr>
      <w:rFonts w:ascii="Tahoma" w:hAnsi="Tahoma" w:cs="Tahoma"/>
      <w:szCs w:val="24"/>
      <w:shd w:val="clear" w:color="auto" w:fill="000080"/>
      <w:lang w:val="en-US"/>
    </w:rPr>
  </w:style>
  <w:style w:type="character" w:customStyle="1" w:styleId="EndnoteTextChar">
    <w:name w:val="Endnote Text Char"/>
    <w:link w:val="EndnoteText"/>
    <w:semiHidden/>
    <w:rPr>
      <w:rFonts w:ascii="Arial" w:hAnsi="Arial"/>
      <w:sz w:val="18"/>
    </w:rPr>
  </w:style>
  <w:style w:type="paragraph" w:styleId="EndnoteText">
    <w:name w:val="endnote text"/>
    <w:basedOn w:val="Normal"/>
    <w:link w:val="EndnoteTextChar"/>
    <w:semiHidden/>
    <w:pPr>
      <w:widowControl/>
      <w:tabs>
        <w:tab w:val="left" w:pos="720"/>
      </w:tabs>
      <w:autoSpaceDE/>
      <w:autoSpaceDN/>
      <w:adjustRightInd/>
      <w:spacing w:line="276" w:lineRule="auto"/>
    </w:pPr>
    <w:rPr>
      <w:sz w:val="18"/>
      <w:szCs w:val="20"/>
      <w:lang w:val="x-none" w:eastAsia="x-none"/>
    </w:rPr>
  </w:style>
  <w:style w:type="character" w:customStyle="1" w:styleId="EndnoteTextChar1">
    <w:name w:val="Endnote Text Char1"/>
    <w:uiPriority w:val="99"/>
    <w:semiHidden/>
    <w:rPr>
      <w:rFonts w:ascii="Arial" w:hAnsi="Arial"/>
      <w:sz w:val="24"/>
      <w:szCs w:val="24"/>
      <w:lang w:val="en-US"/>
    </w:rPr>
  </w:style>
  <w:style w:type="paragraph" w:styleId="EnvelopeAddress">
    <w:name w:val="envelope address"/>
    <w:basedOn w:val="Normal"/>
    <w:pPr>
      <w:framePr w:w="7920" w:h="1980" w:hRule="exact" w:hSpace="180" w:wrap="auto" w:hAnchor="page" w:xAlign="center" w:yAlign="bottom"/>
      <w:widowControl/>
      <w:autoSpaceDE/>
      <w:autoSpaceDN/>
      <w:adjustRightInd/>
      <w:spacing w:line="276" w:lineRule="auto"/>
      <w:ind w:left="2880"/>
    </w:pPr>
    <w:rPr>
      <w:sz w:val="24"/>
      <w:szCs w:val="20"/>
      <w:lang w:val="en-GB"/>
    </w:rPr>
  </w:style>
  <w:style w:type="paragraph" w:styleId="EnvelopeReturn">
    <w:name w:val="envelope return"/>
    <w:basedOn w:val="Normal"/>
    <w:pPr>
      <w:widowControl/>
      <w:autoSpaceDE/>
      <w:autoSpaceDN/>
      <w:adjustRightInd/>
      <w:spacing w:line="276" w:lineRule="auto"/>
    </w:pPr>
    <w:rPr>
      <w:szCs w:val="20"/>
      <w:lang w:val="en-GB"/>
    </w:rPr>
  </w:style>
  <w:style w:type="character" w:customStyle="1" w:styleId="FooterChar">
    <w:name w:val="Footer Char"/>
    <w:link w:val="Footer"/>
    <w:rPr>
      <w:rFonts w:ascii="Arial" w:hAnsi="Arial"/>
      <w:szCs w:val="24"/>
      <w:lang w:val="en-US"/>
    </w:rPr>
  </w:style>
  <w:style w:type="character" w:customStyle="1" w:styleId="HeaderChar">
    <w:name w:val="Header Char"/>
    <w:link w:val="Header"/>
    <w:rPr>
      <w:rFonts w:ascii="Arial" w:hAnsi="Arial"/>
      <w:szCs w:val="24"/>
      <w:lang w:val="en-US"/>
    </w:rPr>
  </w:style>
  <w:style w:type="character" w:styleId="LineNumber">
    <w:name w:val="line number"/>
    <w:basedOn w:val="DefaultParagraphFont"/>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character" w:customStyle="1" w:styleId="MacroTextChar">
    <w:name w:val="Macro Text Char"/>
    <w:link w:val="MacroText"/>
    <w:semiHidden/>
    <w:rPr>
      <w:rFonts w:ascii="Courier New" w:hAnsi="Courier New"/>
      <w:lang w:val="en-GB" w:eastAsia="en-US" w:bidi="ar-SA"/>
    </w:rPr>
  </w:style>
  <w:style w:type="paragraph" w:styleId="MessageHeader">
    <w:name w:val="Message Header"/>
    <w:basedOn w:val="Normal"/>
    <w:link w:val="MessageHeaderChar"/>
    <w:pPr>
      <w:widowControl/>
      <w:pBdr>
        <w:top w:val="single" w:sz="6" w:space="1" w:color="auto"/>
        <w:left w:val="single" w:sz="6" w:space="1" w:color="auto"/>
        <w:bottom w:val="single" w:sz="6" w:space="1" w:color="auto"/>
        <w:right w:val="single" w:sz="6" w:space="1" w:color="auto"/>
      </w:pBdr>
      <w:shd w:val="pct20" w:color="auto" w:fill="auto"/>
      <w:autoSpaceDE/>
      <w:autoSpaceDN/>
      <w:adjustRightInd/>
      <w:spacing w:line="276" w:lineRule="auto"/>
      <w:ind w:left="1134" w:hanging="1134"/>
    </w:pPr>
    <w:rPr>
      <w:sz w:val="24"/>
      <w:szCs w:val="20"/>
      <w:lang w:val="x-none" w:eastAsia="x-none"/>
    </w:rPr>
  </w:style>
  <w:style w:type="character" w:customStyle="1" w:styleId="MessageHeaderChar">
    <w:name w:val="Message Header Char"/>
    <w:link w:val="MessageHeader"/>
    <w:rPr>
      <w:rFonts w:ascii="Arial" w:hAnsi="Arial"/>
      <w:sz w:val="24"/>
      <w:shd w:val="pct20" w:color="auto" w:fill="auto"/>
    </w:rPr>
  </w:style>
  <w:style w:type="paragraph" w:styleId="PlainText">
    <w:name w:val="Plain Text"/>
    <w:basedOn w:val="Normal"/>
    <w:link w:val="PlainTextChar"/>
    <w:pPr>
      <w:widowControl/>
      <w:autoSpaceDE/>
      <w:autoSpaceDN/>
      <w:adjustRightInd/>
      <w:spacing w:line="276" w:lineRule="auto"/>
    </w:pPr>
    <w:rPr>
      <w:rFonts w:ascii="Courier New" w:hAnsi="Courier New"/>
      <w:szCs w:val="20"/>
      <w:lang w:val="x-none" w:eastAsia="x-none"/>
    </w:rPr>
  </w:style>
  <w:style w:type="character" w:customStyle="1" w:styleId="PlainTextChar">
    <w:name w:val="Plain Text Char"/>
    <w:link w:val="PlainText"/>
    <w:rPr>
      <w:rFonts w:ascii="Courier New" w:hAnsi="Courier New"/>
    </w:rPr>
  </w:style>
  <w:style w:type="character" w:styleId="Strong">
    <w:name w:val="Strong"/>
    <w:qFormat/>
    <w:rPr>
      <w:b/>
    </w:rPr>
  </w:style>
  <w:style w:type="paragraph" w:styleId="Subtitle">
    <w:name w:val="Subtitle"/>
    <w:basedOn w:val="Normal"/>
    <w:link w:val="SubtitleChar"/>
    <w:qFormat/>
    <w:pPr>
      <w:widowControl/>
      <w:autoSpaceDE/>
      <w:autoSpaceDN/>
      <w:adjustRightInd/>
      <w:spacing w:after="60" w:line="276" w:lineRule="auto"/>
      <w:jc w:val="center"/>
      <w:outlineLvl w:val="1"/>
    </w:pPr>
    <w:rPr>
      <w:sz w:val="24"/>
      <w:szCs w:val="20"/>
      <w:lang w:val="x-none" w:eastAsia="x-none"/>
    </w:rPr>
  </w:style>
  <w:style w:type="character" w:customStyle="1" w:styleId="SubtitleChar">
    <w:name w:val="Subtitle Char"/>
    <w:link w:val="Subtitle"/>
    <w:rPr>
      <w:rFonts w:ascii="Arial" w:hAnsi="Arial"/>
      <w:sz w:val="24"/>
    </w:rPr>
  </w:style>
  <w:style w:type="paragraph" w:styleId="Title">
    <w:name w:val="Title"/>
    <w:basedOn w:val="Normal"/>
    <w:link w:val="TitleChar"/>
    <w:qFormat/>
    <w:pPr>
      <w:widowControl/>
      <w:autoSpaceDE/>
      <w:autoSpaceDN/>
      <w:adjustRightInd/>
      <w:spacing w:before="240" w:after="60" w:line="276" w:lineRule="auto"/>
      <w:jc w:val="center"/>
      <w:outlineLvl w:val="0"/>
    </w:pPr>
    <w:rPr>
      <w:b/>
      <w:kern w:val="28"/>
      <w:sz w:val="32"/>
      <w:szCs w:val="20"/>
      <w:lang w:val="x-none" w:eastAsia="x-none"/>
    </w:rPr>
  </w:style>
  <w:style w:type="character" w:customStyle="1" w:styleId="TitleChar">
    <w:name w:val="Title Char"/>
    <w:link w:val="Title"/>
    <w:rPr>
      <w:rFonts w:ascii="Arial" w:hAnsi="Arial"/>
      <w:b/>
      <w:kern w:val="28"/>
      <w:sz w:val="32"/>
    </w:rPr>
  </w:style>
  <w:style w:type="paragraph" w:customStyle="1" w:styleId="Level2">
    <w:name w:val="Level 2"/>
    <w:basedOn w:val="Normal"/>
    <w:pPr>
      <w:widowControl/>
      <w:tabs>
        <w:tab w:val="num" w:pos="720"/>
        <w:tab w:val="left" w:pos="1440"/>
      </w:tabs>
      <w:autoSpaceDE/>
      <w:autoSpaceDN/>
      <w:adjustRightInd/>
      <w:spacing w:after="220" w:line="276" w:lineRule="auto"/>
      <w:ind w:left="720" w:hanging="720"/>
      <w:outlineLvl w:val="1"/>
    </w:pPr>
    <w:rPr>
      <w:szCs w:val="20"/>
      <w:lang w:val="en-GB"/>
    </w:rPr>
  </w:style>
  <w:style w:type="paragraph" w:customStyle="1" w:styleId="Level3">
    <w:name w:val="Level 3"/>
    <w:basedOn w:val="Normal"/>
    <w:pPr>
      <w:widowControl/>
      <w:tabs>
        <w:tab w:val="num" w:pos="1440"/>
      </w:tabs>
      <w:autoSpaceDE/>
      <w:autoSpaceDN/>
      <w:adjustRightInd/>
      <w:spacing w:after="220" w:line="276" w:lineRule="auto"/>
      <w:ind w:left="1440" w:hanging="720"/>
      <w:outlineLvl w:val="2"/>
    </w:pPr>
    <w:rPr>
      <w:szCs w:val="20"/>
      <w:lang w:val="en-GB"/>
    </w:rPr>
  </w:style>
  <w:style w:type="paragraph" w:customStyle="1" w:styleId="Level4">
    <w:name w:val="Level 4"/>
    <w:basedOn w:val="Normal"/>
    <w:pPr>
      <w:widowControl/>
      <w:tabs>
        <w:tab w:val="num" w:pos="2347"/>
      </w:tabs>
      <w:autoSpaceDE/>
      <w:autoSpaceDN/>
      <w:adjustRightInd/>
      <w:spacing w:after="220" w:line="276" w:lineRule="auto"/>
      <w:ind w:left="2347" w:hanging="907"/>
      <w:outlineLvl w:val="3"/>
    </w:pPr>
    <w:rPr>
      <w:szCs w:val="20"/>
      <w:lang w:val="en-GB"/>
    </w:rPr>
  </w:style>
  <w:style w:type="character" w:customStyle="1" w:styleId="BodyTextIndent2Char">
    <w:name w:val="Body Text Indent 2 Char"/>
    <w:link w:val="BodyTextIndent2"/>
    <w:rPr>
      <w:rFonts w:ascii="Arial" w:hAnsi="Arial"/>
    </w:rPr>
  </w:style>
  <w:style w:type="paragraph" w:customStyle="1" w:styleId="Definition">
    <w:name w:val="Definition"/>
    <w:basedOn w:val="BodyText"/>
    <w:pPr>
      <w:numPr>
        <w:numId w:val="14"/>
      </w:numPr>
      <w:tabs>
        <w:tab w:val="clear" w:pos="900"/>
      </w:tabs>
      <w:autoSpaceDE/>
      <w:autoSpaceDN/>
      <w:adjustRightInd/>
      <w:spacing w:after="240" w:line="276" w:lineRule="auto"/>
    </w:pPr>
    <w:rPr>
      <w:rFonts w:ascii="Arial" w:hAnsi="Arial"/>
      <w:color w:val="auto"/>
      <w:sz w:val="20"/>
      <w:szCs w:val="20"/>
      <w:lang w:val="en-GB"/>
    </w:rPr>
  </w:style>
  <w:style w:type="paragraph" w:customStyle="1" w:styleId="Definitiona">
    <w:name w:val="Definition (a)"/>
    <w:basedOn w:val="BodyText"/>
    <w:pPr>
      <w:numPr>
        <w:ilvl w:val="1"/>
        <w:numId w:val="14"/>
      </w:numPr>
      <w:tabs>
        <w:tab w:val="clear" w:pos="900"/>
      </w:tabs>
      <w:autoSpaceDE/>
      <w:autoSpaceDN/>
      <w:adjustRightInd/>
      <w:spacing w:after="240" w:line="276" w:lineRule="auto"/>
    </w:pPr>
    <w:rPr>
      <w:rFonts w:ascii="Arial" w:hAnsi="Arial"/>
      <w:color w:val="auto"/>
      <w:sz w:val="20"/>
      <w:szCs w:val="20"/>
      <w:lang w:val="en-GB"/>
    </w:rPr>
  </w:style>
  <w:style w:type="paragraph" w:customStyle="1" w:styleId="Definitioni">
    <w:name w:val="Definition (i)"/>
    <w:basedOn w:val="BodyText"/>
    <w:pPr>
      <w:numPr>
        <w:ilvl w:val="2"/>
        <w:numId w:val="14"/>
      </w:numPr>
      <w:tabs>
        <w:tab w:val="clear" w:pos="900"/>
      </w:tabs>
      <w:autoSpaceDE/>
      <w:autoSpaceDN/>
      <w:adjustRightInd/>
      <w:spacing w:after="240" w:line="276" w:lineRule="auto"/>
    </w:pPr>
    <w:rPr>
      <w:rFonts w:ascii="Arial" w:hAnsi="Arial"/>
      <w:color w:val="auto"/>
      <w:sz w:val="20"/>
      <w:szCs w:val="20"/>
      <w:lang w:val="en-GB"/>
    </w:rPr>
  </w:style>
  <w:style w:type="paragraph" w:customStyle="1" w:styleId="Firm">
    <w:name w:val="Firm"/>
    <w:basedOn w:val="Normal"/>
    <w:pPr>
      <w:widowControl/>
      <w:autoSpaceDE/>
      <w:autoSpaceDN/>
      <w:adjustRightInd/>
      <w:spacing w:line="276" w:lineRule="auto"/>
    </w:pPr>
    <w:rPr>
      <w:sz w:val="14"/>
      <w:szCs w:val="20"/>
      <w:lang w:val="en-GB"/>
    </w:rPr>
  </w:style>
  <w:style w:type="paragraph" w:styleId="NormalWeb">
    <w:name w:val="Normal (Web)"/>
    <w:basedOn w:val="Normal"/>
    <w:uiPriority w:val="99"/>
    <w:pPr>
      <w:widowControl/>
      <w:autoSpaceDE/>
      <w:autoSpaceDN/>
      <w:adjustRightInd/>
      <w:spacing w:beforeLines="1" w:afterLines="1"/>
    </w:pPr>
    <w:rPr>
      <w:rFonts w:ascii="Times" w:eastAsia="Cambria" w:hAnsi="Times"/>
      <w:szCs w:val="20"/>
      <w:lang w:val="en-GB"/>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widowControl w:val="0"/>
      <w:autoSpaceDE w:val="0"/>
      <w:autoSpaceDN w:val="0"/>
      <w:adjustRightInd w:val="0"/>
      <w:spacing w:line="240" w:lineRule="auto"/>
    </w:pPr>
    <w:rPr>
      <w:b/>
      <w:bCs/>
      <w:lang w:val="en-US" w:eastAsia="en-US"/>
    </w:rPr>
  </w:style>
  <w:style w:type="character" w:customStyle="1" w:styleId="CommentSubjectChar">
    <w:name w:val="Comment Subject Char"/>
    <w:link w:val="CommentSubject"/>
    <w:uiPriority w:val="99"/>
    <w:semiHidden/>
    <w:rPr>
      <w:rFonts w:ascii="Arial" w:hAnsi="Arial"/>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semiHidden="0" w:uiPriority="0" w:unhideWhenUsed="0" w:qFormat="1"/>
    <w:lsdException w:name="table of figures" w:uiPriority="0"/>
    <w:lsdException w:name="envelope address" w:uiPriority="0"/>
    <w:lsdException w:name="envelope return" w:uiPriority="0"/>
    <w:lsdException w:name="footnote reference" w:uiPriority="0"/>
    <w:lsdException w:name="line number" w:uiPriority="0"/>
    <w:lsdException w:name="page number" w:uiPriority="0"/>
    <w:lsdException w:name="endnote text" w:uiPriority="0"/>
    <w:lsdException w:name="macro" w:uiPriority="0"/>
    <w:lsdException w:name="List Number 3" w:uiPriority="0"/>
    <w:lsdException w:name="Title" w:semiHidden="0" w:uiPriority="0" w:unhideWhenUsed="0" w:qFormat="1"/>
    <w:lsdException w:name="Default Paragraph Font" w:uiPriority="0"/>
    <w:lsdException w:name="Body Text" w:uiPriority="0"/>
    <w:lsdException w:name="Body Text Indent" w:uiPriority="0"/>
    <w:lsdException w:name="Message Header"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 List"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autoSpaceDE w:val="0"/>
      <w:autoSpaceDN w:val="0"/>
      <w:adjustRightInd w:val="0"/>
    </w:pPr>
    <w:rPr>
      <w:rFonts w:ascii="Arial" w:hAnsi="Arial"/>
      <w:szCs w:val="24"/>
      <w:lang w:val="en-US" w:eastAsia="en-US"/>
    </w:rPr>
  </w:style>
  <w:style w:type="paragraph" w:styleId="Heading1">
    <w:name w:val="heading 1"/>
    <w:basedOn w:val="Normal"/>
    <w:next w:val="Normal"/>
    <w:link w:val="Heading1Char"/>
    <w:qFormat/>
    <w:pPr>
      <w:keepNext/>
      <w:widowControl/>
      <w:numPr>
        <w:numId w:val="9"/>
      </w:numPr>
      <w:autoSpaceDE/>
      <w:autoSpaceDN/>
      <w:adjustRightInd/>
      <w:spacing w:before="240" w:after="360"/>
      <w:outlineLvl w:val="0"/>
    </w:pPr>
    <w:rPr>
      <w:b/>
      <w:bCs/>
      <w:caps/>
      <w:kern w:val="32"/>
      <w:sz w:val="36"/>
      <w:szCs w:val="32"/>
      <w:u w:color="000000"/>
      <w:lang w:eastAsia="x-none"/>
    </w:rPr>
  </w:style>
  <w:style w:type="paragraph" w:styleId="Heading2">
    <w:name w:val="heading 2"/>
    <w:basedOn w:val="Normal"/>
    <w:next w:val="Normal"/>
    <w:link w:val="Heading2Char"/>
    <w:qFormat/>
    <w:pPr>
      <w:keepNext/>
      <w:numPr>
        <w:numId w:val="7"/>
      </w:numPr>
      <w:spacing w:before="240" w:after="60"/>
      <w:outlineLvl w:val="1"/>
    </w:pPr>
    <w:rPr>
      <w:b/>
      <w:bCs/>
      <w:i/>
      <w:iCs/>
      <w:sz w:val="28"/>
      <w:szCs w:val="28"/>
      <w:lang w:eastAsia="x-none"/>
    </w:rPr>
  </w:style>
  <w:style w:type="paragraph" w:styleId="Heading3">
    <w:name w:val="heading 3"/>
    <w:basedOn w:val="Normal"/>
    <w:next w:val="Normal"/>
    <w:link w:val="Heading3Char"/>
    <w:qFormat/>
    <w:pPr>
      <w:keepNext/>
      <w:spacing w:before="240" w:after="60"/>
      <w:outlineLvl w:val="2"/>
    </w:pPr>
    <w:rPr>
      <w:b/>
      <w:bCs/>
      <w:sz w:val="26"/>
      <w:szCs w:val="26"/>
      <w:lang w:eastAsia="x-none"/>
    </w:rPr>
  </w:style>
  <w:style w:type="paragraph" w:styleId="Heading4">
    <w:name w:val="heading 4"/>
    <w:basedOn w:val="Normal"/>
    <w:next w:val="Normal"/>
    <w:link w:val="Heading4Char"/>
    <w:qFormat/>
    <w:pPr>
      <w:keepNext/>
      <w:spacing w:before="240" w:after="60"/>
      <w:outlineLvl w:val="3"/>
    </w:pPr>
    <w:rPr>
      <w:rFonts w:ascii="Times New Roman" w:hAnsi="Times New Roman"/>
      <w:b/>
      <w:bCs/>
      <w:sz w:val="28"/>
      <w:szCs w:val="28"/>
      <w:lang w:eastAsia="x-none"/>
    </w:rPr>
  </w:style>
  <w:style w:type="paragraph" w:styleId="Heading5">
    <w:name w:val="heading 5"/>
    <w:basedOn w:val="Normal"/>
    <w:next w:val="Normal"/>
    <w:link w:val="Heading5Char"/>
    <w:qFormat/>
    <w:pPr>
      <w:spacing w:before="240" w:after="60"/>
      <w:outlineLvl w:val="4"/>
    </w:pPr>
    <w:rPr>
      <w:b/>
      <w:bCs/>
      <w:i/>
      <w:iCs/>
      <w:sz w:val="26"/>
      <w:szCs w:val="26"/>
      <w:lang w:eastAsia="x-none"/>
    </w:rPr>
  </w:style>
  <w:style w:type="paragraph" w:styleId="Heading6">
    <w:name w:val="heading 6"/>
    <w:basedOn w:val="Normal"/>
    <w:next w:val="Normal"/>
    <w:link w:val="Heading6Char"/>
    <w:qFormat/>
    <w:pPr>
      <w:spacing w:before="240" w:after="60"/>
      <w:outlineLvl w:val="5"/>
    </w:pPr>
    <w:rPr>
      <w:rFonts w:ascii="Times New Roman" w:hAnsi="Times New Roman"/>
      <w:b/>
      <w:bCs/>
      <w:sz w:val="22"/>
      <w:szCs w:val="22"/>
      <w:lang w:eastAsia="x-none"/>
    </w:rPr>
  </w:style>
  <w:style w:type="paragraph" w:styleId="Heading7">
    <w:name w:val="heading 7"/>
    <w:basedOn w:val="Normal"/>
    <w:next w:val="Normal"/>
    <w:link w:val="Heading7Char"/>
    <w:qFormat/>
    <w:pPr>
      <w:numPr>
        <w:ilvl w:val="6"/>
        <w:numId w:val="1"/>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qFormat/>
    <w:pPr>
      <w:numPr>
        <w:ilvl w:val="7"/>
        <w:numId w:val="1"/>
      </w:numPr>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qFormat/>
    <w:pPr>
      <w:numPr>
        <w:ilvl w:val="8"/>
        <w:numId w:val="1"/>
      </w:numPr>
      <w:spacing w:before="240" w:after="60"/>
      <w:outlineLvl w:val="8"/>
    </w:pPr>
    <w:rPr>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tabs>
        <w:tab w:val="left" w:pos="0"/>
        <w:tab w:val="left" w:pos="567"/>
        <w:tab w:val="left" w:pos="1134"/>
      </w:tabs>
      <w:jc w:val="both"/>
    </w:pPr>
  </w:style>
  <w:style w:type="paragraph" w:customStyle="1" w:styleId="Body-1">
    <w:name w:val="Body-1"/>
    <w:basedOn w:val="Normal"/>
    <w:pPr>
      <w:tabs>
        <w:tab w:val="left" w:pos="981"/>
        <w:tab w:val="left" w:pos="1020"/>
      </w:tabs>
      <w:ind w:left="720"/>
    </w:pPr>
    <w:rPr>
      <w:rFonts w:ascii="Times New Roman" w:hAnsi="Times New Roman"/>
      <w:sz w:val="22"/>
    </w:rPr>
  </w:style>
  <w:style w:type="paragraph" w:customStyle="1" w:styleId="Body-2">
    <w:name w:val="Body-2"/>
    <w:basedOn w:val="Normal"/>
    <w:pPr>
      <w:tabs>
        <w:tab w:val="left" w:pos="981"/>
      </w:tabs>
      <w:spacing w:before="120" w:after="120"/>
      <w:ind w:left="720"/>
    </w:pPr>
    <w:rPr>
      <w:rFonts w:ascii="Times New Roman" w:hAnsi="Times New Roman"/>
      <w:sz w:val="22"/>
    </w:rPr>
  </w:style>
  <w:style w:type="paragraph" w:customStyle="1" w:styleId="Body-3">
    <w:name w:val="Body-3"/>
    <w:basedOn w:val="Normal"/>
    <w:pPr>
      <w:tabs>
        <w:tab w:val="left" w:pos="981"/>
      </w:tabs>
      <w:ind w:left="1020"/>
    </w:pPr>
    <w:rPr>
      <w:rFonts w:ascii="Times New Roman" w:hAnsi="Times New Roman"/>
      <w:sz w:val="22"/>
    </w:rPr>
  </w:style>
  <w:style w:type="paragraph" w:customStyle="1" w:styleId="Body-4">
    <w:name w:val="Body-4"/>
    <w:basedOn w:val="Normal"/>
    <w:pPr>
      <w:tabs>
        <w:tab w:val="left" w:pos="339"/>
        <w:tab w:val="left" w:pos="981"/>
      </w:tabs>
      <w:spacing w:before="120" w:after="120"/>
      <w:ind w:left="720"/>
    </w:pPr>
    <w:rPr>
      <w:rFonts w:ascii="Times New Roman" w:hAnsi="Times New Roman"/>
      <w:noProof/>
      <w:sz w:val="22"/>
    </w:rPr>
  </w:style>
  <w:style w:type="paragraph" w:customStyle="1" w:styleId="Body-5">
    <w:name w:val="Body-5"/>
    <w:basedOn w:val="Normal"/>
    <w:pPr>
      <w:tabs>
        <w:tab w:val="left" w:pos="342"/>
        <w:tab w:val="left" w:pos="981"/>
      </w:tabs>
      <w:spacing w:before="120" w:after="120"/>
      <w:ind w:left="1440"/>
    </w:pPr>
    <w:rPr>
      <w:rFonts w:ascii="Times New Roman" w:hAnsi="Times New Roman"/>
      <w:sz w:val="22"/>
    </w:rPr>
  </w:style>
  <w:style w:type="paragraph" w:styleId="Footer">
    <w:name w:val="footer"/>
    <w:basedOn w:val="Normal"/>
    <w:link w:val="FooterChar"/>
    <w:pPr>
      <w:tabs>
        <w:tab w:val="center" w:pos="2837"/>
        <w:tab w:val="right" w:pos="5103"/>
        <w:tab w:val="right" w:pos="6804"/>
      </w:tabs>
    </w:pPr>
    <w:rPr>
      <w:lang w:eastAsia="x-none"/>
    </w:rPr>
  </w:style>
  <w:style w:type="paragraph" w:styleId="Header">
    <w:name w:val="header"/>
    <w:basedOn w:val="Normal"/>
    <w:link w:val="HeaderChar"/>
    <w:pPr>
      <w:jc w:val="right"/>
    </w:pPr>
    <w:rPr>
      <w:lang w:eastAsia="x-none"/>
    </w:rPr>
  </w:style>
  <w:style w:type="paragraph" w:customStyle="1" w:styleId="Level-1">
    <w:name w:val="Level-1"/>
    <w:basedOn w:val="Normal"/>
    <w:autoRedefine/>
    <w:pPr>
      <w:keepNext/>
      <w:numPr>
        <w:numId w:val="10"/>
      </w:numPr>
      <w:tabs>
        <w:tab w:val="left" w:pos="720"/>
      </w:tabs>
      <w:spacing w:before="120" w:after="120"/>
    </w:pPr>
    <w:rPr>
      <w:rFonts w:ascii="Times New Roman" w:hAnsi="Times New Roman"/>
      <w:b/>
      <w:noProof/>
      <w:sz w:val="22"/>
      <w:lang w:val="en-GB"/>
    </w:rPr>
  </w:style>
  <w:style w:type="paragraph" w:customStyle="1" w:styleId="Level-2">
    <w:name w:val="Level-2"/>
    <w:basedOn w:val="Normal"/>
    <w:autoRedefine/>
    <w:pPr>
      <w:keepNext/>
      <w:numPr>
        <w:ilvl w:val="1"/>
        <w:numId w:val="10"/>
      </w:numPr>
      <w:spacing w:before="120" w:after="120" w:line="300" w:lineRule="atLeast"/>
    </w:pPr>
    <w:rPr>
      <w:rFonts w:ascii="Times New Roman" w:hAnsi="Times New Roman" w:cs="Arial"/>
      <w:b/>
      <w:bCs/>
      <w:noProof/>
      <w:sz w:val="22"/>
    </w:rPr>
  </w:style>
  <w:style w:type="paragraph" w:customStyle="1" w:styleId="Level-3">
    <w:name w:val="Level-3"/>
    <w:basedOn w:val="Normal"/>
    <w:pPr>
      <w:numPr>
        <w:ilvl w:val="2"/>
        <w:numId w:val="10"/>
      </w:numPr>
      <w:tabs>
        <w:tab w:val="left" w:pos="720"/>
      </w:tabs>
      <w:spacing w:before="120" w:after="120"/>
    </w:pPr>
    <w:rPr>
      <w:rFonts w:ascii="Times New Roman" w:hAnsi="Times New Roman"/>
      <w:sz w:val="22"/>
    </w:rPr>
  </w:style>
  <w:style w:type="paragraph" w:customStyle="1" w:styleId="Level-4">
    <w:name w:val="Level-4"/>
    <w:basedOn w:val="Normal"/>
    <w:pPr>
      <w:tabs>
        <w:tab w:val="left" w:pos="260"/>
        <w:tab w:val="left" w:pos="981"/>
      </w:tabs>
      <w:ind w:left="260" w:hanging="1441"/>
    </w:pPr>
  </w:style>
  <w:style w:type="paragraph" w:customStyle="1" w:styleId="Level-4a">
    <w:name w:val="Level-4a"/>
    <w:basedOn w:val="Normal"/>
    <w:pPr>
      <w:numPr>
        <w:ilvl w:val="3"/>
        <w:numId w:val="10"/>
      </w:numPr>
      <w:tabs>
        <w:tab w:val="left" w:pos="720"/>
      </w:tabs>
      <w:spacing w:before="120" w:after="120"/>
    </w:pPr>
    <w:rPr>
      <w:rFonts w:ascii="Times New Roman" w:eastAsia="MS Mincho" w:hAnsi="Times New Roman" w:cs="Arial"/>
      <w:sz w:val="22"/>
      <w:szCs w:val="20"/>
    </w:rPr>
  </w:style>
  <w:style w:type="paragraph" w:customStyle="1" w:styleId="Level-4ax">
    <w:name w:val="Level-4ax"/>
    <w:basedOn w:val="Normal"/>
    <w:pPr>
      <w:tabs>
        <w:tab w:val="left" w:pos="260"/>
      </w:tabs>
      <w:ind w:left="260" w:hanging="721"/>
    </w:pPr>
  </w:style>
  <w:style w:type="paragraph" w:customStyle="1" w:styleId="Level-4r">
    <w:name w:val="Level-4r"/>
    <w:basedOn w:val="Normal"/>
    <w:pPr>
      <w:tabs>
        <w:tab w:val="left" w:pos="1020"/>
      </w:tabs>
      <w:ind w:left="339" w:hanging="681"/>
    </w:pPr>
  </w:style>
  <w:style w:type="paragraph" w:customStyle="1" w:styleId="Level-5a">
    <w:name w:val="Level-5a"/>
    <w:basedOn w:val="Normal"/>
    <w:pPr>
      <w:tabs>
        <w:tab w:val="left" w:pos="285"/>
      </w:tabs>
      <w:ind w:left="285" w:hanging="567"/>
    </w:pPr>
  </w:style>
  <w:style w:type="paragraph" w:customStyle="1" w:styleId="Level-5n">
    <w:name w:val="Level-5n"/>
    <w:basedOn w:val="Normal"/>
    <w:pPr>
      <w:ind w:left="285" w:hanging="567"/>
    </w:pPr>
  </w:style>
  <w:style w:type="paragraph" w:customStyle="1" w:styleId="Level-5r">
    <w:name w:val="Level-5r"/>
    <w:basedOn w:val="Normal"/>
    <w:autoRedefine/>
    <w:pPr>
      <w:numPr>
        <w:ilvl w:val="5"/>
        <w:numId w:val="10"/>
      </w:numPr>
      <w:spacing w:before="120" w:after="120"/>
    </w:pPr>
    <w:rPr>
      <w:rFonts w:ascii="Times New Roman" w:eastAsia="MS Mincho" w:hAnsi="Times New Roman"/>
      <w:noProof/>
      <w:w w:val="0"/>
      <w:sz w:val="22"/>
      <w:lang w:val="en-GB"/>
    </w:rPr>
  </w:style>
  <w:style w:type="paragraph" w:customStyle="1" w:styleId="Level-6n">
    <w:name w:val="Level-6n"/>
    <w:basedOn w:val="Normal"/>
    <w:pPr>
      <w:numPr>
        <w:ilvl w:val="6"/>
        <w:numId w:val="10"/>
      </w:numPr>
      <w:tabs>
        <w:tab w:val="left" w:pos="720"/>
      </w:tabs>
      <w:spacing w:before="120" w:after="120"/>
    </w:pPr>
    <w:rPr>
      <w:rFonts w:ascii="Times New Roman" w:hAnsi="Times New Roman"/>
      <w:sz w:val="22"/>
    </w:rPr>
  </w:style>
  <w:style w:type="paragraph" w:customStyle="1" w:styleId="PageTab">
    <w:name w:val="PageTab"/>
    <w:basedOn w:val="Normal"/>
    <w:pPr>
      <w:tabs>
        <w:tab w:val="left" w:pos="0"/>
        <w:tab w:val="left" w:pos="567"/>
        <w:tab w:val="left" w:pos="1134"/>
      </w:tabs>
      <w:jc w:val="both"/>
    </w:pPr>
  </w:style>
  <w:style w:type="paragraph" w:customStyle="1" w:styleId="PageTabSpacer">
    <w:name w:val="PageTabSpacer"/>
    <w:basedOn w:val="Normal"/>
    <w:pPr>
      <w:tabs>
        <w:tab w:val="left" w:pos="0"/>
        <w:tab w:val="left" w:pos="567"/>
        <w:tab w:val="left" w:pos="1134"/>
      </w:tabs>
      <w:jc w:val="center"/>
    </w:pPr>
  </w:style>
  <w:style w:type="paragraph" w:customStyle="1" w:styleId="Param1">
    <w:name w:val="Param1"/>
    <w:basedOn w:val="Normal"/>
    <w:pPr>
      <w:tabs>
        <w:tab w:val="left" w:pos="339"/>
        <w:tab w:val="left" w:pos="1020"/>
      </w:tabs>
      <w:ind w:left="1020"/>
      <w:jc w:val="both"/>
    </w:pPr>
  </w:style>
  <w:style w:type="paragraph" w:customStyle="1" w:styleId="Param2">
    <w:name w:val="Param2"/>
    <w:basedOn w:val="Normal"/>
    <w:pPr>
      <w:tabs>
        <w:tab w:val="left" w:pos="339"/>
      </w:tabs>
      <w:ind w:left="339" w:hanging="681"/>
      <w:jc w:val="both"/>
    </w:pPr>
  </w:style>
  <w:style w:type="paragraph" w:customStyle="1" w:styleId="Param3">
    <w:name w:val="Param3"/>
    <w:basedOn w:val="Normal"/>
    <w:pPr>
      <w:tabs>
        <w:tab w:val="left" w:pos="342"/>
      </w:tabs>
      <w:ind w:left="342" w:hanging="681"/>
      <w:jc w:val="both"/>
    </w:pPr>
  </w:style>
  <w:style w:type="paragraph" w:customStyle="1" w:styleId="Param4">
    <w:name w:val="Param4"/>
    <w:basedOn w:val="Normal"/>
    <w:pPr>
      <w:tabs>
        <w:tab w:val="left" w:pos="1023"/>
      </w:tabs>
      <w:ind w:left="1023" w:hanging="681"/>
      <w:jc w:val="both"/>
    </w:pPr>
  </w:style>
  <w:style w:type="paragraph" w:customStyle="1" w:styleId="Section">
    <w:name w:val="Section"/>
    <w:basedOn w:val="Normal"/>
    <w:pPr>
      <w:framePr w:hSpace="187" w:vSpace="187" w:wrap="around" w:vAnchor="page" w:hAnchor="text" w:y="1" w:anchorLock="1"/>
      <w:numPr>
        <w:numId w:val="11"/>
      </w:numPr>
      <w:spacing w:before="120" w:after="120" w:line="10" w:lineRule="atLeast"/>
    </w:pPr>
    <w:rPr>
      <w:b/>
      <w:sz w:val="36"/>
    </w:rPr>
  </w:style>
  <w:style w:type="paragraph" w:customStyle="1" w:styleId="TblBody">
    <w:name w:val="Tbl_Body"/>
    <w:basedOn w:val="Normal"/>
  </w:style>
  <w:style w:type="paragraph" w:customStyle="1" w:styleId="TblHead">
    <w:name w:val="Tbl_Head"/>
    <w:basedOn w:val="Normal"/>
  </w:style>
  <w:style w:type="paragraph" w:customStyle="1" w:styleId="vf">
    <w:name w:val="v/f"/>
    <w:basedOn w:val="Normal"/>
    <w:pPr>
      <w:tabs>
        <w:tab w:val="left" w:pos="339"/>
        <w:tab w:val="left" w:pos="1020"/>
      </w:tabs>
      <w:ind w:left="339" w:hanging="681"/>
    </w:pPr>
  </w:style>
  <w:style w:type="character" w:customStyle="1" w:styleId="AlphaNum">
    <w:name w:val="AlphaNum"/>
  </w:style>
  <w:style w:type="character" w:customStyle="1" w:styleId="Bold">
    <w:name w:val="Bold"/>
  </w:style>
  <w:style w:type="character" w:styleId="Emphasis">
    <w:name w:val="Emphasis"/>
    <w:qFormat/>
    <w:rPr>
      <w:i/>
      <w:iCs/>
    </w:rPr>
  </w:style>
  <w:style w:type="paragraph" w:customStyle="1" w:styleId="AL-1">
    <w:name w:val="AL-1"/>
    <w:basedOn w:val="Level-1"/>
    <w:autoRedefine/>
    <w:pPr>
      <w:numPr>
        <w:numId w:val="2"/>
      </w:numPr>
      <w:tabs>
        <w:tab w:val="clear" w:pos="720"/>
        <w:tab w:val="left" w:pos="0"/>
      </w:tabs>
      <w:ind w:left="90" w:hanging="90"/>
    </w:pPr>
  </w:style>
  <w:style w:type="paragraph" w:customStyle="1" w:styleId="AL-2">
    <w:name w:val="AL-2"/>
    <w:basedOn w:val="Normal"/>
    <w:pPr>
      <w:numPr>
        <w:ilvl w:val="1"/>
        <w:numId w:val="3"/>
      </w:numPr>
      <w:spacing w:before="120" w:after="120"/>
    </w:pPr>
    <w:rPr>
      <w:rFonts w:ascii="Times New Roman" w:hAnsi="Times New Roman"/>
      <w:sz w:val="22"/>
    </w:rPr>
  </w:style>
  <w:style w:type="paragraph" w:customStyle="1" w:styleId="AL-4a">
    <w:name w:val="AL-4a"/>
    <w:basedOn w:val="Normal"/>
    <w:autoRedefine/>
    <w:pPr>
      <w:numPr>
        <w:ilvl w:val="2"/>
        <w:numId w:val="4"/>
      </w:numPr>
      <w:tabs>
        <w:tab w:val="clear" w:pos="21"/>
        <w:tab w:val="num" w:pos="720"/>
      </w:tabs>
      <w:spacing w:before="120" w:after="120"/>
      <w:ind w:left="1440" w:hanging="720"/>
    </w:pPr>
    <w:rPr>
      <w:rFonts w:ascii="Times New Roman" w:hAnsi="Times New Roman"/>
      <w:sz w:val="22"/>
    </w:rPr>
  </w:style>
  <w:style w:type="paragraph" w:customStyle="1" w:styleId="AL-4r">
    <w:name w:val="AL-4r"/>
    <w:basedOn w:val="Normal"/>
    <w:pPr>
      <w:spacing w:before="120" w:after="120"/>
    </w:pPr>
    <w:rPr>
      <w:rFonts w:ascii="Times New Roman" w:hAnsi="Times New Roman"/>
      <w:sz w:val="22"/>
    </w:rPr>
  </w:style>
  <w:style w:type="paragraph" w:customStyle="1" w:styleId="AL-5n">
    <w:name w:val="AL-5n"/>
    <w:basedOn w:val="AL-1"/>
    <w:pPr>
      <w:numPr>
        <w:numId w:val="0"/>
      </w:numPr>
      <w:ind w:left="90" w:hanging="90"/>
    </w:pPr>
    <w:rPr>
      <w:b w:val="0"/>
    </w:rPr>
  </w:style>
  <w:style w:type="paragraph" w:customStyle="1" w:styleId="AL-5r">
    <w:name w:val="AL-5r"/>
    <w:basedOn w:val="Normal"/>
    <w:autoRedefine/>
    <w:pPr>
      <w:numPr>
        <w:ilvl w:val="3"/>
        <w:numId w:val="5"/>
      </w:numPr>
      <w:tabs>
        <w:tab w:val="clear" w:pos="1800"/>
        <w:tab w:val="left" w:pos="720"/>
      </w:tabs>
      <w:spacing w:before="120" w:after="120"/>
      <w:ind w:left="2160" w:hanging="720"/>
    </w:pPr>
    <w:rPr>
      <w:rFonts w:ascii="Times New Roman" w:hAnsi="Times New Roman"/>
      <w:noProof/>
      <w:sz w:val="22"/>
      <w:lang w:val="en-GB"/>
    </w:rPr>
  </w:style>
  <w:style w:type="paragraph" w:customStyle="1" w:styleId="AL-6a">
    <w:name w:val="AL-6a"/>
    <w:basedOn w:val="Normal"/>
    <w:pPr>
      <w:spacing w:before="120" w:after="120"/>
    </w:pPr>
    <w:rPr>
      <w:rFonts w:ascii="Times New Roman" w:hAnsi="Times New Roman"/>
      <w:sz w:val="22"/>
    </w:rPr>
  </w:style>
  <w:style w:type="paragraph" w:customStyle="1" w:styleId="AL-6n">
    <w:name w:val="AL-6n"/>
    <w:basedOn w:val="Normal"/>
    <w:pPr>
      <w:numPr>
        <w:ilvl w:val="5"/>
        <w:numId w:val="6"/>
      </w:numPr>
    </w:pPr>
  </w:style>
  <w:style w:type="paragraph" w:styleId="BodyTextIndent3">
    <w:name w:val="Body Text Indent 3"/>
    <w:basedOn w:val="Normal"/>
    <w:pPr>
      <w:tabs>
        <w:tab w:val="left" w:pos="681"/>
      </w:tabs>
      <w:autoSpaceDE/>
      <w:autoSpaceDN/>
      <w:adjustRightInd/>
      <w:spacing w:before="120" w:after="80" w:line="280" w:lineRule="atLeast"/>
      <w:ind w:left="681" w:hanging="681"/>
    </w:pPr>
    <w:rPr>
      <w:rFonts w:ascii="Times New Roman" w:hAnsi="Times New Roman"/>
      <w:b/>
      <w:bCs/>
      <w:snapToGrid w:val="0"/>
      <w:color w:val="FF0000"/>
      <w:sz w:val="22"/>
      <w:szCs w:val="20"/>
      <w:lang w:val="en-GB"/>
    </w:rPr>
  </w:style>
  <w:style w:type="paragraph" w:customStyle="1" w:styleId="Body-6">
    <w:name w:val="Body-6"/>
    <w:basedOn w:val="Body-5"/>
    <w:pPr>
      <w:ind w:left="2160"/>
    </w:pPr>
  </w:style>
  <w:style w:type="paragraph" w:styleId="DocumentMap">
    <w:name w:val="Document Map"/>
    <w:basedOn w:val="Normal"/>
    <w:link w:val="DocumentMapChar"/>
    <w:pPr>
      <w:shd w:val="clear" w:color="auto" w:fill="000080"/>
    </w:pPr>
    <w:rPr>
      <w:rFonts w:ascii="Tahoma" w:hAnsi="Tahoma"/>
      <w:lang w:eastAsia="x-none"/>
    </w:rPr>
  </w:style>
  <w:style w:type="character" w:styleId="FollowedHyperlink">
    <w:name w:val="FollowedHyperlink"/>
    <w:rPr>
      <w:color w:val="800080"/>
      <w:u w:val="single"/>
    </w:rPr>
  </w:style>
  <w:style w:type="character" w:styleId="FootnoteReference">
    <w:name w:val="footnote reference"/>
    <w:rPr>
      <w:vertAlign w:val="superscript"/>
    </w:rPr>
  </w:style>
  <w:style w:type="paragraph" w:styleId="FootnoteText">
    <w:name w:val="footnote text"/>
    <w:basedOn w:val="Normal"/>
    <w:link w:val="FootnoteTextChar"/>
    <w:rPr>
      <w:szCs w:val="20"/>
      <w:lang w:eastAsia="x-none"/>
    </w:rPr>
  </w:style>
  <w:style w:type="paragraph" w:customStyle="1" w:styleId="Heading21">
    <w:name w:val="Heading 2_1"/>
    <w:basedOn w:val="Heading2"/>
    <w:pPr>
      <w:numPr>
        <w:ilvl w:val="1"/>
        <w:numId w:val="8"/>
      </w:numPr>
    </w:pPr>
    <w:rPr>
      <w:noProof/>
    </w:rPr>
  </w:style>
  <w:style w:type="character" w:styleId="Hyperlink">
    <w:name w:val="Hyperlink"/>
    <w:rPr>
      <w:color w:val="0000FF"/>
      <w:u w:val="single"/>
    </w:rPr>
  </w:style>
  <w:style w:type="paragraph" w:styleId="Index1">
    <w:name w:val="index 1"/>
    <w:basedOn w:val="Normal"/>
    <w:next w:val="Normal"/>
    <w:autoRedefine/>
    <w:pPr>
      <w:tabs>
        <w:tab w:val="right" w:leader="dot" w:pos="8499"/>
      </w:tabs>
      <w:ind w:left="202" w:hanging="202"/>
    </w:pPr>
    <w:rPr>
      <w:rFonts w:ascii="Times New Roman" w:hAnsi="Times New Roman"/>
      <w:b/>
      <w:noProof/>
      <w:color w:val="00007F"/>
      <w:szCs w:val="21"/>
    </w:rPr>
  </w:style>
  <w:style w:type="paragraph" w:styleId="Index2">
    <w:name w:val="index 2"/>
    <w:basedOn w:val="Normal"/>
    <w:next w:val="Normal"/>
    <w:autoRedefine/>
    <w:pPr>
      <w:ind w:left="400" w:hanging="200"/>
    </w:pPr>
    <w:rPr>
      <w:rFonts w:ascii="Times New Roman" w:hAnsi="Times New Roman"/>
      <w:szCs w:val="21"/>
    </w:rPr>
  </w:style>
  <w:style w:type="paragraph" w:styleId="Index3">
    <w:name w:val="index 3"/>
    <w:basedOn w:val="Normal"/>
    <w:next w:val="Normal"/>
    <w:autoRedefine/>
    <w:pPr>
      <w:ind w:left="600" w:hanging="200"/>
    </w:pPr>
    <w:rPr>
      <w:rFonts w:ascii="Times New Roman" w:hAnsi="Times New Roman"/>
      <w:szCs w:val="21"/>
    </w:rPr>
  </w:style>
  <w:style w:type="paragraph" w:styleId="Index4">
    <w:name w:val="index 4"/>
    <w:basedOn w:val="Normal"/>
    <w:next w:val="Normal"/>
    <w:autoRedefine/>
    <w:pPr>
      <w:ind w:left="800" w:hanging="200"/>
    </w:pPr>
    <w:rPr>
      <w:rFonts w:ascii="Times New Roman" w:hAnsi="Times New Roman"/>
      <w:szCs w:val="21"/>
    </w:rPr>
  </w:style>
  <w:style w:type="paragraph" w:styleId="Index5">
    <w:name w:val="index 5"/>
    <w:basedOn w:val="Normal"/>
    <w:next w:val="Normal"/>
    <w:autoRedefine/>
    <w:pPr>
      <w:ind w:left="1000" w:hanging="200"/>
    </w:pPr>
    <w:rPr>
      <w:rFonts w:ascii="Times New Roman" w:hAnsi="Times New Roman"/>
      <w:szCs w:val="21"/>
    </w:rPr>
  </w:style>
  <w:style w:type="paragraph" w:styleId="Index6">
    <w:name w:val="index 6"/>
    <w:basedOn w:val="Normal"/>
    <w:next w:val="Normal"/>
    <w:autoRedefine/>
    <w:pPr>
      <w:ind w:left="1200" w:hanging="200"/>
    </w:pPr>
    <w:rPr>
      <w:rFonts w:ascii="Times New Roman" w:hAnsi="Times New Roman"/>
      <w:szCs w:val="21"/>
    </w:rPr>
  </w:style>
  <w:style w:type="paragraph" w:styleId="Index7">
    <w:name w:val="index 7"/>
    <w:basedOn w:val="Normal"/>
    <w:next w:val="Normal"/>
    <w:autoRedefine/>
    <w:pPr>
      <w:ind w:left="1400" w:hanging="200"/>
    </w:pPr>
    <w:rPr>
      <w:rFonts w:ascii="Times New Roman" w:hAnsi="Times New Roman"/>
      <w:szCs w:val="21"/>
    </w:rPr>
  </w:style>
  <w:style w:type="paragraph" w:styleId="Index8">
    <w:name w:val="index 8"/>
    <w:basedOn w:val="Normal"/>
    <w:next w:val="Normal"/>
    <w:autoRedefine/>
    <w:pPr>
      <w:ind w:left="1600" w:hanging="200"/>
    </w:pPr>
    <w:rPr>
      <w:rFonts w:ascii="Times New Roman" w:hAnsi="Times New Roman"/>
      <w:szCs w:val="21"/>
    </w:rPr>
  </w:style>
  <w:style w:type="paragraph" w:styleId="Index9">
    <w:name w:val="index 9"/>
    <w:basedOn w:val="Normal"/>
    <w:next w:val="Normal"/>
    <w:autoRedefine/>
    <w:pPr>
      <w:ind w:left="1800" w:hanging="200"/>
    </w:pPr>
    <w:rPr>
      <w:rFonts w:ascii="Times New Roman" w:hAnsi="Times New Roman"/>
      <w:szCs w:val="21"/>
    </w:rPr>
  </w:style>
  <w:style w:type="paragraph" w:styleId="IndexHeading">
    <w:name w:val="index heading"/>
    <w:basedOn w:val="Normal"/>
    <w:next w:val="Index1"/>
    <w:pPr>
      <w:pBdr>
        <w:top w:val="single" w:sz="12" w:space="0" w:color="auto"/>
      </w:pBdr>
      <w:spacing w:before="360" w:after="240"/>
    </w:pPr>
    <w:rPr>
      <w:rFonts w:ascii="Times New Roman" w:hAnsi="Times New Roman"/>
      <w:b/>
      <w:bCs/>
      <w:i/>
      <w:iCs/>
      <w:szCs w:val="31"/>
    </w:rPr>
  </w:style>
  <w:style w:type="character" w:styleId="PageNumber">
    <w:name w:val="page number"/>
    <w:basedOn w:val="DefaultParagraphFont"/>
  </w:style>
  <w:style w:type="paragraph" w:customStyle="1" w:styleId="tab">
    <w:name w:val="tab"/>
    <w:basedOn w:val="PageTab"/>
    <w:pPr>
      <w:tabs>
        <w:tab w:val="clear" w:pos="0"/>
        <w:tab w:val="clear" w:pos="567"/>
        <w:tab w:val="clear" w:pos="1134"/>
        <w:tab w:val="left" w:pos="720"/>
      </w:tabs>
      <w:spacing w:before="120" w:after="120"/>
      <w:ind w:left="3600" w:hanging="720"/>
    </w:pPr>
    <w:rPr>
      <w:rFonts w:ascii="Times New Roman" w:hAnsi="Times New Roman"/>
      <w:noProof/>
    </w:rPr>
  </w:style>
  <w:style w:type="paragraph" w:customStyle="1" w:styleId="tab-5">
    <w:name w:val="tab-5"/>
    <w:basedOn w:val="tab"/>
    <w:pPr>
      <w:ind w:left="1440"/>
    </w:pPr>
    <w:rPr>
      <w:sz w:val="22"/>
      <w:lang w:val="en-GB"/>
    </w:rPr>
  </w:style>
  <w:style w:type="paragraph" w:styleId="TOC1">
    <w:name w:val="toc 1"/>
    <w:basedOn w:val="Normal"/>
    <w:next w:val="Normal"/>
    <w:pPr>
      <w:tabs>
        <w:tab w:val="left" w:pos="446"/>
        <w:tab w:val="right" w:pos="8496"/>
      </w:tabs>
      <w:spacing w:before="120" w:after="120"/>
    </w:pPr>
    <w:rPr>
      <w:rFonts w:ascii="Times New Roman" w:hAnsi="Times New Roman"/>
      <w:b/>
      <w:bCs/>
      <w:caps/>
      <w:sz w:val="24"/>
    </w:rPr>
  </w:style>
  <w:style w:type="paragraph" w:styleId="TOC2">
    <w:name w:val="toc 2"/>
    <w:basedOn w:val="Normal"/>
    <w:next w:val="Normal"/>
    <w:pPr>
      <w:tabs>
        <w:tab w:val="left" w:pos="880"/>
        <w:tab w:val="right" w:pos="8499"/>
      </w:tabs>
      <w:ind w:left="936" w:hanging="720"/>
    </w:pPr>
    <w:rPr>
      <w:rFonts w:ascii="Times New Roman" w:hAnsi="Times New Roman"/>
      <w:smallCaps/>
      <w:noProof/>
      <w:sz w:val="24"/>
      <w:szCs w:val="26"/>
    </w:rPr>
  </w:style>
  <w:style w:type="paragraph" w:styleId="TOC3">
    <w:name w:val="toc 3"/>
    <w:basedOn w:val="Normal"/>
    <w:next w:val="Normal"/>
    <w:autoRedefine/>
    <w:pPr>
      <w:ind w:left="400"/>
    </w:pPr>
    <w:rPr>
      <w:rFonts w:ascii="Times New Roman" w:hAnsi="Times New Roman"/>
      <w:i/>
      <w:iCs/>
    </w:rPr>
  </w:style>
  <w:style w:type="paragraph" w:styleId="TOC4">
    <w:name w:val="toc 4"/>
    <w:basedOn w:val="Normal"/>
    <w:next w:val="Normal"/>
    <w:autoRedefine/>
    <w:pPr>
      <w:ind w:left="600"/>
    </w:pPr>
    <w:rPr>
      <w:rFonts w:ascii="Times New Roman" w:hAnsi="Times New Roman"/>
      <w:szCs w:val="21"/>
    </w:rPr>
  </w:style>
  <w:style w:type="paragraph" w:styleId="TOC5">
    <w:name w:val="toc 5"/>
    <w:basedOn w:val="Normal"/>
    <w:next w:val="Normal"/>
    <w:autoRedefine/>
    <w:pPr>
      <w:ind w:left="800"/>
    </w:pPr>
    <w:rPr>
      <w:rFonts w:ascii="Times New Roman" w:hAnsi="Times New Roman"/>
      <w:szCs w:val="21"/>
    </w:rPr>
  </w:style>
  <w:style w:type="paragraph" w:styleId="TOC6">
    <w:name w:val="toc 6"/>
    <w:basedOn w:val="Normal"/>
    <w:next w:val="Normal"/>
    <w:autoRedefine/>
    <w:pPr>
      <w:ind w:left="1000"/>
    </w:pPr>
    <w:rPr>
      <w:rFonts w:ascii="Times New Roman" w:hAnsi="Times New Roman"/>
      <w:szCs w:val="21"/>
    </w:rPr>
  </w:style>
  <w:style w:type="paragraph" w:styleId="TOC7">
    <w:name w:val="toc 7"/>
    <w:basedOn w:val="Normal"/>
    <w:next w:val="Normal"/>
    <w:autoRedefine/>
    <w:pPr>
      <w:ind w:left="1200"/>
    </w:pPr>
    <w:rPr>
      <w:rFonts w:ascii="Times New Roman" w:hAnsi="Times New Roman"/>
      <w:szCs w:val="21"/>
    </w:rPr>
  </w:style>
  <w:style w:type="paragraph" w:styleId="TOC8">
    <w:name w:val="toc 8"/>
    <w:basedOn w:val="Normal"/>
    <w:next w:val="Normal"/>
    <w:autoRedefine/>
    <w:pPr>
      <w:ind w:left="1400"/>
    </w:pPr>
    <w:rPr>
      <w:rFonts w:ascii="Times New Roman" w:hAnsi="Times New Roman"/>
      <w:szCs w:val="21"/>
    </w:rPr>
  </w:style>
  <w:style w:type="paragraph" w:styleId="TOC9">
    <w:name w:val="toc 9"/>
    <w:basedOn w:val="Normal"/>
    <w:next w:val="Normal"/>
    <w:autoRedefine/>
    <w:pPr>
      <w:ind w:left="1600"/>
    </w:pPr>
    <w:rPr>
      <w:rFonts w:ascii="Times New Roman" w:hAnsi="Times New Roman"/>
      <w:szCs w:val="21"/>
    </w:rPr>
  </w:style>
  <w:style w:type="paragraph" w:customStyle="1" w:styleId="TAB0">
    <w:name w:val="TAB"/>
    <w:basedOn w:val="Normal"/>
    <w:pPr>
      <w:tabs>
        <w:tab w:val="left" w:pos="720"/>
      </w:tabs>
      <w:spacing w:after="140"/>
      <w:ind w:left="1440" w:hanging="720"/>
      <w:jc w:val="both"/>
    </w:pPr>
    <w:rPr>
      <w:rFonts w:ascii="Times New Roman" w:hAnsi="Times New Roman"/>
      <w:noProof/>
      <w:color w:val="000000"/>
      <w:sz w:val="22"/>
    </w:rPr>
  </w:style>
  <w:style w:type="character" w:customStyle="1" w:styleId="DefinedTerm">
    <w:name w:val="Defined Term"/>
    <w:rPr>
      <w:rFonts w:ascii="Times New Roman" w:hAnsi="Times New Roman"/>
      <w:b/>
      <w:noProof/>
      <w:color w:val="000080"/>
      <w:sz w:val="22"/>
    </w:rPr>
  </w:style>
  <w:style w:type="paragraph" w:styleId="TableofFigures">
    <w:name w:val="table of figures"/>
    <w:basedOn w:val="Normal"/>
    <w:next w:val="Normal"/>
    <w:pPr>
      <w:ind w:left="400" w:hanging="400"/>
    </w:pPr>
  </w:style>
  <w:style w:type="paragraph" w:customStyle="1" w:styleId="DefinedTermIndex">
    <w:name w:val="Defined Term Index"/>
    <w:basedOn w:val="Normal"/>
    <w:pPr>
      <w:tabs>
        <w:tab w:val="right" w:leader="dot" w:pos="8460"/>
        <w:tab w:val="right" w:leader="dot" w:pos="8494"/>
      </w:tabs>
    </w:pPr>
    <w:rPr>
      <w:rFonts w:ascii="Times New Roman" w:hAnsi="Times New Roman"/>
      <w:b/>
      <w:noProof/>
      <w:color w:val="00007F"/>
      <w:sz w:val="22"/>
      <w:szCs w:val="21"/>
    </w:rPr>
  </w:style>
  <w:style w:type="paragraph" w:customStyle="1" w:styleId="Level-5">
    <w:name w:val="Level-5"/>
    <w:basedOn w:val="Normal"/>
    <w:pPr>
      <w:tabs>
        <w:tab w:val="left" w:pos="567"/>
      </w:tabs>
      <w:spacing w:line="260" w:lineRule="atLeast"/>
      <w:ind w:left="567"/>
    </w:pPr>
    <w:rPr>
      <w:rFonts w:ascii="Times New Roman" w:hAnsi="Times New Roman"/>
    </w:rPr>
  </w:style>
  <w:style w:type="paragraph" w:customStyle="1" w:styleId="DefTermsTitle">
    <w:name w:val="Def Terms Title"/>
    <w:basedOn w:val="Section"/>
    <w:pPr>
      <w:framePr w:hSpace="0" w:vSpace="0" w:wrap="auto" w:vAnchor="margin" w:yAlign="inline"/>
    </w:pPr>
  </w:style>
  <w:style w:type="paragraph" w:customStyle="1" w:styleId="Level-8ar">
    <w:name w:val="Level-8ar"/>
    <w:basedOn w:val="Normal"/>
    <w:pPr>
      <w:tabs>
        <w:tab w:val="num" w:pos="360"/>
      </w:tabs>
    </w:pPr>
    <w:rPr>
      <w:rFonts w:ascii="Times New Roman" w:hAnsi="Times New Roman"/>
    </w:rPr>
  </w:style>
  <w:style w:type="paragraph" w:customStyle="1" w:styleId="Level-7aa">
    <w:name w:val="Level-7aa"/>
    <w:basedOn w:val="Normal"/>
    <w:pPr>
      <w:spacing w:before="120" w:after="120"/>
      <w:ind w:left="4320" w:hanging="720"/>
    </w:pPr>
    <w:rPr>
      <w:rFonts w:ascii="Times New Roman" w:hAnsi="Times New Roman"/>
      <w:noProof/>
      <w:sz w:val="22"/>
    </w:rPr>
  </w:style>
  <w:style w:type="paragraph" w:styleId="BodyTextIndent">
    <w:name w:val="Body Text Indent"/>
    <w:basedOn w:val="Normal"/>
    <w:pPr>
      <w:tabs>
        <w:tab w:val="left" w:pos="709"/>
        <w:tab w:val="left" w:pos="1418"/>
        <w:tab w:val="left" w:pos="2127"/>
        <w:tab w:val="left" w:pos="2835"/>
        <w:tab w:val="left" w:pos="3544"/>
        <w:tab w:val="left" w:pos="4253"/>
        <w:tab w:val="left" w:pos="4962"/>
        <w:tab w:val="left" w:pos="5670"/>
        <w:tab w:val="left" w:pos="6379"/>
        <w:tab w:val="left" w:pos="7088"/>
        <w:tab w:val="left" w:pos="7797"/>
      </w:tabs>
      <w:spacing w:line="360" w:lineRule="atLeast"/>
      <w:ind w:left="709" w:hanging="709"/>
    </w:pPr>
    <w:rPr>
      <w:color w:val="000080"/>
      <w:sz w:val="24"/>
    </w:rPr>
  </w:style>
  <w:style w:type="paragraph" w:styleId="BodyText">
    <w:name w:val="Body Text"/>
    <w:basedOn w:val="Normal"/>
    <w:link w:val="BodyTextChar"/>
    <w:pPr>
      <w:widowControl/>
      <w:tabs>
        <w:tab w:val="left" w:pos="900"/>
      </w:tabs>
      <w:spacing w:line="360" w:lineRule="atLeast"/>
    </w:pPr>
    <w:rPr>
      <w:rFonts w:ascii="Times New Roman" w:hAnsi="Times New Roman"/>
      <w:color w:val="000000"/>
      <w:sz w:val="24"/>
      <w:lang w:eastAsia="x-none"/>
    </w:rPr>
  </w:style>
  <w:style w:type="paragraph" w:styleId="BodyTextIndent2">
    <w:name w:val="Body Text Indent 2"/>
    <w:basedOn w:val="Normal"/>
    <w:link w:val="BodyTextIndent2Char"/>
    <w:pPr>
      <w:widowControl/>
      <w:autoSpaceDE/>
      <w:autoSpaceDN/>
      <w:adjustRightInd/>
      <w:spacing w:after="120" w:line="480" w:lineRule="auto"/>
      <w:ind w:left="283"/>
    </w:pPr>
    <w:rPr>
      <w:szCs w:val="20"/>
      <w:lang w:val="x-none" w:eastAsia="x-none"/>
    </w:rPr>
  </w:style>
  <w:style w:type="paragraph" w:styleId="Date">
    <w:name w:val="Date"/>
    <w:basedOn w:val="Normal"/>
    <w:next w:val="Normal"/>
    <w:link w:val="DateChar"/>
    <w:rPr>
      <w:rFonts w:ascii="Times New Roman" w:hAnsi="Times New Roman"/>
      <w:noProof/>
      <w:sz w:val="22"/>
      <w:lang w:eastAsia="x-none"/>
    </w:rPr>
  </w:style>
  <w:style w:type="paragraph" w:styleId="BodyText3">
    <w:name w:val="Body Text 3"/>
    <w:basedOn w:val="Normal"/>
    <w:link w:val="BodyText3Char"/>
    <w:pPr>
      <w:spacing w:after="120"/>
    </w:pPr>
    <w:rPr>
      <w:sz w:val="16"/>
      <w:szCs w:val="16"/>
      <w:lang w:eastAsia="x-none"/>
    </w:rPr>
  </w:style>
  <w:style w:type="character" w:customStyle="1" w:styleId="DeltaViewInsertion">
    <w:name w:val="DeltaView Insertion"/>
    <w:rPr>
      <w:color w:val="0000FF"/>
      <w:spacing w:val="0"/>
      <w:u w:val="double"/>
    </w:rPr>
  </w:style>
  <w:style w:type="paragraph" w:customStyle="1" w:styleId="Level1">
    <w:name w:val="Level 1"/>
    <w:basedOn w:val="Normal"/>
    <w:autoRedefine/>
    <w:pPr>
      <w:widowControl/>
      <w:autoSpaceDE/>
      <w:autoSpaceDN/>
      <w:adjustRightInd/>
      <w:spacing w:before="120" w:after="120"/>
      <w:jc w:val="both"/>
    </w:pPr>
    <w:rPr>
      <w:rFonts w:ascii="Times New Roman" w:hAnsi="Times New Roman"/>
      <w:bCs/>
      <w:color w:val="000080"/>
      <w:sz w:val="24"/>
      <w:lang w:val="en-GB"/>
    </w:rPr>
  </w:style>
  <w:style w:type="paragraph" w:customStyle="1" w:styleId="Schedule">
    <w:name w:val="Schedule"/>
    <w:basedOn w:val="BodyText"/>
    <w:next w:val="BodyText"/>
    <w:pPr>
      <w:numPr>
        <w:numId w:val="12"/>
      </w:numPr>
      <w:tabs>
        <w:tab w:val="clear" w:pos="900"/>
      </w:tabs>
      <w:spacing w:after="230" w:line="240" w:lineRule="auto"/>
    </w:pPr>
    <w:rPr>
      <w:rFonts w:ascii="Arial" w:hAnsi="Arial" w:cs="Arial"/>
      <w:b/>
      <w:bCs/>
      <w:color w:val="auto"/>
      <w:sz w:val="28"/>
      <w:szCs w:val="28"/>
      <w:lang w:val="en-GB"/>
    </w:rPr>
  </w:style>
  <w:style w:type="paragraph" w:customStyle="1" w:styleId="Appendix">
    <w:name w:val="Appendix"/>
    <w:basedOn w:val="Normal"/>
    <w:next w:val="BodyText"/>
    <w:pPr>
      <w:widowControl/>
      <w:numPr>
        <w:numId w:val="13"/>
      </w:numPr>
      <w:spacing w:after="240"/>
    </w:pPr>
    <w:rPr>
      <w:rFonts w:cs="Arial"/>
      <w:b/>
      <w:bCs/>
      <w:sz w:val="28"/>
      <w:szCs w:val="28"/>
      <w:lang w:val="en-GB"/>
    </w:rPr>
  </w:style>
  <w:style w:type="character" w:customStyle="1" w:styleId="DeltaViewDeletion">
    <w:name w:val="DeltaView Deletion"/>
    <w:rPr>
      <w:strike/>
      <w:color w:val="0000FF"/>
      <w:spacing w:val="0"/>
    </w:rPr>
  </w:style>
  <w:style w:type="paragraph" w:customStyle="1" w:styleId="Address">
    <w:name w:val="Address"/>
    <w:basedOn w:val="Normal"/>
    <w:pPr>
      <w:widowControl/>
    </w:pPr>
    <w:rPr>
      <w:rFonts w:cs="Arial"/>
      <w:b/>
      <w:bCs/>
      <w:sz w:val="18"/>
      <w:szCs w:val="18"/>
      <w:lang w:val="en-GB"/>
    </w:rPr>
  </w:style>
  <w:style w:type="paragraph" w:customStyle="1" w:styleId="BodyText1">
    <w:name w:val="Body Text 1"/>
    <w:basedOn w:val="BodyText"/>
    <w:pPr>
      <w:tabs>
        <w:tab w:val="clear" w:pos="900"/>
      </w:tabs>
      <w:spacing w:after="230" w:line="240" w:lineRule="auto"/>
      <w:ind w:left="709"/>
    </w:pPr>
    <w:rPr>
      <w:rFonts w:ascii="Arial" w:hAnsi="Arial" w:cs="Arial"/>
      <w:color w:val="auto"/>
      <w:sz w:val="20"/>
      <w:szCs w:val="20"/>
      <w:lang w:val="en-GB"/>
    </w:rPr>
  </w:style>
  <w:style w:type="paragraph" w:customStyle="1" w:styleId="BodyText4">
    <w:name w:val="Body Text 4"/>
    <w:basedOn w:val="BodyText"/>
    <w:pPr>
      <w:tabs>
        <w:tab w:val="clear" w:pos="900"/>
      </w:tabs>
      <w:spacing w:after="230" w:line="240" w:lineRule="auto"/>
      <w:ind w:left="1418"/>
    </w:pPr>
    <w:rPr>
      <w:rFonts w:ascii="Arial" w:hAnsi="Arial" w:cs="Arial"/>
      <w:color w:val="auto"/>
      <w:sz w:val="20"/>
      <w:szCs w:val="20"/>
      <w:lang w:val="en-GB"/>
    </w:rPr>
  </w:style>
  <w:style w:type="paragraph" w:customStyle="1" w:styleId="BodyText5">
    <w:name w:val="Body Text 5"/>
    <w:basedOn w:val="BodyText"/>
    <w:pPr>
      <w:tabs>
        <w:tab w:val="clear" w:pos="900"/>
      </w:tabs>
      <w:spacing w:after="230" w:line="240" w:lineRule="auto"/>
      <w:ind w:left="2126"/>
    </w:pPr>
    <w:rPr>
      <w:rFonts w:ascii="Arial" w:hAnsi="Arial" w:cs="Arial"/>
      <w:color w:val="auto"/>
      <w:sz w:val="20"/>
      <w:szCs w:val="20"/>
      <w:lang w:val="en-GB"/>
    </w:rPr>
  </w:style>
  <w:style w:type="paragraph" w:customStyle="1" w:styleId="BodyText6">
    <w:name w:val="Body Text 6"/>
    <w:basedOn w:val="BodyText"/>
    <w:pPr>
      <w:tabs>
        <w:tab w:val="clear" w:pos="900"/>
      </w:tabs>
      <w:spacing w:after="230" w:line="240" w:lineRule="auto"/>
      <w:ind w:left="2835"/>
    </w:pPr>
    <w:rPr>
      <w:rFonts w:ascii="Arial" w:hAnsi="Arial" w:cs="Arial"/>
      <w:color w:val="auto"/>
      <w:sz w:val="20"/>
      <w:szCs w:val="20"/>
      <w:lang w:val="en-GB"/>
    </w:rPr>
  </w:style>
  <w:style w:type="paragraph" w:customStyle="1" w:styleId="Cover1">
    <w:name w:val="Cover1"/>
    <w:basedOn w:val="Normal"/>
    <w:next w:val="Normal"/>
    <w:pPr>
      <w:widowControl/>
    </w:pPr>
    <w:rPr>
      <w:rFonts w:cs="Arial"/>
      <w:b/>
      <w:bCs/>
      <w:sz w:val="24"/>
      <w:lang w:val="en-GB"/>
    </w:rPr>
  </w:style>
  <w:style w:type="paragraph" w:customStyle="1" w:styleId="Cover2">
    <w:name w:val="Cover2"/>
    <w:basedOn w:val="Normal"/>
    <w:next w:val="Cover1"/>
    <w:pPr>
      <w:widowControl/>
      <w:spacing w:after="240"/>
    </w:pPr>
    <w:rPr>
      <w:rFonts w:cs="Arial"/>
      <w:sz w:val="24"/>
      <w:lang w:val="en-GB"/>
    </w:rPr>
  </w:style>
  <w:style w:type="paragraph" w:customStyle="1" w:styleId="FooterLandscape">
    <w:name w:val="Footer Landscape"/>
    <w:basedOn w:val="Footer"/>
    <w:pPr>
      <w:widowControl/>
      <w:pBdr>
        <w:top w:val="single" w:sz="4" w:space="4" w:color="auto"/>
      </w:pBdr>
      <w:tabs>
        <w:tab w:val="clear" w:pos="2837"/>
        <w:tab w:val="clear" w:pos="5103"/>
        <w:tab w:val="clear" w:pos="6804"/>
        <w:tab w:val="center" w:pos="4536"/>
        <w:tab w:val="center" w:pos="6926"/>
        <w:tab w:val="right" w:pos="9072"/>
        <w:tab w:val="right" w:pos="13680"/>
      </w:tabs>
    </w:pPr>
    <w:rPr>
      <w:rFonts w:cs="Arial"/>
      <w:sz w:val="16"/>
      <w:szCs w:val="16"/>
      <w:lang w:val="en-GB"/>
    </w:rPr>
  </w:style>
  <w:style w:type="paragraph" w:customStyle="1" w:styleId="FrontSheet">
    <w:name w:val="Front Sheet"/>
    <w:basedOn w:val="Normal"/>
    <w:pPr>
      <w:widowControl/>
      <w:spacing w:after="240"/>
    </w:pPr>
    <w:rPr>
      <w:rFonts w:cs="Arial"/>
      <w:b/>
      <w:bCs/>
      <w:caps/>
      <w:sz w:val="30"/>
      <w:szCs w:val="30"/>
      <w:lang w:val="en-GB"/>
    </w:rPr>
  </w:style>
  <w:style w:type="paragraph" w:customStyle="1" w:styleId="HeaderLandscape">
    <w:name w:val="Header Landscape"/>
    <w:basedOn w:val="Header"/>
    <w:pPr>
      <w:widowControl/>
      <w:tabs>
        <w:tab w:val="center" w:pos="4536"/>
        <w:tab w:val="center" w:pos="6926"/>
        <w:tab w:val="right" w:pos="9072"/>
        <w:tab w:val="right" w:pos="13680"/>
      </w:tabs>
      <w:jc w:val="left"/>
    </w:pPr>
    <w:rPr>
      <w:rFonts w:cs="Arial"/>
      <w:szCs w:val="20"/>
      <w:lang w:val="en-GB"/>
    </w:rPr>
  </w:style>
  <w:style w:type="paragraph" w:customStyle="1" w:styleId="Leader">
    <w:name w:val="Leader"/>
    <w:basedOn w:val="BodyText"/>
    <w:pPr>
      <w:tabs>
        <w:tab w:val="clear" w:pos="900"/>
      </w:tabs>
      <w:spacing w:before="120" w:after="230" w:line="240" w:lineRule="auto"/>
    </w:pPr>
    <w:rPr>
      <w:rFonts w:ascii="Arial" w:hAnsi="Arial" w:cs="Arial"/>
      <w:b/>
      <w:bCs/>
      <w:color w:val="auto"/>
      <w:lang w:val="en-GB"/>
    </w:rPr>
  </w:style>
  <w:style w:type="paragraph" w:customStyle="1" w:styleId="Note">
    <w:name w:val="Note"/>
    <w:basedOn w:val="Normal"/>
    <w:pPr>
      <w:widowControl/>
      <w:pBdr>
        <w:top w:val="double" w:sz="4" w:space="2" w:color="auto"/>
        <w:left w:val="double" w:sz="4" w:space="4" w:color="auto"/>
        <w:bottom w:val="double" w:sz="4" w:space="2" w:color="auto"/>
        <w:right w:val="double" w:sz="4" w:space="4" w:color="auto"/>
      </w:pBdr>
      <w:spacing w:after="240"/>
      <w:ind w:left="709"/>
    </w:pPr>
    <w:rPr>
      <w:rFonts w:cs="Arial"/>
      <w:color w:val="000080"/>
      <w:sz w:val="18"/>
      <w:szCs w:val="18"/>
      <w:lang w:val="en-GB"/>
    </w:rPr>
  </w:style>
  <w:style w:type="paragraph" w:customStyle="1" w:styleId="Parties">
    <w:name w:val="Parties"/>
    <w:basedOn w:val="BodyText"/>
    <w:pPr>
      <w:tabs>
        <w:tab w:val="clear" w:pos="900"/>
        <w:tab w:val="num" w:pos="709"/>
      </w:tabs>
      <w:spacing w:after="230" w:line="240" w:lineRule="auto"/>
      <w:ind w:left="709" w:hanging="709"/>
    </w:pPr>
    <w:rPr>
      <w:rFonts w:ascii="Arial" w:hAnsi="Arial" w:cs="Arial"/>
      <w:color w:val="auto"/>
      <w:sz w:val="20"/>
      <w:szCs w:val="20"/>
      <w:lang w:val="en-GB"/>
    </w:rPr>
  </w:style>
  <w:style w:type="paragraph" w:customStyle="1" w:styleId="Recital">
    <w:name w:val="Recital"/>
    <w:basedOn w:val="BodyText"/>
    <w:pPr>
      <w:tabs>
        <w:tab w:val="clear" w:pos="900"/>
        <w:tab w:val="num" w:pos="709"/>
      </w:tabs>
      <w:spacing w:after="230" w:line="240" w:lineRule="auto"/>
      <w:ind w:left="709" w:hanging="709"/>
    </w:pPr>
    <w:rPr>
      <w:rFonts w:ascii="Arial" w:hAnsi="Arial" w:cs="Arial"/>
      <w:color w:val="auto"/>
      <w:sz w:val="20"/>
      <w:szCs w:val="20"/>
      <w:lang w:val="en-GB"/>
    </w:rPr>
  </w:style>
  <w:style w:type="character" w:customStyle="1" w:styleId="Annotation">
    <w:name w:val="Annotation"/>
    <w:rPr>
      <w:b/>
      <w:bCs/>
      <w:i/>
      <w:iCs/>
      <w:spacing w:val="0"/>
      <w:shd w:val="clear" w:color="auto" w:fill="auto"/>
    </w:rPr>
  </w:style>
  <w:style w:type="character" w:customStyle="1" w:styleId="Mandatorytext">
    <w:name w:val="Mandatory text"/>
    <w:rPr>
      <w:b/>
      <w:bCs/>
      <w:spacing w:val="0"/>
      <w:shd w:val="clear" w:color="auto" w:fill="auto"/>
    </w:rPr>
  </w:style>
  <w:style w:type="paragraph" w:styleId="BalloonText">
    <w:name w:val="Balloon Text"/>
    <w:basedOn w:val="Normal"/>
    <w:link w:val="BalloonTextChar"/>
    <w:pPr>
      <w:widowControl/>
    </w:pPr>
    <w:rPr>
      <w:rFonts w:ascii="Tahoma" w:hAnsi="Tahoma"/>
      <w:sz w:val="16"/>
      <w:szCs w:val="16"/>
      <w:lang w:val="x-none" w:eastAsia="x-none"/>
    </w:rPr>
  </w:style>
  <w:style w:type="paragraph" w:customStyle="1" w:styleId="DeltaViewTableHeading">
    <w:name w:val="DeltaView Table Heading"/>
    <w:basedOn w:val="Normal"/>
    <w:pPr>
      <w:widowControl/>
      <w:spacing w:after="120"/>
    </w:pPr>
    <w:rPr>
      <w:rFonts w:cs="Arial"/>
      <w:b/>
      <w:bCs/>
      <w:sz w:val="24"/>
    </w:rPr>
  </w:style>
  <w:style w:type="paragraph" w:customStyle="1" w:styleId="DeltaViewTableBody">
    <w:name w:val="DeltaView Table Body"/>
    <w:basedOn w:val="Normal"/>
    <w:pPr>
      <w:widowControl/>
    </w:pPr>
    <w:rPr>
      <w:rFonts w:cs="Arial"/>
      <w:sz w:val="24"/>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eastAsia="en-US"/>
    </w:rPr>
  </w:style>
  <w:style w:type="character" w:customStyle="1" w:styleId="DeltaViewMoveSource">
    <w:name w:val="DeltaView Move Source"/>
    <w:rPr>
      <w:strike/>
      <w:color w:val="0000FF"/>
      <w:spacing w:val="0"/>
    </w:rPr>
  </w:style>
  <w:style w:type="character" w:customStyle="1" w:styleId="DeltaViewMoveDestination">
    <w:name w:val="DeltaView Move Destination"/>
    <w:rPr>
      <w:color w:val="0000FF"/>
      <w:spacing w:val="0"/>
      <w:u w:val="double"/>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rPr>
      <w:color w:val="0000FF"/>
      <w:spacing w:val="0"/>
      <w:u w:val="double"/>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paragraph" w:styleId="ListNumber3">
    <w:name w:val="List Number 3"/>
    <w:basedOn w:val="Normal"/>
    <w:pPr>
      <w:widowControl/>
      <w:tabs>
        <w:tab w:val="num" w:pos="926"/>
      </w:tabs>
      <w:ind w:left="926" w:hanging="360"/>
    </w:pPr>
    <w:rPr>
      <w:rFonts w:cs="Arial"/>
      <w:szCs w:val="20"/>
      <w:lang w:val="en-GB"/>
    </w:rPr>
  </w:style>
  <w:style w:type="paragraph" w:styleId="BodyText2">
    <w:name w:val="Body Text 2"/>
    <w:basedOn w:val="Normal"/>
    <w:link w:val="BodyText2Char"/>
    <w:rPr>
      <w:noProof/>
      <w:color w:val="000000"/>
      <w:lang w:eastAsia="x-none"/>
    </w:rPr>
  </w:style>
  <w:style w:type="character" w:customStyle="1" w:styleId="FootnoteTextChar">
    <w:name w:val="Footnote Text Char"/>
    <w:link w:val="FootnoteText"/>
    <w:rPr>
      <w:rFonts w:ascii="Arial" w:hAnsi="Arial"/>
      <w:lang w:val="en-US"/>
    </w:rPr>
  </w:style>
  <w:style w:type="character" w:customStyle="1" w:styleId="BodyTextChar">
    <w:name w:val="Body Text Char"/>
    <w:link w:val="BodyText"/>
    <w:rPr>
      <w:color w:val="000000"/>
      <w:sz w:val="24"/>
      <w:szCs w:val="24"/>
      <w:lang w:val="en-US"/>
    </w:rPr>
  </w:style>
  <w:style w:type="character" w:customStyle="1" w:styleId="Heading1Char">
    <w:name w:val="Heading 1 Char"/>
    <w:link w:val="Heading1"/>
    <w:rPr>
      <w:rFonts w:ascii="Arial" w:hAnsi="Arial"/>
      <w:b/>
      <w:bCs/>
      <w:caps/>
      <w:kern w:val="32"/>
      <w:sz w:val="36"/>
      <w:szCs w:val="32"/>
      <w:u w:color="000000"/>
      <w:lang w:val="en-US" w:eastAsia="x-none"/>
    </w:rPr>
  </w:style>
  <w:style w:type="character" w:customStyle="1" w:styleId="BodyText2Char">
    <w:name w:val="Body Text 2 Char"/>
    <w:link w:val="BodyText2"/>
    <w:rPr>
      <w:rFonts w:ascii="Arial" w:hAnsi="Arial"/>
      <w:noProof/>
      <w:color w:val="000000"/>
      <w:szCs w:val="24"/>
      <w:lang w:val="en-US"/>
    </w:rPr>
  </w:style>
  <w:style w:type="character" w:customStyle="1" w:styleId="Heading2Char">
    <w:name w:val="Heading 2 Char"/>
    <w:link w:val="Heading2"/>
    <w:rPr>
      <w:rFonts w:ascii="Arial" w:hAnsi="Arial"/>
      <w:b/>
      <w:bCs/>
      <w:i/>
      <w:iCs/>
      <w:sz w:val="28"/>
      <w:szCs w:val="28"/>
      <w:lang w:val="en-US" w:eastAsia="x-none"/>
    </w:rPr>
  </w:style>
  <w:style w:type="character" w:customStyle="1" w:styleId="BodyText3Char">
    <w:name w:val="Body Text 3 Char"/>
    <w:link w:val="BodyText3"/>
    <w:rPr>
      <w:rFonts w:ascii="Arial" w:hAnsi="Arial"/>
      <w:sz w:val="16"/>
      <w:szCs w:val="16"/>
      <w:lang w:val="en-US"/>
    </w:rPr>
  </w:style>
  <w:style w:type="character" w:customStyle="1" w:styleId="Heading3Char">
    <w:name w:val="Heading 3 Char"/>
    <w:link w:val="Heading3"/>
    <w:rPr>
      <w:rFonts w:ascii="Arial" w:hAnsi="Arial"/>
      <w:b/>
      <w:bCs/>
      <w:sz w:val="26"/>
      <w:szCs w:val="26"/>
      <w:lang w:val="en-US"/>
    </w:rPr>
  </w:style>
  <w:style w:type="character" w:customStyle="1" w:styleId="Heading4Char">
    <w:name w:val="Heading 4 Char"/>
    <w:link w:val="Heading4"/>
    <w:rPr>
      <w:b/>
      <w:bCs/>
      <w:sz w:val="28"/>
      <w:szCs w:val="28"/>
      <w:lang w:val="en-US"/>
    </w:rPr>
  </w:style>
  <w:style w:type="character" w:customStyle="1" w:styleId="Heading5Char">
    <w:name w:val="Heading 5 Char"/>
    <w:link w:val="Heading5"/>
    <w:rPr>
      <w:rFonts w:ascii="Arial" w:hAnsi="Arial"/>
      <w:b/>
      <w:bCs/>
      <w:i/>
      <w:iCs/>
      <w:sz w:val="26"/>
      <w:szCs w:val="26"/>
      <w:lang w:val="en-US"/>
    </w:rPr>
  </w:style>
  <w:style w:type="character" w:customStyle="1" w:styleId="Heading6Char">
    <w:name w:val="Heading 6 Char"/>
    <w:link w:val="Heading6"/>
    <w:rPr>
      <w:b/>
      <w:bCs/>
      <w:sz w:val="22"/>
      <w:szCs w:val="22"/>
      <w:lang w:val="en-US"/>
    </w:rPr>
  </w:style>
  <w:style w:type="character" w:customStyle="1" w:styleId="Heading7Char">
    <w:name w:val="Heading 7 Char"/>
    <w:link w:val="Heading7"/>
    <w:rPr>
      <w:sz w:val="24"/>
      <w:szCs w:val="24"/>
      <w:lang w:val="en-US" w:eastAsia="x-none"/>
    </w:rPr>
  </w:style>
  <w:style w:type="character" w:customStyle="1" w:styleId="Heading8Char">
    <w:name w:val="Heading 8 Char"/>
    <w:link w:val="Heading8"/>
    <w:rPr>
      <w:i/>
      <w:iCs/>
      <w:sz w:val="24"/>
      <w:szCs w:val="24"/>
      <w:lang w:val="en-US" w:eastAsia="x-none"/>
    </w:rPr>
  </w:style>
  <w:style w:type="character" w:customStyle="1" w:styleId="Heading9Char">
    <w:name w:val="Heading 9 Char"/>
    <w:link w:val="Heading9"/>
    <w:rPr>
      <w:rFonts w:ascii="Arial" w:hAnsi="Arial"/>
      <w:sz w:val="22"/>
      <w:szCs w:val="22"/>
      <w:lang w:val="en-US" w:eastAsia="x-none"/>
    </w:rPr>
  </w:style>
  <w:style w:type="character" w:customStyle="1" w:styleId="BalloonTextChar">
    <w:name w:val="Balloon Text Char"/>
    <w:link w:val="BalloonText"/>
    <w:rPr>
      <w:rFonts w:ascii="Tahoma" w:hAnsi="Tahoma" w:cs="Tahoma"/>
      <w:sz w:val="16"/>
      <w:szCs w:val="16"/>
    </w:rPr>
  </w:style>
  <w:style w:type="paragraph" w:styleId="Caption">
    <w:name w:val="caption"/>
    <w:basedOn w:val="Normal"/>
    <w:next w:val="Normal"/>
    <w:qFormat/>
    <w:pPr>
      <w:widowControl/>
      <w:autoSpaceDE/>
      <w:autoSpaceDN/>
      <w:adjustRightInd/>
      <w:spacing w:before="120" w:after="120" w:line="276" w:lineRule="auto"/>
    </w:pPr>
    <w:rPr>
      <w:b/>
      <w:szCs w:val="20"/>
      <w:lang w:val="en-GB"/>
    </w:rPr>
  </w:style>
  <w:style w:type="character" w:customStyle="1" w:styleId="CommentTextChar">
    <w:name w:val="Comment Text Char"/>
    <w:link w:val="CommentText"/>
    <w:semiHidden/>
    <w:rPr>
      <w:rFonts w:ascii="Arial" w:hAnsi="Arial"/>
    </w:rPr>
  </w:style>
  <w:style w:type="paragraph" w:styleId="CommentText">
    <w:name w:val="annotation text"/>
    <w:basedOn w:val="Normal"/>
    <w:link w:val="CommentTextChar"/>
    <w:semiHidden/>
    <w:pPr>
      <w:widowControl/>
      <w:autoSpaceDE/>
      <w:autoSpaceDN/>
      <w:adjustRightInd/>
      <w:spacing w:line="276" w:lineRule="auto"/>
    </w:pPr>
    <w:rPr>
      <w:szCs w:val="20"/>
      <w:lang w:val="x-none" w:eastAsia="x-none"/>
    </w:rPr>
  </w:style>
  <w:style w:type="character" w:customStyle="1" w:styleId="CommentTextChar1">
    <w:name w:val="Comment Text Char1"/>
    <w:uiPriority w:val="99"/>
    <w:semiHidden/>
    <w:rPr>
      <w:rFonts w:ascii="Arial" w:hAnsi="Arial"/>
      <w:sz w:val="24"/>
      <w:szCs w:val="24"/>
      <w:lang w:val="en-US"/>
    </w:rPr>
  </w:style>
  <w:style w:type="character" w:customStyle="1" w:styleId="DateChar">
    <w:name w:val="Date Char"/>
    <w:link w:val="Date"/>
    <w:rPr>
      <w:noProof/>
      <w:sz w:val="22"/>
      <w:szCs w:val="24"/>
      <w:lang w:val="en-US"/>
    </w:rPr>
  </w:style>
  <w:style w:type="character" w:customStyle="1" w:styleId="DocumentMapChar">
    <w:name w:val="Document Map Char"/>
    <w:link w:val="DocumentMap"/>
    <w:rPr>
      <w:rFonts w:ascii="Tahoma" w:hAnsi="Tahoma" w:cs="Tahoma"/>
      <w:szCs w:val="24"/>
      <w:shd w:val="clear" w:color="auto" w:fill="000080"/>
      <w:lang w:val="en-US"/>
    </w:rPr>
  </w:style>
  <w:style w:type="character" w:customStyle="1" w:styleId="EndnoteTextChar">
    <w:name w:val="Endnote Text Char"/>
    <w:link w:val="EndnoteText"/>
    <w:semiHidden/>
    <w:rPr>
      <w:rFonts w:ascii="Arial" w:hAnsi="Arial"/>
      <w:sz w:val="18"/>
    </w:rPr>
  </w:style>
  <w:style w:type="paragraph" w:styleId="EndnoteText">
    <w:name w:val="endnote text"/>
    <w:basedOn w:val="Normal"/>
    <w:link w:val="EndnoteTextChar"/>
    <w:semiHidden/>
    <w:pPr>
      <w:widowControl/>
      <w:tabs>
        <w:tab w:val="left" w:pos="720"/>
      </w:tabs>
      <w:autoSpaceDE/>
      <w:autoSpaceDN/>
      <w:adjustRightInd/>
      <w:spacing w:line="276" w:lineRule="auto"/>
    </w:pPr>
    <w:rPr>
      <w:sz w:val="18"/>
      <w:szCs w:val="20"/>
      <w:lang w:val="x-none" w:eastAsia="x-none"/>
    </w:rPr>
  </w:style>
  <w:style w:type="character" w:customStyle="1" w:styleId="EndnoteTextChar1">
    <w:name w:val="Endnote Text Char1"/>
    <w:uiPriority w:val="99"/>
    <w:semiHidden/>
    <w:rPr>
      <w:rFonts w:ascii="Arial" w:hAnsi="Arial"/>
      <w:sz w:val="24"/>
      <w:szCs w:val="24"/>
      <w:lang w:val="en-US"/>
    </w:rPr>
  </w:style>
  <w:style w:type="paragraph" w:styleId="EnvelopeAddress">
    <w:name w:val="envelope address"/>
    <w:basedOn w:val="Normal"/>
    <w:pPr>
      <w:framePr w:w="7920" w:h="1980" w:hRule="exact" w:hSpace="180" w:wrap="auto" w:hAnchor="page" w:xAlign="center" w:yAlign="bottom"/>
      <w:widowControl/>
      <w:autoSpaceDE/>
      <w:autoSpaceDN/>
      <w:adjustRightInd/>
      <w:spacing w:line="276" w:lineRule="auto"/>
      <w:ind w:left="2880"/>
    </w:pPr>
    <w:rPr>
      <w:sz w:val="24"/>
      <w:szCs w:val="20"/>
      <w:lang w:val="en-GB"/>
    </w:rPr>
  </w:style>
  <w:style w:type="paragraph" w:styleId="EnvelopeReturn">
    <w:name w:val="envelope return"/>
    <w:basedOn w:val="Normal"/>
    <w:pPr>
      <w:widowControl/>
      <w:autoSpaceDE/>
      <w:autoSpaceDN/>
      <w:adjustRightInd/>
      <w:spacing w:line="276" w:lineRule="auto"/>
    </w:pPr>
    <w:rPr>
      <w:szCs w:val="20"/>
      <w:lang w:val="en-GB"/>
    </w:rPr>
  </w:style>
  <w:style w:type="character" w:customStyle="1" w:styleId="FooterChar">
    <w:name w:val="Footer Char"/>
    <w:link w:val="Footer"/>
    <w:rPr>
      <w:rFonts w:ascii="Arial" w:hAnsi="Arial"/>
      <w:szCs w:val="24"/>
      <w:lang w:val="en-US"/>
    </w:rPr>
  </w:style>
  <w:style w:type="character" w:customStyle="1" w:styleId="HeaderChar">
    <w:name w:val="Header Char"/>
    <w:link w:val="Header"/>
    <w:rPr>
      <w:rFonts w:ascii="Arial" w:hAnsi="Arial"/>
      <w:szCs w:val="24"/>
      <w:lang w:val="en-US"/>
    </w:rPr>
  </w:style>
  <w:style w:type="character" w:styleId="LineNumber">
    <w:name w:val="line number"/>
    <w:basedOn w:val="DefaultParagraphFont"/>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character" w:customStyle="1" w:styleId="MacroTextChar">
    <w:name w:val="Macro Text Char"/>
    <w:link w:val="MacroText"/>
    <w:semiHidden/>
    <w:rPr>
      <w:rFonts w:ascii="Courier New" w:hAnsi="Courier New"/>
      <w:lang w:val="en-GB" w:eastAsia="en-US" w:bidi="ar-SA"/>
    </w:rPr>
  </w:style>
  <w:style w:type="paragraph" w:styleId="MessageHeader">
    <w:name w:val="Message Header"/>
    <w:basedOn w:val="Normal"/>
    <w:link w:val="MessageHeaderChar"/>
    <w:pPr>
      <w:widowControl/>
      <w:pBdr>
        <w:top w:val="single" w:sz="6" w:space="1" w:color="auto"/>
        <w:left w:val="single" w:sz="6" w:space="1" w:color="auto"/>
        <w:bottom w:val="single" w:sz="6" w:space="1" w:color="auto"/>
        <w:right w:val="single" w:sz="6" w:space="1" w:color="auto"/>
      </w:pBdr>
      <w:shd w:val="pct20" w:color="auto" w:fill="auto"/>
      <w:autoSpaceDE/>
      <w:autoSpaceDN/>
      <w:adjustRightInd/>
      <w:spacing w:line="276" w:lineRule="auto"/>
      <w:ind w:left="1134" w:hanging="1134"/>
    </w:pPr>
    <w:rPr>
      <w:sz w:val="24"/>
      <w:szCs w:val="20"/>
      <w:lang w:val="x-none" w:eastAsia="x-none"/>
    </w:rPr>
  </w:style>
  <w:style w:type="character" w:customStyle="1" w:styleId="MessageHeaderChar">
    <w:name w:val="Message Header Char"/>
    <w:link w:val="MessageHeader"/>
    <w:rPr>
      <w:rFonts w:ascii="Arial" w:hAnsi="Arial"/>
      <w:sz w:val="24"/>
      <w:shd w:val="pct20" w:color="auto" w:fill="auto"/>
    </w:rPr>
  </w:style>
  <w:style w:type="paragraph" w:styleId="PlainText">
    <w:name w:val="Plain Text"/>
    <w:basedOn w:val="Normal"/>
    <w:link w:val="PlainTextChar"/>
    <w:pPr>
      <w:widowControl/>
      <w:autoSpaceDE/>
      <w:autoSpaceDN/>
      <w:adjustRightInd/>
      <w:spacing w:line="276" w:lineRule="auto"/>
    </w:pPr>
    <w:rPr>
      <w:rFonts w:ascii="Courier New" w:hAnsi="Courier New"/>
      <w:szCs w:val="20"/>
      <w:lang w:val="x-none" w:eastAsia="x-none"/>
    </w:rPr>
  </w:style>
  <w:style w:type="character" w:customStyle="1" w:styleId="PlainTextChar">
    <w:name w:val="Plain Text Char"/>
    <w:link w:val="PlainText"/>
    <w:rPr>
      <w:rFonts w:ascii="Courier New" w:hAnsi="Courier New"/>
    </w:rPr>
  </w:style>
  <w:style w:type="character" w:styleId="Strong">
    <w:name w:val="Strong"/>
    <w:qFormat/>
    <w:rPr>
      <w:b/>
    </w:rPr>
  </w:style>
  <w:style w:type="paragraph" w:styleId="Subtitle">
    <w:name w:val="Subtitle"/>
    <w:basedOn w:val="Normal"/>
    <w:link w:val="SubtitleChar"/>
    <w:qFormat/>
    <w:pPr>
      <w:widowControl/>
      <w:autoSpaceDE/>
      <w:autoSpaceDN/>
      <w:adjustRightInd/>
      <w:spacing w:after="60" w:line="276" w:lineRule="auto"/>
      <w:jc w:val="center"/>
      <w:outlineLvl w:val="1"/>
    </w:pPr>
    <w:rPr>
      <w:sz w:val="24"/>
      <w:szCs w:val="20"/>
      <w:lang w:val="x-none" w:eastAsia="x-none"/>
    </w:rPr>
  </w:style>
  <w:style w:type="character" w:customStyle="1" w:styleId="SubtitleChar">
    <w:name w:val="Subtitle Char"/>
    <w:link w:val="Subtitle"/>
    <w:rPr>
      <w:rFonts w:ascii="Arial" w:hAnsi="Arial"/>
      <w:sz w:val="24"/>
    </w:rPr>
  </w:style>
  <w:style w:type="paragraph" w:styleId="Title">
    <w:name w:val="Title"/>
    <w:basedOn w:val="Normal"/>
    <w:link w:val="TitleChar"/>
    <w:qFormat/>
    <w:pPr>
      <w:widowControl/>
      <w:autoSpaceDE/>
      <w:autoSpaceDN/>
      <w:adjustRightInd/>
      <w:spacing w:before="240" w:after="60" w:line="276" w:lineRule="auto"/>
      <w:jc w:val="center"/>
      <w:outlineLvl w:val="0"/>
    </w:pPr>
    <w:rPr>
      <w:b/>
      <w:kern w:val="28"/>
      <w:sz w:val="32"/>
      <w:szCs w:val="20"/>
      <w:lang w:val="x-none" w:eastAsia="x-none"/>
    </w:rPr>
  </w:style>
  <w:style w:type="character" w:customStyle="1" w:styleId="TitleChar">
    <w:name w:val="Title Char"/>
    <w:link w:val="Title"/>
    <w:rPr>
      <w:rFonts w:ascii="Arial" w:hAnsi="Arial"/>
      <w:b/>
      <w:kern w:val="28"/>
      <w:sz w:val="32"/>
    </w:rPr>
  </w:style>
  <w:style w:type="paragraph" w:customStyle="1" w:styleId="Level2">
    <w:name w:val="Level 2"/>
    <w:basedOn w:val="Normal"/>
    <w:pPr>
      <w:widowControl/>
      <w:tabs>
        <w:tab w:val="num" w:pos="720"/>
        <w:tab w:val="left" w:pos="1440"/>
      </w:tabs>
      <w:autoSpaceDE/>
      <w:autoSpaceDN/>
      <w:adjustRightInd/>
      <w:spacing w:after="220" w:line="276" w:lineRule="auto"/>
      <w:ind w:left="720" w:hanging="720"/>
      <w:outlineLvl w:val="1"/>
    </w:pPr>
    <w:rPr>
      <w:szCs w:val="20"/>
      <w:lang w:val="en-GB"/>
    </w:rPr>
  </w:style>
  <w:style w:type="paragraph" w:customStyle="1" w:styleId="Level3">
    <w:name w:val="Level 3"/>
    <w:basedOn w:val="Normal"/>
    <w:pPr>
      <w:widowControl/>
      <w:tabs>
        <w:tab w:val="num" w:pos="1440"/>
      </w:tabs>
      <w:autoSpaceDE/>
      <w:autoSpaceDN/>
      <w:adjustRightInd/>
      <w:spacing w:after="220" w:line="276" w:lineRule="auto"/>
      <w:ind w:left="1440" w:hanging="720"/>
      <w:outlineLvl w:val="2"/>
    </w:pPr>
    <w:rPr>
      <w:szCs w:val="20"/>
      <w:lang w:val="en-GB"/>
    </w:rPr>
  </w:style>
  <w:style w:type="paragraph" w:customStyle="1" w:styleId="Level4">
    <w:name w:val="Level 4"/>
    <w:basedOn w:val="Normal"/>
    <w:pPr>
      <w:widowControl/>
      <w:tabs>
        <w:tab w:val="num" w:pos="2347"/>
      </w:tabs>
      <w:autoSpaceDE/>
      <w:autoSpaceDN/>
      <w:adjustRightInd/>
      <w:spacing w:after="220" w:line="276" w:lineRule="auto"/>
      <w:ind w:left="2347" w:hanging="907"/>
      <w:outlineLvl w:val="3"/>
    </w:pPr>
    <w:rPr>
      <w:szCs w:val="20"/>
      <w:lang w:val="en-GB"/>
    </w:rPr>
  </w:style>
  <w:style w:type="character" w:customStyle="1" w:styleId="BodyTextIndent2Char">
    <w:name w:val="Body Text Indent 2 Char"/>
    <w:link w:val="BodyTextIndent2"/>
    <w:rPr>
      <w:rFonts w:ascii="Arial" w:hAnsi="Arial"/>
    </w:rPr>
  </w:style>
  <w:style w:type="paragraph" w:customStyle="1" w:styleId="Definition">
    <w:name w:val="Definition"/>
    <w:basedOn w:val="BodyText"/>
    <w:pPr>
      <w:numPr>
        <w:numId w:val="14"/>
      </w:numPr>
      <w:tabs>
        <w:tab w:val="clear" w:pos="900"/>
      </w:tabs>
      <w:autoSpaceDE/>
      <w:autoSpaceDN/>
      <w:adjustRightInd/>
      <w:spacing w:after="240" w:line="276" w:lineRule="auto"/>
    </w:pPr>
    <w:rPr>
      <w:rFonts w:ascii="Arial" w:hAnsi="Arial"/>
      <w:color w:val="auto"/>
      <w:sz w:val="20"/>
      <w:szCs w:val="20"/>
      <w:lang w:val="en-GB"/>
    </w:rPr>
  </w:style>
  <w:style w:type="paragraph" w:customStyle="1" w:styleId="Definitiona">
    <w:name w:val="Definition (a)"/>
    <w:basedOn w:val="BodyText"/>
    <w:pPr>
      <w:numPr>
        <w:ilvl w:val="1"/>
        <w:numId w:val="14"/>
      </w:numPr>
      <w:tabs>
        <w:tab w:val="clear" w:pos="900"/>
      </w:tabs>
      <w:autoSpaceDE/>
      <w:autoSpaceDN/>
      <w:adjustRightInd/>
      <w:spacing w:after="240" w:line="276" w:lineRule="auto"/>
    </w:pPr>
    <w:rPr>
      <w:rFonts w:ascii="Arial" w:hAnsi="Arial"/>
      <w:color w:val="auto"/>
      <w:sz w:val="20"/>
      <w:szCs w:val="20"/>
      <w:lang w:val="en-GB"/>
    </w:rPr>
  </w:style>
  <w:style w:type="paragraph" w:customStyle="1" w:styleId="Definitioni">
    <w:name w:val="Definition (i)"/>
    <w:basedOn w:val="BodyText"/>
    <w:pPr>
      <w:numPr>
        <w:ilvl w:val="2"/>
        <w:numId w:val="14"/>
      </w:numPr>
      <w:tabs>
        <w:tab w:val="clear" w:pos="900"/>
      </w:tabs>
      <w:autoSpaceDE/>
      <w:autoSpaceDN/>
      <w:adjustRightInd/>
      <w:spacing w:after="240" w:line="276" w:lineRule="auto"/>
    </w:pPr>
    <w:rPr>
      <w:rFonts w:ascii="Arial" w:hAnsi="Arial"/>
      <w:color w:val="auto"/>
      <w:sz w:val="20"/>
      <w:szCs w:val="20"/>
      <w:lang w:val="en-GB"/>
    </w:rPr>
  </w:style>
  <w:style w:type="paragraph" w:customStyle="1" w:styleId="Firm">
    <w:name w:val="Firm"/>
    <w:basedOn w:val="Normal"/>
    <w:pPr>
      <w:widowControl/>
      <w:autoSpaceDE/>
      <w:autoSpaceDN/>
      <w:adjustRightInd/>
      <w:spacing w:line="276" w:lineRule="auto"/>
    </w:pPr>
    <w:rPr>
      <w:sz w:val="14"/>
      <w:szCs w:val="20"/>
      <w:lang w:val="en-GB"/>
    </w:rPr>
  </w:style>
  <w:style w:type="paragraph" w:styleId="NormalWeb">
    <w:name w:val="Normal (Web)"/>
    <w:basedOn w:val="Normal"/>
    <w:uiPriority w:val="99"/>
    <w:pPr>
      <w:widowControl/>
      <w:autoSpaceDE/>
      <w:autoSpaceDN/>
      <w:adjustRightInd/>
      <w:spacing w:beforeLines="1" w:afterLines="1"/>
    </w:pPr>
    <w:rPr>
      <w:rFonts w:ascii="Times" w:eastAsia="Cambria" w:hAnsi="Times"/>
      <w:szCs w:val="20"/>
      <w:lang w:val="en-GB"/>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widowControl w:val="0"/>
      <w:autoSpaceDE w:val="0"/>
      <w:autoSpaceDN w:val="0"/>
      <w:adjustRightInd w:val="0"/>
      <w:spacing w:line="240" w:lineRule="auto"/>
    </w:pPr>
    <w:rPr>
      <w:b/>
      <w:bCs/>
      <w:lang w:val="en-US" w:eastAsia="en-US"/>
    </w:rPr>
  </w:style>
  <w:style w:type="character" w:customStyle="1" w:styleId="CommentSubjectChar">
    <w:name w:val="Comment Subject Char"/>
    <w:link w:val="CommentSubject"/>
    <w:uiPriority w:val="99"/>
    <w:semiHidden/>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9E100-F7B0-4F33-8267-427C6C1D8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3312</Words>
  <Characters>25272</Characters>
  <Application>Microsoft Office Word</Application>
  <DocSecurity>0</DocSecurity>
  <Lines>443</Lines>
  <Paragraphs>234</Paragraphs>
  <ScaleCrop>false</ScaleCrop>
  <HeadingPairs>
    <vt:vector size="2" baseType="variant">
      <vt:variant>
        <vt:lpstr>Title</vt:lpstr>
      </vt:variant>
      <vt:variant>
        <vt:i4>1</vt:i4>
      </vt:variant>
    </vt:vector>
  </HeadingPairs>
  <TitlesOfParts>
    <vt:vector size="1" baseType="lpstr">
      <vt:lpstr>63521674.01</vt:lpstr>
    </vt:vector>
  </TitlesOfParts>
  <Company>Transco</Company>
  <LinksUpToDate>false</LinksUpToDate>
  <CharactersWithSpaces>28350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63521674.01</dc:title>
  <dc:subject/>
  <dc:creator>Netcode</dc:creator>
  <cp:keywords/>
  <dc:description>CWCW/DBT/053191.00092/63521674.01</dc:description>
  <cp:lastModifiedBy>Dentons 2)</cp:lastModifiedBy>
  <cp:revision>6</cp:revision>
  <cp:lastPrinted>2018-05-08T08:39:00Z</cp:lastPrinted>
  <dcterms:created xsi:type="dcterms:W3CDTF">2019-02-25T16:45:00Z</dcterms:created>
  <dcterms:modified xsi:type="dcterms:W3CDTF">2019-04-02T08:03:00Z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053191.00092</vt:lpwstr>
  </property>
  <property fmtid="{D5CDD505-2E9C-101B-9397-08002B2CF9AE}" pid="3" name="DocumentNumber">
    <vt:lpwstr>63521674.01</vt:lpwstr>
  </property>
  <property fmtid="{D5CDD505-2E9C-101B-9397-08002B2CF9AE}" pid="4" name="OurRef">
    <vt:lpwstr>CWCW/DBT/053191.00092</vt:lpwstr>
  </property>
</Properties>
</file>