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64D46" w14:textId="136207CF" w:rsidR="007D4F26" w:rsidRDefault="007A113D" w:rsidP="007A113D">
      <w:pPr>
        <w:pStyle w:val="Title"/>
        <w:jc w:val="center"/>
      </w:pPr>
      <w:bookmarkStart w:id="0" w:name="_GoBack"/>
      <w:bookmarkEnd w:id="0"/>
      <w:r>
        <w:t>DSC Evaluation Quotation Report (EQR)</w:t>
      </w:r>
    </w:p>
    <w:p w14:paraId="67EBF7C3" w14:textId="32D253B6" w:rsidR="007A113D" w:rsidRDefault="007A113D" w:rsidP="00D66C7E">
      <w:r>
        <w:rPr>
          <w:noProof/>
        </w:rPr>
        <w:drawing>
          <wp:anchor distT="0" distB="0" distL="114300" distR="114300" simplePos="0" relativeHeight="251678720" behindDoc="0" locked="0" layoutInCell="1" allowOverlap="1" wp14:anchorId="2DA64D8B" wp14:editId="7FE405E2">
            <wp:simplePos x="0" y="0"/>
            <wp:positionH relativeFrom="column">
              <wp:posOffset>723900</wp:posOffset>
            </wp:positionH>
            <wp:positionV relativeFrom="paragraph">
              <wp:posOffset>22225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CDB17" w14:textId="77777777" w:rsidR="007A113D" w:rsidRDefault="007A113D" w:rsidP="00D66C7E"/>
    <w:p w14:paraId="20498AEC" w14:textId="77777777" w:rsidR="007A113D" w:rsidRDefault="007A113D" w:rsidP="007A113D">
      <w:pPr>
        <w:pStyle w:val="NoSpacing"/>
      </w:pPr>
    </w:p>
    <w:tbl>
      <w:tblPr>
        <w:tblStyle w:val="TableGrid1"/>
        <w:tblW w:w="559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841"/>
        <w:gridCol w:w="206"/>
        <w:gridCol w:w="139"/>
        <w:gridCol w:w="4908"/>
      </w:tblGrid>
      <w:tr w:rsidR="007A113D" w:rsidRPr="007A113D" w14:paraId="5ABAD362" w14:textId="77777777" w:rsidTr="00514B8E">
        <w:tc>
          <w:tcPr>
            <w:tcW w:w="2398" w:type="pct"/>
            <w:shd w:val="clear" w:color="auto" w:fill="FFFFFF" w:themeFill="background1"/>
            <w:vAlign w:val="center"/>
          </w:tcPr>
          <w:p w14:paraId="2A26334B" w14:textId="77777777" w:rsidR="007A113D" w:rsidRPr="007A113D" w:rsidRDefault="007A113D" w:rsidP="007A113D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7A113D">
              <w:rPr>
                <w:rFonts w:eastAsia="Times New Roman"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2602" w:type="pct"/>
            <w:gridSpan w:val="3"/>
          </w:tcPr>
          <w:p w14:paraId="168A8270" w14:textId="5CBF45C0" w:rsidR="007A113D" w:rsidRPr="007A113D" w:rsidRDefault="00436A9A" w:rsidP="007A113D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UK</w:t>
            </w:r>
            <w:r w:rsidR="003F7B86"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</w:rPr>
              <w:t xml:space="preserve">Link </w:t>
            </w:r>
            <w:r w:rsidR="004A213D">
              <w:rPr>
                <w:rFonts w:eastAsia="Times New Roman" w:cs="Arial"/>
                <w:sz w:val="20"/>
                <w:szCs w:val="20"/>
              </w:rPr>
              <w:t>June</w:t>
            </w:r>
            <w:r w:rsidR="0046194E">
              <w:rPr>
                <w:rFonts w:eastAsia="Times New Roman" w:cs="Arial"/>
                <w:sz w:val="20"/>
                <w:szCs w:val="20"/>
              </w:rPr>
              <w:t xml:space="preserve"> 202</w:t>
            </w:r>
            <w:r w:rsidR="0009211B">
              <w:rPr>
                <w:rFonts w:eastAsia="Times New Roman" w:cs="Arial"/>
                <w:sz w:val="20"/>
                <w:szCs w:val="20"/>
              </w:rPr>
              <w:t>1</w:t>
            </w:r>
            <w:r w:rsidR="0046194E">
              <w:rPr>
                <w:rFonts w:eastAsia="Times New Roman" w:cs="Arial"/>
                <w:sz w:val="20"/>
                <w:szCs w:val="20"/>
              </w:rPr>
              <w:t xml:space="preserve"> Major Release</w:t>
            </w:r>
          </w:p>
        </w:tc>
      </w:tr>
      <w:tr w:rsidR="007A113D" w:rsidRPr="007A113D" w14:paraId="1D03C980" w14:textId="77777777" w:rsidTr="00514B8E">
        <w:tc>
          <w:tcPr>
            <w:tcW w:w="2398" w:type="pct"/>
            <w:shd w:val="clear" w:color="auto" w:fill="FFFFFF" w:themeFill="background1"/>
            <w:vAlign w:val="center"/>
          </w:tcPr>
          <w:p w14:paraId="4C4C487E" w14:textId="77777777" w:rsidR="007A113D" w:rsidRPr="007A113D" w:rsidRDefault="007A113D" w:rsidP="007A113D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7A113D">
              <w:rPr>
                <w:rFonts w:eastAsia="Times New Roman" w:cs="Arial"/>
                <w:b/>
                <w:sz w:val="20"/>
                <w:szCs w:val="16"/>
              </w:rPr>
              <w:t>Change reference number (XRN)</w:t>
            </w:r>
          </w:p>
        </w:tc>
        <w:tc>
          <w:tcPr>
            <w:tcW w:w="2602" w:type="pct"/>
            <w:gridSpan w:val="3"/>
          </w:tcPr>
          <w:p w14:paraId="2585E736" w14:textId="2A8B355C" w:rsidR="007A113D" w:rsidRPr="007A113D" w:rsidRDefault="0009211B" w:rsidP="007A113D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tbc</w:t>
            </w:r>
          </w:p>
        </w:tc>
      </w:tr>
      <w:tr w:rsidR="007A113D" w:rsidRPr="007A113D" w14:paraId="597FAE96" w14:textId="77777777" w:rsidTr="00514B8E">
        <w:tc>
          <w:tcPr>
            <w:tcW w:w="23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5606E5" w14:textId="77777777" w:rsidR="007A113D" w:rsidRPr="007A113D" w:rsidRDefault="007A113D" w:rsidP="007A113D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7A113D">
              <w:rPr>
                <w:rFonts w:eastAsia="Times New Roman" w:cs="Arial"/>
                <w:b/>
                <w:sz w:val="20"/>
                <w:szCs w:val="16"/>
              </w:rPr>
              <w:t xml:space="preserve">Xoserve Project Manager  </w:t>
            </w:r>
          </w:p>
        </w:tc>
        <w:tc>
          <w:tcPr>
            <w:tcW w:w="2602" w:type="pct"/>
            <w:gridSpan w:val="3"/>
            <w:tcBorders>
              <w:bottom w:val="single" w:sz="4" w:space="0" w:color="auto"/>
            </w:tcBorders>
          </w:tcPr>
          <w:p w14:paraId="40535F66" w14:textId="05615959" w:rsidR="007A113D" w:rsidRPr="007A113D" w:rsidRDefault="0046194E" w:rsidP="007A113D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Richard Hadfield</w:t>
            </w:r>
          </w:p>
        </w:tc>
      </w:tr>
      <w:tr w:rsidR="007A113D" w:rsidRPr="007A113D" w14:paraId="4599B898" w14:textId="77777777" w:rsidTr="00514B8E">
        <w:tc>
          <w:tcPr>
            <w:tcW w:w="23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5984DD" w14:textId="77777777" w:rsidR="007A113D" w:rsidRPr="007A113D" w:rsidRDefault="007A113D" w:rsidP="007A113D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7A113D">
              <w:rPr>
                <w:rFonts w:eastAsia="Times New Roman" w:cs="Arial"/>
                <w:b/>
                <w:sz w:val="20"/>
                <w:szCs w:val="16"/>
              </w:rPr>
              <w:t>Email address</w:t>
            </w:r>
          </w:p>
        </w:tc>
        <w:tc>
          <w:tcPr>
            <w:tcW w:w="2602" w:type="pct"/>
            <w:gridSpan w:val="3"/>
            <w:tcBorders>
              <w:bottom w:val="single" w:sz="4" w:space="0" w:color="auto"/>
            </w:tcBorders>
          </w:tcPr>
          <w:p w14:paraId="0F4AD9FF" w14:textId="79548169" w:rsidR="007A113D" w:rsidRPr="007A113D" w:rsidRDefault="0046194E" w:rsidP="007A113D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richard.hadfield@xoserve.com</w:t>
            </w:r>
          </w:p>
        </w:tc>
      </w:tr>
      <w:tr w:rsidR="007A113D" w:rsidRPr="007A113D" w14:paraId="11745D87" w14:textId="77777777" w:rsidTr="00514B8E">
        <w:tc>
          <w:tcPr>
            <w:tcW w:w="23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4B7876" w14:textId="77777777" w:rsidR="007A113D" w:rsidRPr="007A113D" w:rsidRDefault="007A113D" w:rsidP="007A113D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7A113D">
              <w:rPr>
                <w:rFonts w:eastAsia="Times New Roman" w:cs="Arial"/>
                <w:b/>
                <w:sz w:val="20"/>
                <w:szCs w:val="16"/>
              </w:rPr>
              <w:t>Contact number</w:t>
            </w:r>
          </w:p>
        </w:tc>
        <w:tc>
          <w:tcPr>
            <w:tcW w:w="2602" w:type="pct"/>
            <w:gridSpan w:val="3"/>
            <w:tcBorders>
              <w:bottom w:val="single" w:sz="4" w:space="0" w:color="auto"/>
            </w:tcBorders>
          </w:tcPr>
          <w:p w14:paraId="2B590728" w14:textId="5A18905C" w:rsidR="007A113D" w:rsidRPr="007A113D" w:rsidRDefault="009658AB" w:rsidP="007A113D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(</w:t>
            </w:r>
            <w:r w:rsidR="0046194E">
              <w:rPr>
                <w:rFonts w:eastAsia="Times New Roman" w:cs="Arial"/>
                <w:sz w:val="20"/>
                <w:szCs w:val="20"/>
              </w:rPr>
              <w:t>0121</w:t>
            </w:r>
            <w:r>
              <w:rPr>
                <w:rFonts w:eastAsia="Times New Roman" w:cs="Arial"/>
                <w:sz w:val="20"/>
                <w:szCs w:val="20"/>
              </w:rPr>
              <w:t>)</w:t>
            </w:r>
            <w:r w:rsidR="0046194E">
              <w:rPr>
                <w:rFonts w:eastAsia="Times New Roman" w:cs="Arial"/>
                <w:sz w:val="20"/>
                <w:szCs w:val="20"/>
              </w:rPr>
              <w:t>4074736</w:t>
            </w:r>
          </w:p>
        </w:tc>
      </w:tr>
      <w:tr w:rsidR="007A113D" w:rsidRPr="007A113D" w14:paraId="7521F4A3" w14:textId="77777777" w:rsidTr="00514B8E">
        <w:tc>
          <w:tcPr>
            <w:tcW w:w="23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34CF46" w14:textId="77777777" w:rsidR="007A113D" w:rsidRPr="007A113D" w:rsidRDefault="007A113D" w:rsidP="007A113D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7A113D">
              <w:rPr>
                <w:rFonts w:eastAsia="Times New Roman" w:cs="Arial"/>
                <w:b/>
                <w:sz w:val="20"/>
                <w:szCs w:val="16"/>
              </w:rPr>
              <w:t>Target Change Management Committee date</w:t>
            </w:r>
          </w:p>
        </w:tc>
        <w:tc>
          <w:tcPr>
            <w:tcW w:w="2602" w:type="pct"/>
            <w:gridSpan w:val="3"/>
            <w:tcBorders>
              <w:bottom w:val="single" w:sz="4" w:space="0" w:color="auto"/>
            </w:tcBorders>
          </w:tcPr>
          <w:p w14:paraId="5D0071FE" w14:textId="187D7E63" w:rsidR="007A113D" w:rsidRPr="007A113D" w:rsidRDefault="0017550E" w:rsidP="007A113D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</w:t>
            </w:r>
            <w:r w:rsidR="0009211B">
              <w:rPr>
                <w:rFonts w:eastAsia="Times New Roman" w:cs="Arial"/>
                <w:sz w:val="20"/>
                <w:szCs w:val="20"/>
              </w:rPr>
              <w:t>3</w:t>
            </w:r>
            <w:r>
              <w:rPr>
                <w:rFonts w:eastAsia="Times New Roman" w:cs="Arial"/>
                <w:sz w:val="20"/>
                <w:szCs w:val="20"/>
              </w:rPr>
              <w:t>/0</w:t>
            </w:r>
            <w:r w:rsidR="0009211B">
              <w:rPr>
                <w:rFonts w:eastAsia="Times New Roman" w:cs="Arial"/>
                <w:sz w:val="20"/>
                <w:szCs w:val="20"/>
              </w:rPr>
              <w:t>8</w:t>
            </w:r>
            <w:r>
              <w:rPr>
                <w:rFonts w:eastAsia="Times New Roman" w:cs="Arial"/>
                <w:sz w:val="20"/>
                <w:szCs w:val="20"/>
              </w:rPr>
              <w:t>/2020</w:t>
            </w:r>
          </w:p>
        </w:tc>
      </w:tr>
      <w:tr w:rsidR="007A113D" w:rsidRPr="007A113D" w14:paraId="197F5554" w14:textId="77777777" w:rsidTr="00514B8E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32B3097A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A113D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t>Section 1: Scope of EQR</w:t>
            </w:r>
          </w:p>
        </w:tc>
      </w:tr>
      <w:tr w:rsidR="007A113D" w:rsidRPr="007A113D" w14:paraId="5BF0CC59" w14:textId="77777777" w:rsidTr="00514B8E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53C0777" w14:textId="7F731287" w:rsidR="0031497F" w:rsidRPr="00ED38E9" w:rsidRDefault="0031497F" w:rsidP="0031497F">
            <w:pPr>
              <w:contextualSpacing/>
              <w:rPr>
                <w:rFonts w:eastAsia="Times New Roman" w:cs="Arial"/>
                <w:sz w:val="20"/>
                <w:szCs w:val="20"/>
              </w:rPr>
            </w:pPr>
            <w:r w:rsidRPr="00ED38E9">
              <w:rPr>
                <w:rFonts w:eastAsia="Times New Roman" w:cs="Arial"/>
                <w:sz w:val="20"/>
                <w:szCs w:val="20"/>
              </w:rPr>
              <w:t xml:space="preserve">The </w:t>
            </w:r>
            <w:r w:rsidR="00D608A2">
              <w:rPr>
                <w:rFonts w:eastAsia="Times New Roman" w:cs="Arial"/>
                <w:sz w:val="20"/>
                <w:szCs w:val="20"/>
              </w:rPr>
              <w:t xml:space="preserve">initial </w:t>
            </w:r>
            <w:r w:rsidRPr="00ED38E9">
              <w:rPr>
                <w:rFonts w:eastAsia="Times New Roman" w:cs="Arial"/>
                <w:sz w:val="20"/>
                <w:szCs w:val="20"/>
              </w:rPr>
              <w:t xml:space="preserve">scope of the </w:t>
            </w:r>
            <w:r w:rsidR="0009211B">
              <w:rPr>
                <w:rFonts w:eastAsia="Times New Roman" w:cs="Arial"/>
                <w:sz w:val="20"/>
                <w:szCs w:val="20"/>
              </w:rPr>
              <w:t>June</w:t>
            </w:r>
            <w:r w:rsidR="00F167FA">
              <w:rPr>
                <w:rFonts w:eastAsia="Times New Roman" w:cs="Arial"/>
                <w:sz w:val="20"/>
                <w:szCs w:val="20"/>
              </w:rPr>
              <w:t xml:space="preserve"> 202</w:t>
            </w:r>
            <w:r w:rsidR="0009211B">
              <w:rPr>
                <w:rFonts w:eastAsia="Times New Roman" w:cs="Arial"/>
                <w:sz w:val="20"/>
                <w:szCs w:val="20"/>
              </w:rPr>
              <w:t>1</w:t>
            </w:r>
            <w:r w:rsidR="00F167FA">
              <w:rPr>
                <w:rFonts w:eastAsia="Times New Roman" w:cs="Arial"/>
                <w:sz w:val="20"/>
                <w:szCs w:val="20"/>
              </w:rPr>
              <w:t xml:space="preserve"> release consists of</w:t>
            </w:r>
            <w:r w:rsidRPr="00ED38E9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09211B">
              <w:rPr>
                <w:rFonts w:eastAsia="Times New Roman" w:cs="Arial"/>
                <w:sz w:val="20"/>
                <w:szCs w:val="20"/>
              </w:rPr>
              <w:t>4</w:t>
            </w:r>
            <w:r w:rsidRPr="00ED38E9">
              <w:rPr>
                <w:rFonts w:eastAsia="Times New Roman" w:cs="Arial"/>
                <w:sz w:val="20"/>
                <w:szCs w:val="20"/>
              </w:rPr>
              <w:t xml:space="preserve"> changes</w:t>
            </w:r>
            <w:r w:rsidR="004614BF">
              <w:rPr>
                <w:rFonts w:eastAsia="Times New Roman" w:cs="Arial"/>
                <w:sz w:val="20"/>
                <w:szCs w:val="20"/>
              </w:rPr>
              <w:t>:</w:t>
            </w:r>
          </w:p>
          <w:p w14:paraId="0363A2A8" w14:textId="0DF15784" w:rsidR="002A0FE7" w:rsidRPr="003F7B86" w:rsidRDefault="002A0FE7" w:rsidP="003F7B86">
            <w:pPr>
              <w:rPr>
                <w:rFonts w:eastAsia="Times New Roman" w:cs="Arial"/>
                <w:i/>
                <w:sz w:val="20"/>
                <w:szCs w:val="20"/>
              </w:rPr>
            </w:pPr>
          </w:p>
          <w:p w14:paraId="5EB68F52" w14:textId="20E9FA0A" w:rsidR="002A0FE7" w:rsidRDefault="002A0FE7" w:rsidP="0031497F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i/>
                <w:sz w:val="20"/>
                <w:szCs w:val="20"/>
              </w:rPr>
            </w:pPr>
            <w:r>
              <w:rPr>
                <w:rFonts w:eastAsia="Times New Roman" w:cs="Arial"/>
                <w:i/>
                <w:sz w:val="20"/>
                <w:szCs w:val="20"/>
              </w:rPr>
              <w:t>XRN</w:t>
            </w:r>
            <w:r w:rsidR="00FC7E70">
              <w:rPr>
                <w:rFonts w:eastAsia="Times New Roman" w:cs="Arial"/>
                <w:i/>
                <w:sz w:val="20"/>
                <w:szCs w:val="20"/>
              </w:rPr>
              <w:t>4941</w:t>
            </w:r>
            <w:r w:rsidR="00410912">
              <w:rPr>
                <w:rFonts w:eastAsia="Times New Roman" w:cs="Arial"/>
                <w:i/>
                <w:sz w:val="20"/>
                <w:szCs w:val="20"/>
              </w:rPr>
              <w:t xml:space="preserve"> – MOD</w:t>
            </w:r>
            <w:r w:rsidR="00F43D25">
              <w:rPr>
                <w:rFonts w:eastAsia="Times New Roman" w:cs="Arial"/>
                <w:i/>
                <w:sz w:val="20"/>
                <w:szCs w:val="20"/>
              </w:rPr>
              <w:t>0</w:t>
            </w:r>
            <w:r w:rsidR="00410912">
              <w:rPr>
                <w:rFonts w:eastAsia="Times New Roman" w:cs="Arial"/>
                <w:i/>
                <w:sz w:val="20"/>
                <w:szCs w:val="20"/>
              </w:rPr>
              <w:t>692 – Auto updates to meter read frequency</w:t>
            </w:r>
          </w:p>
          <w:p w14:paraId="7877DEAF" w14:textId="65720A33" w:rsidR="00F72C62" w:rsidRPr="004614BF" w:rsidRDefault="002A0FE7" w:rsidP="004614BF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i/>
                <w:sz w:val="20"/>
                <w:szCs w:val="20"/>
              </w:rPr>
            </w:pPr>
            <w:r>
              <w:rPr>
                <w:rFonts w:eastAsia="Times New Roman" w:cs="Arial"/>
                <w:i/>
                <w:sz w:val="20"/>
                <w:szCs w:val="20"/>
              </w:rPr>
              <w:t>XRN</w:t>
            </w:r>
            <w:r w:rsidR="00FC7E70">
              <w:rPr>
                <w:rFonts w:eastAsia="Times New Roman" w:cs="Arial"/>
                <w:i/>
                <w:sz w:val="20"/>
                <w:szCs w:val="20"/>
              </w:rPr>
              <w:t>4992</w:t>
            </w:r>
            <w:r w:rsidR="00717778">
              <w:rPr>
                <w:rFonts w:eastAsia="Times New Roman" w:cs="Arial"/>
                <w:i/>
                <w:sz w:val="20"/>
                <w:szCs w:val="20"/>
              </w:rPr>
              <w:t xml:space="preserve"> </w:t>
            </w:r>
            <w:r w:rsidR="007543CC">
              <w:rPr>
                <w:rFonts w:eastAsia="Times New Roman" w:cs="Arial"/>
                <w:i/>
                <w:sz w:val="20"/>
                <w:szCs w:val="20"/>
              </w:rPr>
              <w:t>–</w:t>
            </w:r>
            <w:r w:rsidR="00717778">
              <w:rPr>
                <w:rFonts w:eastAsia="Times New Roman" w:cs="Arial"/>
                <w:i/>
                <w:sz w:val="20"/>
                <w:szCs w:val="20"/>
              </w:rPr>
              <w:t xml:space="preserve"> </w:t>
            </w:r>
            <w:r w:rsidR="00F43D25">
              <w:rPr>
                <w:rFonts w:eastAsia="Times New Roman" w:cs="Arial"/>
                <w:i/>
                <w:sz w:val="20"/>
                <w:szCs w:val="20"/>
              </w:rPr>
              <w:t xml:space="preserve">MOD0687 </w:t>
            </w:r>
            <w:r w:rsidR="004614BF">
              <w:rPr>
                <w:rFonts w:eastAsia="Times New Roman" w:cs="Arial"/>
                <w:i/>
                <w:sz w:val="20"/>
                <w:szCs w:val="20"/>
              </w:rPr>
              <w:t>–</w:t>
            </w:r>
            <w:r w:rsidR="00F43D25">
              <w:rPr>
                <w:rFonts w:eastAsia="Times New Roman" w:cs="Arial"/>
                <w:i/>
                <w:sz w:val="20"/>
                <w:szCs w:val="20"/>
              </w:rPr>
              <w:t xml:space="preserve"> </w:t>
            </w:r>
            <w:r w:rsidR="00F72C62" w:rsidRPr="004614BF">
              <w:rPr>
                <w:rFonts w:eastAsia="Times New Roman" w:cs="Arial"/>
                <w:i/>
                <w:sz w:val="20"/>
                <w:szCs w:val="20"/>
                <w:lang w:val="en-US"/>
              </w:rPr>
              <w:t>Creation of new charge to recover last resort supply payments</w:t>
            </w:r>
          </w:p>
          <w:p w14:paraId="7ED28C35" w14:textId="4A47EA3B" w:rsidR="00A87173" w:rsidRPr="004614BF" w:rsidRDefault="00A87173" w:rsidP="004614BF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i/>
                <w:sz w:val="20"/>
                <w:szCs w:val="20"/>
              </w:rPr>
            </w:pPr>
            <w:r>
              <w:rPr>
                <w:rFonts w:eastAsia="Times New Roman" w:cs="Arial"/>
                <w:i/>
                <w:sz w:val="20"/>
                <w:szCs w:val="20"/>
              </w:rPr>
              <w:t>XRN</w:t>
            </w:r>
            <w:r w:rsidR="009D63D3">
              <w:rPr>
                <w:rFonts w:eastAsia="Times New Roman" w:cs="Arial"/>
                <w:i/>
                <w:sz w:val="20"/>
                <w:szCs w:val="20"/>
              </w:rPr>
              <w:t>5093</w:t>
            </w:r>
            <w:r w:rsidR="001615C2">
              <w:rPr>
                <w:rFonts w:eastAsia="Times New Roman" w:cs="Arial"/>
                <w:i/>
                <w:sz w:val="20"/>
                <w:szCs w:val="20"/>
              </w:rPr>
              <w:t xml:space="preserve"> – MOD0711 </w:t>
            </w:r>
            <w:r w:rsidR="004614BF">
              <w:rPr>
                <w:rFonts w:eastAsia="Times New Roman" w:cs="Arial"/>
                <w:i/>
                <w:sz w:val="20"/>
                <w:szCs w:val="20"/>
              </w:rPr>
              <w:t>–</w:t>
            </w:r>
            <w:r w:rsidR="00F72C62">
              <w:rPr>
                <w:rFonts w:eastAsia="Times New Roman" w:cs="Arial"/>
                <w:i/>
                <w:sz w:val="20"/>
                <w:szCs w:val="20"/>
              </w:rPr>
              <w:t xml:space="preserve"> </w:t>
            </w:r>
            <w:r w:rsidR="00384C7D" w:rsidRPr="004614BF">
              <w:rPr>
                <w:rFonts w:eastAsia="Times New Roman" w:cs="Arial"/>
                <w:i/>
                <w:sz w:val="20"/>
                <w:szCs w:val="20"/>
              </w:rPr>
              <w:t>Update of AUG Table to reflect new EUC bands</w:t>
            </w:r>
          </w:p>
          <w:p w14:paraId="33E732DC" w14:textId="00C04016" w:rsidR="00A87173" w:rsidRPr="00384C7D" w:rsidRDefault="00A87173" w:rsidP="00384C7D">
            <w:pPr>
              <w:pStyle w:val="ListParagraph"/>
              <w:numPr>
                <w:ilvl w:val="0"/>
                <w:numId w:val="2"/>
              </w:numPr>
              <w:rPr>
                <w:rFonts w:cs="Arial"/>
                <w:i/>
                <w:sz w:val="20"/>
                <w:szCs w:val="20"/>
              </w:rPr>
            </w:pPr>
            <w:r>
              <w:rPr>
                <w:rFonts w:eastAsia="Times New Roman" w:cs="Arial"/>
                <w:i/>
                <w:sz w:val="20"/>
                <w:szCs w:val="20"/>
              </w:rPr>
              <w:t>XRN</w:t>
            </w:r>
            <w:r w:rsidR="001615C2">
              <w:rPr>
                <w:rFonts w:eastAsia="Times New Roman" w:cs="Arial"/>
                <w:i/>
                <w:sz w:val="20"/>
                <w:szCs w:val="20"/>
              </w:rPr>
              <w:t xml:space="preserve">5142 </w:t>
            </w:r>
            <w:r w:rsidR="00384C7D">
              <w:rPr>
                <w:rFonts w:eastAsia="Times New Roman" w:cs="Arial"/>
                <w:i/>
                <w:sz w:val="20"/>
                <w:szCs w:val="20"/>
              </w:rPr>
              <w:t>–</w:t>
            </w:r>
            <w:r w:rsidR="001615C2">
              <w:rPr>
                <w:rFonts w:eastAsia="Times New Roman" w:cs="Arial"/>
                <w:i/>
                <w:sz w:val="20"/>
                <w:szCs w:val="20"/>
              </w:rPr>
              <w:t xml:space="preserve"> </w:t>
            </w:r>
            <w:r w:rsidR="00384C7D" w:rsidRPr="00384C7D">
              <w:rPr>
                <w:rFonts w:eastAsia="Times New Roman" w:cs="Arial"/>
                <w:i/>
                <w:sz w:val="20"/>
                <w:szCs w:val="20"/>
                <w:lang w:val="en-US"/>
              </w:rPr>
              <w:t>New allowable values for DCC Service Flag in DXI File from DCC</w:t>
            </w:r>
          </w:p>
          <w:p w14:paraId="7F793910" w14:textId="7C9AB9C8" w:rsidR="0031497F" w:rsidRDefault="0031497F" w:rsidP="0031497F">
            <w:pPr>
              <w:rPr>
                <w:rFonts w:eastAsia="Times New Roman" w:cs="Arial"/>
                <w:i/>
                <w:color w:val="0070C0"/>
                <w:sz w:val="20"/>
                <w:szCs w:val="20"/>
              </w:rPr>
            </w:pPr>
          </w:p>
          <w:p w14:paraId="56D615BB" w14:textId="1C606F86" w:rsidR="00D608A2" w:rsidRPr="00C56167" w:rsidRDefault="00D31E04" w:rsidP="0031497F">
            <w:pPr>
              <w:rPr>
                <w:rFonts w:eastAsia="Times New Roman" w:cs="Arial"/>
                <w:sz w:val="20"/>
                <w:szCs w:val="20"/>
              </w:rPr>
            </w:pPr>
            <w:r w:rsidRPr="00C56167">
              <w:rPr>
                <w:rFonts w:eastAsia="Times New Roman" w:cs="Arial"/>
                <w:sz w:val="20"/>
                <w:szCs w:val="20"/>
              </w:rPr>
              <w:t xml:space="preserve">XRNs 4941, 4992 and 5142 </w:t>
            </w:r>
            <w:r w:rsidR="00487136" w:rsidRPr="00C56167">
              <w:rPr>
                <w:rFonts w:eastAsia="Times New Roman" w:cs="Arial"/>
                <w:sz w:val="20"/>
                <w:szCs w:val="20"/>
              </w:rPr>
              <w:t xml:space="preserve">are awaiting </w:t>
            </w:r>
            <w:r w:rsidR="008D6E14">
              <w:rPr>
                <w:rFonts w:eastAsia="Times New Roman" w:cs="Arial"/>
                <w:sz w:val="20"/>
                <w:szCs w:val="20"/>
              </w:rPr>
              <w:t xml:space="preserve">governance </w:t>
            </w:r>
            <w:r w:rsidRPr="00C56167">
              <w:rPr>
                <w:rFonts w:eastAsia="Times New Roman" w:cs="Arial"/>
                <w:sz w:val="20"/>
                <w:szCs w:val="20"/>
              </w:rPr>
              <w:t xml:space="preserve">decisions </w:t>
            </w:r>
            <w:r w:rsidR="00487136" w:rsidRPr="00C56167">
              <w:rPr>
                <w:rFonts w:eastAsia="Times New Roman" w:cs="Arial"/>
                <w:sz w:val="20"/>
                <w:szCs w:val="20"/>
              </w:rPr>
              <w:t xml:space="preserve">to be made on whether they are to proceed into implementation. Xoserve proposes that </w:t>
            </w:r>
            <w:r w:rsidR="006F343E" w:rsidRPr="00C56167">
              <w:rPr>
                <w:rFonts w:eastAsia="Times New Roman" w:cs="Arial"/>
                <w:sz w:val="20"/>
                <w:szCs w:val="20"/>
              </w:rPr>
              <w:t>they are progressed through the Major Release process to the end of</w:t>
            </w:r>
            <w:r w:rsidR="002244E1">
              <w:rPr>
                <w:rFonts w:eastAsia="Times New Roman" w:cs="Arial"/>
                <w:sz w:val="20"/>
                <w:szCs w:val="20"/>
              </w:rPr>
              <w:t xml:space="preserve"> the</w:t>
            </w:r>
            <w:r w:rsidR="006F343E" w:rsidRPr="00C56167">
              <w:rPr>
                <w:rFonts w:eastAsia="Times New Roman" w:cs="Arial"/>
                <w:sz w:val="20"/>
                <w:szCs w:val="20"/>
              </w:rPr>
              <w:t xml:space="preserve"> Detailed Design</w:t>
            </w:r>
            <w:r w:rsidR="002244E1">
              <w:rPr>
                <w:rFonts w:eastAsia="Times New Roman" w:cs="Arial"/>
                <w:sz w:val="20"/>
                <w:szCs w:val="20"/>
              </w:rPr>
              <w:t xml:space="preserve"> Phase</w:t>
            </w:r>
            <w:r w:rsidR="006F343E" w:rsidRPr="00C56167">
              <w:rPr>
                <w:rFonts w:eastAsia="Times New Roman" w:cs="Arial"/>
                <w:sz w:val="20"/>
                <w:szCs w:val="20"/>
              </w:rPr>
              <w:t>.</w:t>
            </w:r>
            <w:r w:rsidR="00104F1F">
              <w:rPr>
                <w:rFonts w:eastAsia="Times New Roman" w:cs="Arial"/>
                <w:sz w:val="20"/>
                <w:szCs w:val="20"/>
              </w:rPr>
              <w:t xml:space="preserve"> A decision point </w:t>
            </w:r>
            <w:r w:rsidR="000A1A72">
              <w:rPr>
                <w:rFonts w:eastAsia="Times New Roman" w:cs="Arial"/>
                <w:sz w:val="20"/>
                <w:szCs w:val="20"/>
              </w:rPr>
              <w:t xml:space="preserve">should be scheduled for the October ChMC for the final decision to be made on whether to progress </w:t>
            </w:r>
            <w:r w:rsidR="008D6E14">
              <w:rPr>
                <w:rFonts w:eastAsia="Times New Roman" w:cs="Arial"/>
                <w:sz w:val="20"/>
                <w:szCs w:val="20"/>
              </w:rPr>
              <w:t xml:space="preserve">these changes </w:t>
            </w:r>
            <w:r w:rsidR="000A1A72">
              <w:rPr>
                <w:rFonts w:eastAsia="Times New Roman" w:cs="Arial"/>
                <w:sz w:val="20"/>
                <w:szCs w:val="20"/>
              </w:rPr>
              <w:t xml:space="preserve">into </w:t>
            </w:r>
            <w:r w:rsidR="007D7073">
              <w:rPr>
                <w:rFonts w:eastAsia="Times New Roman" w:cs="Arial"/>
                <w:sz w:val="20"/>
                <w:szCs w:val="20"/>
              </w:rPr>
              <w:t>implementation</w:t>
            </w:r>
            <w:r w:rsidR="002244E1">
              <w:rPr>
                <w:rFonts w:eastAsia="Times New Roman" w:cs="Arial"/>
                <w:sz w:val="20"/>
                <w:szCs w:val="20"/>
              </w:rPr>
              <w:t xml:space="preserve"> (subject to MOD approval(s) / appeal decisions)</w:t>
            </w:r>
            <w:r w:rsidR="007D7073">
              <w:rPr>
                <w:rFonts w:eastAsia="Times New Roman" w:cs="Arial"/>
                <w:sz w:val="20"/>
                <w:szCs w:val="20"/>
              </w:rPr>
              <w:t>.</w:t>
            </w:r>
          </w:p>
          <w:p w14:paraId="6A03B284" w14:textId="77777777" w:rsidR="00ED38E9" w:rsidRDefault="00ED38E9" w:rsidP="0031497F">
            <w:pPr>
              <w:contextualSpacing/>
              <w:rPr>
                <w:rFonts w:eastAsia="Times New Roman" w:cs="Arial"/>
                <w:i/>
                <w:color w:val="0070C0"/>
                <w:sz w:val="20"/>
                <w:szCs w:val="20"/>
              </w:rPr>
            </w:pPr>
          </w:p>
          <w:p w14:paraId="20DDFD21" w14:textId="3F8B4B9B" w:rsidR="0031497F" w:rsidRPr="003F4BF9" w:rsidRDefault="0031497F" w:rsidP="0031497F">
            <w:pPr>
              <w:contextualSpacing/>
              <w:rPr>
                <w:rFonts w:eastAsia="Times New Roman" w:cs="Arial"/>
                <w:sz w:val="20"/>
                <w:szCs w:val="20"/>
              </w:rPr>
            </w:pPr>
            <w:r w:rsidRPr="003F4BF9">
              <w:rPr>
                <w:rFonts w:eastAsia="Times New Roman" w:cs="Arial"/>
                <w:sz w:val="20"/>
                <w:szCs w:val="20"/>
              </w:rPr>
              <w:t xml:space="preserve">Activities covered by </w:t>
            </w:r>
            <w:r w:rsidR="0049347C">
              <w:rPr>
                <w:rFonts w:eastAsia="Times New Roman" w:cs="Arial"/>
                <w:sz w:val="20"/>
                <w:szCs w:val="20"/>
              </w:rPr>
              <w:t>th</w:t>
            </w:r>
            <w:r w:rsidR="001C7CA9">
              <w:rPr>
                <w:rFonts w:eastAsia="Times New Roman" w:cs="Arial"/>
                <w:sz w:val="20"/>
                <w:szCs w:val="20"/>
              </w:rPr>
              <w:t>is</w:t>
            </w:r>
            <w:r w:rsidR="0049347C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3F4BF9">
              <w:rPr>
                <w:rFonts w:eastAsia="Times New Roman" w:cs="Arial"/>
                <w:sz w:val="20"/>
                <w:szCs w:val="20"/>
              </w:rPr>
              <w:t>EQR:</w:t>
            </w:r>
          </w:p>
          <w:p w14:paraId="44F94059" w14:textId="00E648C9" w:rsidR="007A113D" w:rsidRPr="003F4BF9" w:rsidRDefault="003F4BF9" w:rsidP="007A113D">
            <w:pPr>
              <w:numPr>
                <w:ilvl w:val="0"/>
                <w:numId w:val="1"/>
              </w:numPr>
              <w:contextualSpacing/>
              <w:rPr>
                <w:rFonts w:eastAsia="Times New Roman" w:cs="Arial"/>
                <w:sz w:val="20"/>
                <w:szCs w:val="20"/>
              </w:rPr>
            </w:pPr>
            <w:r w:rsidRPr="003F4BF9">
              <w:rPr>
                <w:rFonts w:eastAsia="Times New Roman" w:cs="Arial"/>
                <w:sz w:val="20"/>
                <w:szCs w:val="20"/>
              </w:rPr>
              <w:t>Mobilisation</w:t>
            </w:r>
            <w:r>
              <w:rPr>
                <w:rFonts w:eastAsia="Times New Roman" w:cs="Arial"/>
                <w:sz w:val="20"/>
                <w:szCs w:val="20"/>
              </w:rPr>
              <w:t xml:space="preserve"> of </w:t>
            </w:r>
            <w:r w:rsidR="00990831">
              <w:rPr>
                <w:rFonts w:eastAsia="Times New Roman" w:cs="Arial"/>
                <w:sz w:val="20"/>
                <w:szCs w:val="20"/>
              </w:rPr>
              <w:t>June</w:t>
            </w:r>
            <w:r>
              <w:rPr>
                <w:rFonts w:eastAsia="Times New Roman" w:cs="Arial"/>
                <w:sz w:val="20"/>
                <w:szCs w:val="20"/>
              </w:rPr>
              <w:t xml:space="preserve"> 20</w:t>
            </w:r>
            <w:r w:rsidR="002627D3">
              <w:rPr>
                <w:rFonts w:eastAsia="Times New Roman" w:cs="Arial"/>
                <w:sz w:val="20"/>
                <w:szCs w:val="20"/>
              </w:rPr>
              <w:t>2</w:t>
            </w:r>
            <w:r w:rsidR="00990831">
              <w:rPr>
                <w:rFonts w:eastAsia="Times New Roman" w:cs="Arial"/>
                <w:sz w:val="20"/>
                <w:szCs w:val="20"/>
              </w:rPr>
              <w:t>1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3C5F6B">
              <w:rPr>
                <w:rFonts w:eastAsia="Times New Roman" w:cs="Arial"/>
                <w:sz w:val="20"/>
                <w:szCs w:val="20"/>
              </w:rPr>
              <w:t xml:space="preserve">Major </w:t>
            </w:r>
            <w:r>
              <w:rPr>
                <w:rFonts w:eastAsia="Times New Roman" w:cs="Arial"/>
                <w:sz w:val="20"/>
                <w:szCs w:val="20"/>
              </w:rPr>
              <w:t>Release team</w:t>
            </w:r>
            <w:r w:rsidR="001C7CA9">
              <w:rPr>
                <w:rFonts w:eastAsia="Times New Roman" w:cs="Arial"/>
                <w:sz w:val="20"/>
                <w:szCs w:val="20"/>
              </w:rPr>
              <w:t xml:space="preserve"> including supplier </w:t>
            </w:r>
            <w:r w:rsidR="004D33C1">
              <w:rPr>
                <w:rFonts w:eastAsia="Times New Roman" w:cs="Arial"/>
                <w:sz w:val="20"/>
                <w:szCs w:val="20"/>
              </w:rPr>
              <w:t>engagement</w:t>
            </w:r>
          </w:p>
          <w:p w14:paraId="5469C93A" w14:textId="49C705A2" w:rsidR="003F4BF9" w:rsidRDefault="00D205AD" w:rsidP="007A113D">
            <w:pPr>
              <w:numPr>
                <w:ilvl w:val="0"/>
                <w:numId w:val="1"/>
              </w:numPr>
              <w:contextualSpacing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Detailed a</w:t>
            </w:r>
            <w:r w:rsidR="003F4BF9" w:rsidRPr="003F4BF9">
              <w:rPr>
                <w:rFonts w:eastAsia="Times New Roman" w:cs="Arial"/>
                <w:sz w:val="20"/>
                <w:szCs w:val="20"/>
              </w:rPr>
              <w:t>nalysis</w:t>
            </w:r>
            <w:r w:rsidR="003F4BF9">
              <w:rPr>
                <w:rFonts w:eastAsia="Times New Roman" w:cs="Arial"/>
                <w:sz w:val="20"/>
                <w:szCs w:val="20"/>
              </w:rPr>
              <w:t xml:space="preserve"> and detailed impact assessment of </w:t>
            </w:r>
            <w:r w:rsidR="00414E5B">
              <w:rPr>
                <w:rFonts w:eastAsia="Times New Roman" w:cs="Arial"/>
                <w:sz w:val="20"/>
                <w:szCs w:val="20"/>
              </w:rPr>
              <w:t>XRNs 5093 and 5142</w:t>
            </w:r>
          </w:p>
          <w:p w14:paraId="732FE939" w14:textId="19B94224" w:rsidR="004D33C1" w:rsidRDefault="004D33C1" w:rsidP="007A113D">
            <w:pPr>
              <w:numPr>
                <w:ilvl w:val="0"/>
                <w:numId w:val="1"/>
              </w:numPr>
              <w:contextualSpacing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Production of revised EQR for </w:t>
            </w:r>
            <w:r w:rsidR="003D0470">
              <w:rPr>
                <w:rFonts w:eastAsia="Times New Roman" w:cs="Arial"/>
                <w:sz w:val="20"/>
                <w:szCs w:val="20"/>
              </w:rPr>
              <w:t>work undertaken to the end of the Design phase.</w:t>
            </w:r>
          </w:p>
          <w:p w14:paraId="66163131" w14:textId="7C6A2021" w:rsidR="00CE6D81" w:rsidRDefault="00CE6D81" w:rsidP="00CE6D81">
            <w:pPr>
              <w:contextualSpacing/>
              <w:rPr>
                <w:rFonts w:eastAsia="Times New Roman" w:cs="Arial"/>
                <w:sz w:val="20"/>
                <w:szCs w:val="20"/>
              </w:rPr>
            </w:pPr>
          </w:p>
          <w:p w14:paraId="09199A26" w14:textId="4CB8436E" w:rsidR="00813949" w:rsidRDefault="00813949" w:rsidP="00813949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order to select and onboard a supplier, £20K is requested initially. </w:t>
            </w:r>
            <w:r>
              <w:rPr>
                <w:b/>
                <w:bCs/>
                <w:sz w:val="20"/>
                <w:szCs w:val="20"/>
              </w:rPr>
              <w:t>A further EQR providing</w:t>
            </w:r>
            <w:r>
              <w:rPr>
                <w:sz w:val="20"/>
                <w:szCs w:val="20"/>
              </w:rPr>
              <w:t xml:space="preserve"> Firm costs (by XRN) to proceed through to the end of Detailed Design phase will be presented for approval at the September ChMC.</w:t>
            </w:r>
          </w:p>
          <w:p w14:paraId="401AB725" w14:textId="69633799" w:rsidR="007A113D" w:rsidRPr="007A113D" w:rsidRDefault="007A113D" w:rsidP="0031497F">
            <w:pPr>
              <w:contextualSpacing/>
              <w:rPr>
                <w:rFonts w:eastAsia="Times New Roman" w:cs="Arial"/>
                <w:b/>
                <w:color w:val="3E5AA8"/>
              </w:rPr>
            </w:pPr>
          </w:p>
        </w:tc>
      </w:tr>
      <w:tr w:rsidR="007A113D" w:rsidRPr="007A113D" w14:paraId="24189954" w14:textId="77777777" w:rsidTr="00514B8E"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3FDC5E3B" w14:textId="77777777" w:rsidR="007A113D" w:rsidRPr="007A113D" w:rsidRDefault="007A113D" w:rsidP="007A113D">
            <w:pPr>
              <w:rPr>
                <w:rFonts w:eastAsia="Times New Roman" w:cs="Arial"/>
                <w:b/>
                <w:szCs w:val="16"/>
              </w:rPr>
            </w:pPr>
            <w:r w:rsidRPr="007A113D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t>Section 2: Estimated cost to produce the Business Evaluation Report (BER)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17C67E" w14:textId="4AAD865B" w:rsidR="007A113D" w:rsidRPr="007A113D" w:rsidRDefault="00603B6F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£</w:t>
            </w:r>
            <w:r w:rsidR="00617008">
              <w:rPr>
                <w:rFonts w:eastAsia="Times New Roman" w:cs="Arial"/>
                <w:sz w:val="20"/>
                <w:szCs w:val="20"/>
              </w:rPr>
              <w:t>20</w:t>
            </w:r>
            <w:r w:rsidR="001E5AEA">
              <w:rPr>
                <w:rFonts w:eastAsia="Times New Roman" w:cs="Arial"/>
                <w:sz w:val="20"/>
                <w:szCs w:val="20"/>
              </w:rPr>
              <w:t>K</w:t>
            </w:r>
            <w:r w:rsidR="00795245">
              <w:rPr>
                <w:rFonts w:eastAsia="Times New Roman" w:cs="Arial"/>
                <w:sz w:val="20"/>
                <w:szCs w:val="20"/>
              </w:rPr>
              <w:t xml:space="preserve"> is requested </w:t>
            </w:r>
            <w:r w:rsidR="001E2C89">
              <w:rPr>
                <w:rFonts w:eastAsia="Times New Roman" w:cs="Arial"/>
                <w:sz w:val="20"/>
                <w:szCs w:val="20"/>
              </w:rPr>
              <w:t xml:space="preserve">initially. </w:t>
            </w:r>
          </w:p>
          <w:p w14:paraId="1F268713" w14:textId="77777777" w:rsidR="007A113D" w:rsidRPr="007A113D" w:rsidRDefault="007A113D" w:rsidP="007A113D">
            <w:pPr>
              <w:jc w:val="center"/>
              <w:rPr>
                <w:rFonts w:eastAsia="Times New Roman" w:cs="Arial"/>
                <w:sz w:val="20"/>
                <w:szCs w:val="16"/>
              </w:rPr>
            </w:pPr>
          </w:p>
        </w:tc>
      </w:tr>
      <w:tr w:rsidR="007A113D" w:rsidRPr="007A113D" w14:paraId="5E6BC631" w14:textId="77777777" w:rsidTr="00514B8E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5EBEF28C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Cs w:val="16"/>
              </w:rPr>
            </w:pPr>
            <w:r w:rsidRPr="007A113D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t>Section 3: Funding of EQR</w:t>
            </w:r>
          </w:p>
        </w:tc>
      </w:tr>
      <w:tr w:rsidR="007A113D" w:rsidRPr="007A113D" w14:paraId="55BCAE5D" w14:textId="77777777" w:rsidTr="00514B8E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9F1DC4" w14:textId="77777777" w:rsidR="007A113D" w:rsidRPr="00C0410A" w:rsidRDefault="007A113D" w:rsidP="007A113D">
            <w:pPr>
              <w:rPr>
                <w:rFonts w:eastAsia="Times New Roman" w:cs="Arial"/>
                <w:i/>
                <w:sz w:val="20"/>
                <w:szCs w:val="20"/>
              </w:rPr>
            </w:pPr>
            <w:r w:rsidRPr="00C0410A">
              <w:rPr>
                <w:rFonts w:eastAsia="Times New Roman" w:cs="Arial"/>
                <w:i/>
                <w:sz w:val="20"/>
                <w:szCs w:val="20"/>
              </w:rPr>
              <w:t>As agreed by The Change Managers the funding for the EQR will be: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03"/>
              <w:gridCol w:w="3259"/>
              <w:gridCol w:w="1842"/>
              <w:gridCol w:w="1418"/>
            </w:tblGrid>
            <w:tr w:rsidR="00240F79" w:rsidRPr="007A113D" w14:paraId="3FC3175D" w14:textId="77777777" w:rsidTr="000E4CCC">
              <w:tc>
                <w:tcPr>
                  <w:tcW w:w="1903" w:type="dxa"/>
                </w:tcPr>
                <w:p w14:paraId="136C2A47" w14:textId="65E4C767" w:rsidR="00240F79" w:rsidRPr="007A113D" w:rsidRDefault="00240F79" w:rsidP="007A113D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>
                    <w:rPr>
                      <w:rFonts w:eastAsia="Times New Roman" w:cs="Arial"/>
                      <w:b/>
                      <w:sz w:val="20"/>
                      <w:szCs w:val="16"/>
                    </w:rPr>
                    <w:t>XRN</w:t>
                  </w:r>
                </w:p>
              </w:tc>
              <w:tc>
                <w:tcPr>
                  <w:tcW w:w="3259" w:type="dxa"/>
                  <w:vAlign w:val="center"/>
                </w:tcPr>
                <w:p w14:paraId="5E45CB7B" w14:textId="5CBE811D" w:rsidR="00240F79" w:rsidRPr="007A113D" w:rsidRDefault="00240F79" w:rsidP="007A113D">
                  <w:pPr>
                    <w:jc w:val="center"/>
                    <w:rPr>
                      <w:rFonts w:eastAsia="Times New Roman" w:cs="Arial"/>
                      <w:i/>
                      <w:color w:val="0070C0"/>
                      <w:sz w:val="20"/>
                    </w:rPr>
                  </w:pPr>
                  <w:r w:rsidRPr="007A113D">
                    <w:rPr>
                      <w:rFonts w:eastAsia="Times New Roman" w:cs="Arial"/>
                      <w:b/>
                      <w:sz w:val="20"/>
                      <w:szCs w:val="16"/>
                    </w:rPr>
                    <w:t>Gas Industry Participant</w:t>
                  </w:r>
                </w:p>
              </w:tc>
              <w:tc>
                <w:tcPr>
                  <w:tcW w:w="1842" w:type="dxa"/>
                  <w:vAlign w:val="center"/>
                </w:tcPr>
                <w:p w14:paraId="369C2160" w14:textId="77777777" w:rsidR="00240F79" w:rsidRPr="007A113D" w:rsidRDefault="00240F79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  <w:r w:rsidRPr="007A113D">
                    <w:rPr>
                      <w:rFonts w:eastAsia="Times New Roman" w:cs="Arial"/>
                      <w:b/>
                      <w:sz w:val="20"/>
                      <w:szCs w:val="16"/>
                    </w:rPr>
                    <w:t>% Share of Cost</w:t>
                  </w:r>
                </w:p>
              </w:tc>
              <w:tc>
                <w:tcPr>
                  <w:tcW w:w="1418" w:type="dxa"/>
                  <w:vAlign w:val="center"/>
                </w:tcPr>
                <w:p w14:paraId="1EB924BD" w14:textId="77777777" w:rsidR="00240F79" w:rsidRPr="007A113D" w:rsidRDefault="00240F79" w:rsidP="007A113D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7A113D">
                    <w:rPr>
                      <w:rFonts w:eastAsia="Times New Roman" w:cs="Arial"/>
                      <w:b/>
                      <w:sz w:val="20"/>
                      <w:szCs w:val="16"/>
                    </w:rPr>
                    <w:t>Cost Value</w:t>
                  </w:r>
                </w:p>
              </w:tc>
            </w:tr>
            <w:tr w:rsidR="00240F79" w:rsidRPr="007A113D" w14:paraId="17589507" w14:textId="77777777" w:rsidTr="001E2C89">
              <w:tc>
                <w:tcPr>
                  <w:tcW w:w="1903" w:type="dxa"/>
                  <w:shd w:val="clear" w:color="auto" w:fill="auto"/>
                </w:tcPr>
                <w:p w14:paraId="20CF77F6" w14:textId="0C19F157" w:rsidR="00240F79" w:rsidRPr="001E2C89" w:rsidRDefault="00BB1504" w:rsidP="000E4CCC">
                  <w:pPr>
                    <w:jc w:val="center"/>
                    <w:rPr>
                      <w:rFonts w:eastAsia="Times New Roman" w:cs="Arial"/>
                      <w:sz w:val="20"/>
                      <w:szCs w:val="16"/>
                    </w:rPr>
                  </w:pPr>
                  <w:r w:rsidRPr="001E2C89">
                    <w:rPr>
                      <w:rFonts w:eastAsia="Times New Roman" w:cs="Arial"/>
                      <w:sz w:val="20"/>
                      <w:szCs w:val="16"/>
                    </w:rPr>
                    <w:t>4941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14:paraId="7DE3522C" w14:textId="617E07B2" w:rsidR="00240F79" w:rsidRPr="001E2C89" w:rsidRDefault="0059282C" w:rsidP="007A113D">
                  <w:pPr>
                    <w:rPr>
                      <w:rFonts w:eastAsia="Times New Roman" w:cs="Arial"/>
                      <w:sz w:val="20"/>
                      <w:szCs w:val="16"/>
                    </w:rPr>
                  </w:pPr>
                  <w:r w:rsidRPr="001E2C89">
                    <w:rPr>
                      <w:rFonts w:eastAsia="Times New Roman" w:cs="Arial"/>
                      <w:sz w:val="20"/>
                      <w:szCs w:val="16"/>
                    </w:rPr>
                    <w:t>Shippers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14D45F0B" w14:textId="717DA478" w:rsidR="00240F79" w:rsidRPr="007A113D" w:rsidRDefault="00605167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  <w:r>
                    <w:rPr>
                      <w:rFonts w:eastAsia="Times New Roman" w:cs="Arial"/>
                      <w:sz w:val="20"/>
                    </w:rPr>
                    <w:t>100%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324EE29E" w14:textId="7BDCF92D" w:rsidR="00240F79" w:rsidRPr="007A113D" w:rsidRDefault="001E2C89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  <w:r>
                    <w:rPr>
                      <w:rFonts w:eastAsia="Times New Roman" w:cs="Arial"/>
                      <w:sz w:val="20"/>
                    </w:rPr>
                    <w:t>tbc</w:t>
                  </w:r>
                </w:p>
              </w:tc>
            </w:tr>
            <w:tr w:rsidR="00240F79" w:rsidRPr="007A113D" w14:paraId="1E465B5B" w14:textId="77777777" w:rsidTr="001E2C89">
              <w:tc>
                <w:tcPr>
                  <w:tcW w:w="1903" w:type="dxa"/>
                  <w:shd w:val="clear" w:color="auto" w:fill="auto"/>
                </w:tcPr>
                <w:p w14:paraId="14033464" w14:textId="42CB4B70" w:rsidR="00240F79" w:rsidRPr="001E2C89" w:rsidRDefault="0059282C" w:rsidP="000E4CCC">
                  <w:pPr>
                    <w:jc w:val="center"/>
                    <w:rPr>
                      <w:rFonts w:eastAsia="Times New Roman" w:cs="Arial"/>
                      <w:sz w:val="20"/>
                      <w:szCs w:val="16"/>
                    </w:rPr>
                  </w:pPr>
                  <w:r w:rsidRPr="001E2C89">
                    <w:rPr>
                      <w:rFonts w:eastAsia="Times New Roman" w:cs="Arial"/>
                      <w:sz w:val="20"/>
                      <w:szCs w:val="16"/>
                    </w:rPr>
                    <w:t>4992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14:paraId="3C59E7EA" w14:textId="36E86363" w:rsidR="00240F79" w:rsidRPr="001E2C89" w:rsidRDefault="0059282C" w:rsidP="007A113D">
                  <w:pPr>
                    <w:rPr>
                      <w:rFonts w:eastAsia="Times New Roman" w:cs="Arial"/>
                      <w:sz w:val="20"/>
                      <w:szCs w:val="16"/>
                    </w:rPr>
                  </w:pPr>
                  <w:r w:rsidRPr="001E2C89">
                    <w:rPr>
                      <w:rFonts w:eastAsia="Times New Roman" w:cs="Arial"/>
                      <w:sz w:val="20"/>
                      <w:szCs w:val="16"/>
                    </w:rPr>
                    <w:t>Shippers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6022C297" w14:textId="01102476" w:rsidR="00240F79" w:rsidRPr="007A113D" w:rsidRDefault="00605167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  <w:r>
                    <w:rPr>
                      <w:rFonts w:eastAsia="Times New Roman" w:cs="Arial"/>
                      <w:sz w:val="20"/>
                    </w:rPr>
                    <w:t>100%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308FF8BE" w14:textId="4D6EA568" w:rsidR="00240F79" w:rsidRPr="007A113D" w:rsidRDefault="001E2C89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  <w:r>
                    <w:rPr>
                      <w:rFonts w:eastAsia="Times New Roman" w:cs="Arial"/>
                      <w:sz w:val="20"/>
                    </w:rPr>
                    <w:t>tbc</w:t>
                  </w:r>
                </w:p>
              </w:tc>
            </w:tr>
            <w:tr w:rsidR="00BB1504" w:rsidRPr="007A113D" w14:paraId="5DEF27E5" w14:textId="77777777" w:rsidTr="000E4CCC">
              <w:tc>
                <w:tcPr>
                  <w:tcW w:w="1903" w:type="dxa"/>
                </w:tcPr>
                <w:p w14:paraId="1E2F4F39" w14:textId="14FC713A" w:rsidR="00BB1504" w:rsidRPr="001E2C89" w:rsidRDefault="00B37D9F" w:rsidP="000E4CCC">
                  <w:pPr>
                    <w:jc w:val="center"/>
                    <w:rPr>
                      <w:rFonts w:eastAsia="Times New Roman" w:cs="Arial"/>
                      <w:sz w:val="20"/>
                      <w:szCs w:val="16"/>
                    </w:rPr>
                  </w:pPr>
                  <w:r w:rsidRPr="001E2C89">
                    <w:rPr>
                      <w:rFonts w:eastAsia="Times New Roman" w:cs="Arial"/>
                      <w:sz w:val="20"/>
                      <w:szCs w:val="16"/>
                    </w:rPr>
                    <w:t>5093</w:t>
                  </w:r>
                </w:p>
              </w:tc>
              <w:tc>
                <w:tcPr>
                  <w:tcW w:w="3259" w:type="dxa"/>
                </w:tcPr>
                <w:p w14:paraId="17FEF096" w14:textId="7D8F4F83" w:rsidR="00BB1504" w:rsidRPr="001E2C89" w:rsidRDefault="00344BA4" w:rsidP="007A113D">
                  <w:pPr>
                    <w:rPr>
                      <w:rFonts w:eastAsia="Times New Roman" w:cs="Arial"/>
                      <w:sz w:val="20"/>
                      <w:szCs w:val="16"/>
                    </w:rPr>
                  </w:pPr>
                  <w:r w:rsidRPr="001E2C89">
                    <w:rPr>
                      <w:rFonts w:eastAsia="Times New Roman" w:cs="Arial"/>
                      <w:sz w:val="20"/>
                      <w:szCs w:val="16"/>
                    </w:rPr>
                    <w:t>Shippers</w:t>
                  </w:r>
                </w:p>
              </w:tc>
              <w:tc>
                <w:tcPr>
                  <w:tcW w:w="1842" w:type="dxa"/>
                  <w:vAlign w:val="center"/>
                </w:tcPr>
                <w:p w14:paraId="2A606AC8" w14:textId="40CF70DC" w:rsidR="00BB1504" w:rsidRPr="007A113D" w:rsidRDefault="00344BA4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  <w:r>
                    <w:rPr>
                      <w:rFonts w:eastAsia="Times New Roman" w:cs="Arial"/>
                      <w:sz w:val="20"/>
                    </w:rPr>
                    <w:t>100%</w:t>
                  </w:r>
                </w:p>
              </w:tc>
              <w:tc>
                <w:tcPr>
                  <w:tcW w:w="1418" w:type="dxa"/>
                  <w:vAlign w:val="center"/>
                </w:tcPr>
                <w:p w14:paraId="4FED4EA6" w14:textId="595214D0" w:rsidR="00BB1504" w:rsidRPr="007A113D" w:rsidRDefault="001E2C89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  <w:r>
                    <w:rPr>
                      <w:rFonts w:eastAsia="Times New Roman" w:cs="Arial"/>
                      <w:sz w:val="20"/>
                    </w:rPr>
                    <w:t>tbc</w:t>
                  </w:r>
                </w:p>
              </w:tc>
            </w:tr>
            <w:tr w:rsidR="00BB1504" w:rsidRPr="007A113D" w14:paraId="246D629E" w14:textId="77777777" w:rsidTr="000E4CCC">
              <w:tc>
                <w:tcPr>
                  <w:tcW w:w="1903" w:type="dxa"/>
                </w:tcPr>
                <w:p w14:paraId="6C720061" w14:textId="329817B3" w:rsidR="00BB1504" w:rsidRPr="001E2C89" w:rsidRDefault="004F6551" w:rsidP="000E4CCC">
                  <w:pPr>
                    <w:jc w:val="center"/>
                    <w:rPr>
                      <w:rFonts w:eastAsia="Times New Roman" w:cs="Arial"/>
                      <w:sz w:val="20"/>
                      <w:szCs w:val="16"/>
                    </w:rPr>
                  </w:pPr>
                  <w:r w:rsidRPr="001E2C89">
                    <w:rPr>
                      <w:rFonts w:eastAsia="Times New Roman" w:cs="Arial"/>
                      <w:sz w:val="20"/>
                      <w:szCs w:val="16"/>
                    </w:rPr>
                    <w:t>5142</w:t>
                  </w:r>
                </w:p>
              </w:tc>
              <w:tc>
                <w:tcPr>
                  <w:tcW w:w="3259" w:type="dxa"/>
                </w:tcPr>
                <w:p w14:paraId="6C857FD9" w14:textId="198BEAB1" w:rsidR="00BB1504" w:rsidRPr="001E2C89" w:rsidRDefault="00344BA4" w:rsidP="007A113D">
                  <w:pPr>
                    <w:rPr>
                      <w:rFonts w:eastAsia="Times New Roman" w:cs="Arial"/>
                      <w:sz w:val="20"/>
                      <w:szCs w:val="16"/>
                    </w:rPr>
                  </w:pPr>
                  <w:r w:rsidRPr="001E2C89">
                    <w:rPr>
                      <w:rFonts w:eastAsia="Times New Roman" w:cs="Arial"/>
                      <w:sz w:val="20"/>
                      <w:szCs w:val="16"/>
                    </w:rPr>
                    <w:t>DNO</w:t>
                  </w:r>
                </w:p>
              </w:tc>
              <w:tc>
                <w:tcPr>
                  <w:tcW w:w="1842" w:type="dxa"/>
                  <w:vAlign w:val="center"/>
                </w:tcPr>
                <w:p w14:paraId="5886965A" w14:textId="184C8162" w:rsidR="00BB1504" w:rsidRPr="007A113D" w:rsidRDefault="00344BA4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  <w:r>
                    <w:rPr>
                      <w:rFonts w:eastAsia="Times New Roman" w:cs="Arial"/>
                      <w:sz w:val="20"/>
                    </w:rPr>
                    <w:t>100%</w:t>
                  </w:r>
                </w:p>
              </w:tc>
              <w:tc>
                <w:tcPr>
                  <w:tcW w:w="1418" w:type="dxa"/>
                  <w:vAlign w:val="center"/>
                </w:tcPr>
                <w:p w14:paraId="3E42D18A" w14:textId="3D4BBD2D" w:rsidR="00BB1504" w:rsidRPr="007A113D" w:rsidRDefault="001E2C89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  <w:r>
                    <w:rPr>
                      <w:rFonts w:eastAsia="Times New Roman" w:cs="Arial"/>
                      <w:sz w:val="20"/>
                    </w:rPr>
                    <w:t>tbc</w:t>
                  </w:r>
                </w:p>
              </w:tc>
            </w:tr>
            <w:tr w:rsidR="00240F79" w:rsidRPr="007A113D" w14:paraId="1FD678A2" w14:textId="77777777" w:rsidTr="000E4CCC">
              <w:tc>
                <w:tcPr>
                  <w:tcW w:w="1903" w:type="dxa"/>
                </w:tcPr>
                <w:p w14:paraId="4D777418" w14:textId="77777777" w:rsidR="00240F79" w:rsidRPr="007A113D" w:rsidRDefault="00240F79" w:rsidP="007A113D">
                  <w:pPr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3259" w:type="dxa"/>
                </w:tcPr>
                <w:p w14:paraId="4F8FF5D7" w14:textId="26CE253E" w:rsidR="00240F79" w:rsidRPr="007A113D" w:rsidRDefault="00240F79" w:rsidP="007A113D">
                  <w:pPr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7A113D">
                    <w:rPr>
                      <w:rFonts w:eastAsia="Times New Roman" w:cs="Arial"/>
                      <w:b/>
                      <w:sz w:val="20"/>
                      <w:szCs w:val="16"/>
                    </w:rPr>
                    <w:t>Total Cost</w:t>
                  </w:r>
                </w:p>
              </w:tc>
              <w:tc>
                <w:tcPr>
                  <w:tcW w:w="1842" w:type="dxa"/>
                  <w:vAlign w:val="center"/>
                </w:tcPr>
                <w:p w14:paraId="60D711BE" w14:textId="7174A132" w:rsidR="00240F79" w:rsidRPr="007A113D" w:rsidRDefault="00240F79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5D0A1A8" w14:textId="0720B535" w:rsidR="00240F79" w:rsidRPr="000E4CCC" w:rsidRDefault="00240F79" w:rsidP="007A113D">
                  <w:pPr>
                    <w:jc w:val="center"/>
                    <w:rPr>
                      <w:rFonts w:eastAsia="Times New Roman" w:cs="Arial"/>
                      <w:b/>
                      <w:sz w:val="20"/>
                    </w:rPr>
                  </w:pPr>
                  <w:r w:rsidRPr="000E4CCC">
                    <w:rPr>
                      <w:rFonts w:eastAsia="Times New Roman" w:cs="Arial"/>
                      <w:b/>
                      <w:sz w:val="20"/>
                    </w:rPr>
                    <w:t>£</w:t>
                  </w:r>
                  <w:r w:rsidR="00F168AF">
                    <w:rPr>
                      <w:rFonts w:eastAsia="Times New Roman" w:cs="Arial"/>
                      <w:b/>
                      <w:sz w:val="20"/>
                    </w:rPr>
                    <w:t>20</w:t>
                  </w:r>
                  <w:r w:rsidR="00DC4386">
                    <w:rPr>
                      <w:rFonts w:eastAsia="Times New Roman" w:cs="Arial"/>
                      <w:b/>
                      <w:sz w:val="20"/>
                    </w:rPr>
                    <w:t>K</w:t>
                  </w:r>
                </w:p>
              </w:tc>
            </w:tr>
          </w:tbl>
          <w:p w14:paraId="01DEA716" w14:textId="77777777" w:rsidR="007A113D" w:rsidRPr="007A113D" w:rsidRDefault="007A113D" w:rsidP="007A113D">
            <w:pPr>
              <w:rPr>
                <w:rFonts w:eastAsia="Times New Roman" w:cs="Arial"/>
                <w:b/>
                <w:szCs w:val="16"/>
              </w:rPr>
            </w:pPr>
          </w:p>
        </w:tc>
      </w:tr>
      <w:tr w:rsidR="007A113D" w:rsidRPr="007A113D" w14:paraId="37E512C9" w14:textId="77777777" w:rsidTr="00514B8E">
        <w:tc>
          <w:tcPr>
            <w:tcW w:w="2569" w:type="pct"/>
            <w:gridSpan w:val="3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427A088B" w14:textId="77777777" w:rsidR="007A113D" w:rsidRPr="007A113D" w:rsidRDefault="007A113D" w:rsidP="007A113D">
            <w:pPr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</w:pPr>
            <w:r w:rsidRPr="007A113D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t>Section 4: Approximate timescale for completion of the Business Evaluation Report</w:t>
            </w:r>
          </w:p>
        </w:tc>
        <w:tc>
          <w:tcPr>
            <w:tcW w:w="2431" w:type="pct"/>
            <w:tcBorders>
              <w:bottom w:val="single" w:sz="4" w:space="0" w:color="auto"/>
            </w:tcBorders>
            <w:shd w:val="clear" w:color="auto" w:fill="auto"/>
          </w:tcPr>
          <w:p w14:paraId="5EA69669" w14:textId="04AF9324" w:rsidR="007A113D" w:rsidRPr="007A113D" w:rsidRDefault="0020257E" w:rsidP="0031497F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 xml:space="preserve">The </w:t>
            </w:r>
            <w:r w:rsidR="0031497F">
              <w:rPr>
                <w:rFonts w:eastAsia="Times New Roman" w:cs="Arial"/>
                <w:sz w:val="20"/>
                <w:szCs w:val="16"/>
              </w:rPr>
              <w:t>BER</w:t>
            </w:r>
            <w:r>
              <w:rPr>
                <w:rFonts w:eastAsia="Times New Roman" w:cs="Arial"/>
                <w:sz w:val="20"/>
                <w:szCs w:val="16"/>
              </w:rPr>
              <w:t xml:space="preserve">, for </w:t>
            </w:r>
            <w:r w:rsidR="003113B1">
              <w:rPr>
                <w:rFonts w:eastAsia="Times New Roman" w:cs="Arial"/>
                <w:sz w:val="20"/>
                <w:szCs w:val="16"/>
              </w:rPr>
              <w:t>June</w:t>
            </w:r>
            <w:r>
              <w:rPr>
                <w:rFonts w:eastAsia="Times New Roman" w:cs="Arial"/>
                <w:sz w:val="20"/>
                <w:szCs w:val="16"/>
              </w:rPr>
              <w:t xml:space="preserve"> </w:t>
            </w:r>
            <w:r w:rsidR="003D58CF">
              <w:rPr>
                <w:rFonts w:eastAsia="Times New Roman" w:cs="Arial"/>
                <w:sz w:val="20"/>
                <w:szCs w:val="16"/>
              </w:rPr>
              <w:t>20</w:t>
            </w:r>
            <w:r>
              <w:rPr>
                <w:rFonts w:eastAsia="Times New Roman" w:cs="Arial"/>
                <w:sz w:val="20"/>
                <w:szCs w:val="16"/>
              </w:rPr>
              <w:t>2</w:t>
            </w:r>
            <w:r w:rsidR="003113B1">
              <w:rPr>
                <w:rFonts w:eastAsia="Times New Roman" w:cs="Arial"/>
                <w:sz w:val="20"/>
                <w:szCs w:val="16"/>
              </w:rPr>
              <w:t>1</w:t>
            </w:r>
            <w:r>
              <w:rPr>
                <w:rFonts w:eastAsia="Times New Roman" w:cs="Arial"/>
                <w:sz w:val="20"/>
                <w:szCs w:val="16"/>
              </w:rPr>
              <w:t>,</w:t>
            </w:r>
            <w:r w:rsidR="0031497F">
              <w:rPr>
                <w:rFonts w:eastAsia="Times New Roman" w:cs="Arial"/>
                <w:sz w:val="20"/>
                <w:szCs w:val="16"/>
              </w:rPr>
              <w:t xml:space="preserve"> will be issued for approval at</w:t>
            </w:r>
            <w:r w:rsidR="006B566B">
              <w:rPr>
                <w:rFonts w:eastAsia="Times New Roman" w:cs="Arial"/>
                <w:sz w:val="20"/>
                <w:szCs w:val="16"/>
              </w:rPr>
              <w:t xml:space="preserve"> the </w:t>
            </w:r>
            <w:r w:rsidR="003113B1">
              <w:rPr>
                <w:rFonts w:eastAsia="Times New Roman" w:cs="Arial"/>
                <w:sz w:val="20"/>
                <w:szCs w:val="16"/>
              </w:rPr>
              <w:t>November</w:t>
            </w:r>
            <w:r w:rsidR="006B566B">
              <w:rPr>
                <w:rFonts w:eastAsia="Times New Roman" w:cs="Arial"/>
                <w:sz w:val="20"/>
                <w:szCs w:val="16"/>
              </w:rPr>
              <w:t xml:space="preserve"> 2020</w:t>
            </w:r>
            <w:r w:rsidR="0031497F">
              <w:rPr>
                <w:rFonts w:eastAsia="Times New Roman" w:cs="Arial"/>
                <w:sz w:val="20"/>
                <w:szCs w:val="16"/>
              </w:rPr>
              <w:t xml:space="preserve"> ChMC.</w:t>
            </w:r>
          </w:p>
        </w:tc>
      </w:tr>
      <w:tr w:rsidR="007A113D" w:rsidRPr="007A113D" w14:paraId="79327C46" w14:textId="77777777" w:rsidTr="00514B8E">
        <w:tc>
          <w:tcPr>
            <w:tcW w:w="2569" w:type="pct"/>
            <w:gridSpan w:val="3"/>
            <w:shd w:val="clear" w:color="auto" w:fill="3E5AA8" w:themeFill="accent1"/>
            <w:vAlign w:val="center"/>
          </w:tcPr>
          <w:p w14:paraId="6A0E7E49" w14:textId="77777777" w:rsidR="007A113D" w:rsidRPr="007A113D" w:rsidRDefault="007A113D" w:rsidP="007A113D">
            <w:pPr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</w:pPr>
            <w:r w:rsidRPr="007A113D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t>Section 5: Period that the Evaluation Quotation Report is valid for</w:t>
            </w:r>
          </w:p>
        </w:tc>
        <w:tc>
          <w:tcPr>
            <w:tcW w:w="2431" w:type="pct"/>
            <w:shd w:val="clear" w:color="auto" w:fill="auto"/>
          </w:tcPr>
          <w:p w14:paraId="490FAB7B" w14:textId="19930132" w:rsidR="007A113D" w:rsidRPr="007A113D" w:rsidRDefault="00C97A2F" w:rsidP="007A113D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>1</w:t>
            </w:r>
            <w:r w:rsidR="00EF395A">
              <w:rPr>
                <w:rFonts w:eastAsia="Times New Roman" w:cs="Arial"/>
                <w:sz w:val="20"/>
                <w:szCs w:val="16"/>
              </w:rPr>
              <w:t>3</w:t>
            </w:r>
            <w:r w:rsidRPr="00C97A2F">
              <w:rPr>
                <w:rFonts w:eastAsia="Times New Roman" w:cs="Arial"/>
                <w:sz w:val="20"/>
                <w:szCs w:val="16"/>
                <w:vertAlign w:val="superscript"/>
              </w:rPr>
              <w:t>th</w:t>
            </w:r>
            <w:r>
              <w:rPr>
                <w:rFonts w:eastAsia="Times New Roman" w:cs="Arial"/>
                <w:sz w:val="20"/>
                <w:szCs w:val="16"/>
              </w:rPr>
              <w:t xml:space="preserve"> </w:t>
            </w:r>
            <w:r w:rsidR="00EF395A">
              <w:rPr>
                <w:rFonts w:eastAsia="Times New Roman" w:cs="Arial"/>
                <w:sz w:val="20"/>
                <w:szCs w:val="16"/>
              </w:rPr>
              <w:t>August</w:t>
            </w:r>
            <w:r>
              <w:rPr>
                <w:rFonts w:eastAsia="Times New Roman" w:cs="Arial"/>
                <w:sz w:val="20"/>
                <w:szCs w:val="16"/>
              </w:rPr>
              <w:t xml:space="preserve"> 2020</w:t>
            </w:r>
            <w:r w:rsidR="0031497F">
              <w:rPr>
                <w:rFonts w:eastAsia="Times New Roman" w:cs="Arial"/>
                <w:sz w:val="20"/>
                <w:szCs w:val="16"/>
              </w:rPr>
              <w:t xml:space="preserve"> to </w:t>
            </w:r>
            <w:r w:rsidR="006828F3">
              <w:rPr>
                <w:rFonts w:eastAsia="Times New Roman" w:cs="Arial"/>
                <w:sz w:val="20"/>
                <w:szCs w:val="16"/>
              </w:rPr>
              <w:t>1</w:t>
            </w:r>
            <w:r w:rsidR="00780074">
              <w:rPr>
                <w:rFonts w:eastAsia="Times New Roman" w:cs="Arial"/>
                <w:sz w:val="20"/>
                <w:szCs w:val="16"/>
              </w:rPr>
              <w:t>1</w:t>
            </w:r>
            <w:r w:rsidR="006828F3" w:rsidRPr="006828F3">
              <w:rPr>
                <w:rFonts w:eastAsia="Times New Roman" w:cs="Arial"/>
                <w:sz w:val="20"/>
                <w:szCs w:val="16"/>
                <w:vertAlign w:val="superscript"/>
              </w:rPr>
              <w:t>th</w:t>
            </w:r>
            <w:r w:rsidR="006828F3">
              <w:rPr>
                <w:rFonts w:eastAsia="Times New Roman" w:cs="Arial"/>
                <w:sz w:val="20"/>
                <w:szCs w:val="16"/>
              </w:rPr>
              <w:t xml:space="preserve"> </w:t>
            </w:r>
            <w:r w:rsidR="00780074">
              <w:rPr>
                <w:rFonts w:eastAsia="Times New Roman" w:cs="Arial"/>
                <w:sz w:val="20"/>
                <w:szCs w:val="16"/>
              </w:rPr>
              <w:t>November</w:t>
            </w:r>
            <w:r>
              <w:rPr>
                <w:rFonts w:eastAsia="Times New Roman" w:cs="Arial"/>
                <w:sz w:val="20"/>
                <w:szCs w:val="16"/>
              </w:rPr>
              <w:t xml:space="preserve"> 2020</w:t>
            </w:r>
          </w:p>
        </w:tc>
      </w:tr>
      <w:tr w:rsidR="007A113D" w:rsidRPr="007A113D" w14:paraId="620056DF" w14:textId="77777777" w:rsidTr="00514B8E">
        <w:tc>
          <w:tcPr>
            <w:tcW w:w="5000" w:type="pct"/>
            <w:gridSpan w:val="4"/>
            <w:shd w:val="clear" w:color="auto" w:fill="3E5AA8" w:themeFill="accent1"/>
            <w:vAlign w:val="center"/>
          </w:tcPr>
          <w:p w14:paraId="20D68D88" w14:textId="77777777" w:rsidR="007A113D" w:rsidRPr="007A113D" w:rsidRDefault="007A113D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A113D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t>Section 6: Additional Information</w:t>
            </w:r>
          </w:p>
        </w:tc>
      </w:tr>
      <w:tr w:rsidR="007A113D" w:rsidRPr="007A113D" w14:paraId="38313033" w14:textId="77777777" w:rsidTr="00514B8E">
        <w:tc>
          <w:tcPr>
            <w:tcW w:w="5000" w:type="pct"/>
            <w:gridSpan w:val="4"/>
            <w:shd w:val="clear" w:color="auto" w:fill="auto"/>
            <w:vAlign w:val="center"/>
          </w:tcPr>
          <w:p w14:paraId="56A983F2" w14:textId="4ACA803F" w:rsidR="00C0410A" w:rsidRDefault="00C0410A" w:rsidP="007A113D">
            <w:pPr>
              <w:rPr>
                <w:rFonts w:eastAsia="Times New Roman" w:cs="Arial"/>
                <w:sz w:val="20"/>
                <w:szCs w:val="20"/>
              </w:rPr>
            </w:pPr>
            <w:r w:rsidRPr="00C0410A">
              <w:rPr>
                <w:rFonts w:eastAsia="Times New Roman" w:cs="Arial"/>
                <w:sz w:val="20"/>
                <w:szCs w:val="20"/>
              </w:rPr>
              <w:t>The split of the</w:t>
            </w:r>
            <w:r w:rsidR="00312524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D11247">
              <w:rPr>
                <w:rFonts w:eastAsia="Times New Roman" w:cs="Arial"/>
                <w:sz w:val="20"/>
                <w:szCs w:val="20"/>
              </w:rPr>
              <w:t>full release delivery</w:t>
            </w:r>
            <w:r w:rsidRPr="00C0410A">
              <w:rPr>
                <w:rFonts w:eastAsia="Times New Roman" w:cs="Arial"/>
                <w:sz w:val="20"/>
                <w:szCs w:val="20"/>
              </w:rPr>
              <w:t xml:space="preserve"> cost will be prepared for the BER, by change</w:t>
            </w:r>
            <w:r w:rsidR="00CD272E">
              <w:rPr>
                <w:rFonts w:eastAsia="Times New Roman" w:cs="Arial"/>
                <w:sz w:val="20"/>
                <w:szCs w:val="20"/>
              </w:rPr>
              <w:t xml:space="preserve"> (XRN)</w:t>
            </w:r>
            <w:r w:rsidRPr="00C0410A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566102">
              <w:rPr>
                <w:rFonts w:eastAsia="Times New Roman" w:cs="Arial"/>
                <w:sz w:val="20"/>
                <w:szCs w:val="20"/>
              </w:rPr>
              <w:t>and by Gas Industry Participant Group.</w:t>
            </w:r>
          </w:p>
          <w:p w14:paraId="365A36ED" w14:textId="77777777" w:rsidR="007D7D34" w:rsidRDefault="007D7D34" w:rsidP="007A113D">
            <w:pPr>
              <w:rPr>
                <w:rFonts w:eastAsia="Times New Roman" w:cs="Arial"/>
                <w:sz w:val="20"/>
                <w:szCs w:val="20"/>
              </w:rPr>
            </w:pPr>
          </w:p>
          <w:p w14:paraId="1CF4EAF7" w14:textId="6509755E" w:rsidR="00C0410A" w:rsidRDefault="007D7D34" w:rsidP="007A113D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lastRenderedPageBreak/>
              <w:t>Activit</w:t>
            </w:r>
            <w:r w:rsidR="004B68BF">
              <w:rPr>
                <w:rFonts w:eastAsia="Times New Roman" w:cs="Arial"/>
                <w:sz w:val="20"/>
                <w:szCs w:val="20"/>
              </w:rPr>
              <w:t>ies</w:t>
            </w:r>
            <w:r>
              <w:rPr>
                <w:rFonts w:eastAsia="Times New Roman" w:cs="Arial"/>
                <w:sz w:val="20"/>
                <w:szCs w:val="20"/>
              </w:rPr>
              <w:t>/Deliverables</w:t>
            </w:r>
            <w:r w:rsidR="00067FA3">
              <w:rPr>
                <w:rFonts w:eastAsia="Times New Roman" w:cs="Arial"/>
                <w:sz w:val="20"/>
                <w:szCs w:val="20"/>
              </w:rPr>
              <w:t xml:space="preserve"> to</w:t>
            </w:r>
            <w:r w:rsidR="00205454">
              <w:rPr>
                <w:rFonts w:eastAsia="Times New Roman" w:cs="Arial"/>
                <w:sz w:val="20"/>
                <w:szCs w:val="20"/>
              </w:rPr>
              <w:t xml:space="preserve"> undertaken </w:t>
            </w:r>
            <w:r w:rsidR="007B6FCD">
              <w:rPr>
                <w:rFonts w:eastAsia="Times New Roman" w:cs="Arial"/>
                <w:sz w:val="20"/>
                <w:szCs w:val="20"/>
              </w:rPr>
              <w:t>as a part of</w:t>
            </w:r>
            <w:r w:rsidR="00205454">
              <w:rPr>
                <w:rFonts w:eastAsia="Times New Roman" w:cs="Arial"/>
                <w:sz w:val="20"/>
                <w:szCs w:val="20"/>
              </w:rPr>
              <w:t xml:space="preserve"> revised EQR</w:t>
            </w:r>
            <w:r w:rsidR="00E42BBF">
              <w:rPr>
                <w:rFonts w:eastAsia="Times New Roman" w:cs="Arial"/>
                <w:sz w:val="20"/>
                <w:szCs w:val="20"/>
              </w:rPr>
              <w:t xml:space="preserve"> (to be submitted Sept ChMC)</w:t>
            </w:r>
            <w:r>
              <w:rPr>
                <w:rFonts w:eastAsia="Times New Roman" w:cs="Arial"/>
                <w:sz w:val="20"/>
                <w:szCs w:val="20"/>
              </w:rPr>
              <w:t>:</w:t>
            </w:r>
          </w:p>
          <w:p w14:paraId="3DF9F4F8" w14:textId="694A45DB" w:rsidR="007D7D34" w:rsidRPr="007D7D34" w:rsidRDefault="007D7D34" w:rsidP="007D7D34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0"/>
                <w:szCs w:val="20"/>
              </w:rPr>
            </w:pPr>
            <w:r w:rsidRPr="007D7D34">
              <w:rPr>
                <w:rFonts w:eastAsia="Times New Roman" w:cs="Arial"/>
                <w:sz w:val="20"/>
                <w:szCs w:val="20"/>
              </w:rPr>
              <w:t>Full delivery plan for each project lifecycle stage</w:t>
            </w:r>
            <w:r w:rsidR="00C97A2F">
              <w:rPr>
                <w:rFonts w:eastAsia="Times New Roman" w:cs="Arial"/>
                <w:sz w:val="20"/>
                <w:szCs w:val="20"/>
              </w:rPr>
              <w:t xml:space="preserve"> remaining</w:t>
            </w:r>
            <w:r w:rsidRPr="007D7D34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7D7D34">
              <w:rPr>
                <w:sz w:val="20"/>
                <w:szCs w:val="20"/>
              </w:rPr>
              <w:t>(Build and Unit Test/System Testing/System Integration Testing/Performance and Regression Testing/Acceptance Testing/User Acceptance Testing/Implementation/PIS).</w:t>
            </w:r>
          </w:p>
          <w:p w14:paraId="50F3C213" w14:textId="1A866265" w:rsidR="007D7D34" w:rsidRPr="007D7D34" w:rsidRDefault="007D7D34" w:rsidP="007D7D34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0"/>
                <w:szCs w:val="20"/>
              </w:rPr>
            </w:pPr>
            <w:r w:rsidRPr="007D7D34">
              <w:rPr>
                <w:sz w:val="20"/>
                <w:szCs w:val="20"/>
              </w:rPr>
              <w:t>Full delivery plan option(s) for each individual change to include each project lifecycle stage</w:t>
            </w:r>
            <w:r>
              <w:rPr>
                <w:sz w:val="20"/>
                <w:szCs w:val="20"/>
              </w:rPr>
              <w:t>, as detailed above.</w:t>
            </w:r>
          </w:p>
          <w:p w14:paraId="30798419" w14:textId="3B7F2399" w:rsidR="007D7D34" w:rsidRPr="007D7D34" w:rsidRDefault="007D7D34" w:rsidP="007D7D34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7D7D34">
              <w:rPr>
                <w:sz w:val="20"/>
                <w:szCs w:val="20"/>
              </w:rPr>
              <w:t>irm cost, per change, for undertaking each project stage (Mobilisation, Design/Build and Unit Test/System Testing/System Integration Testing/Performance and Regression Testing/Acceptance Testing/User Acceptance Testing/Implementation/PIS)</w:t>
            </w:r>
          </w:p>
          <w:p w14:paraId="7C69FA4C" w14:textId="690E90FF" w:rsidR="007D7D34" w:rsidRPr="007D7D34" w:rsidRDefault="007D7D34" w:rsidP="007D7D34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0"/>
                <w:szCs w:val="20"/>
              </w:rPr>
            </w:pPr>
            <w:r w:rsidRPr="007D7D34">
              <w:rPr>
                <w:sz w:val="20"/>
                <w:szCs w:val="20"/>
              </w:rPr>
              <w:t>High-Level Design Document</w:t>
            </w:r>
          </w:p>
          <w:p w14:paraId="4037B49B" w14:textId="02962A04" w:rsidR="00C0410A" w:rsidRPr="007D7D34" w:rsidRDefault="007D7D34" w:rsidP="007D7D34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i/>
                <w:sz w:val="20"/>
                <w:szCs w:val="20"/>
              </w:rPr>
            </w:pPr>
            <w:r w:rsidRPr="007D7D34">
              <w:rPr>
                <w:sz w:val="20"/>
                <w:szCs w:val="20"/>
              </w:rPr>
              <w:t>Detailed Design Document(s) for all SAP &amp; Non-SAP systems</w:t>
            </w:r>
          </w:p>
          <w:p w14:paraId="55D69286" w14:textId="332C379F" w:rsidR="007D7D34" w:rsidRPr="007D7D34" w:rsidRDefault="007D7D34" w:rsidP="007D7D34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i/>
                <w:sz w:val="20"/>
                <w:szCs w:val="20"/>
              </w:rPr>
            </w:pPr>
            <w:r w:rsidRPr="007D7D34">
              <w:rPr>
                <w:sz w:val="20"/>
                <w:szCs w:val="20"/>
              </w:rPr>
              <w:t>Functional and Technical Specifications and Non</w:t>
            </w:r>
            <w:r w:rsidR="00FB10A0">
              <w:rPr>
                <w:sz w:val="20"/>
                <w:szCs w:val="20"/>
              </w:rPr>
              <w:t>-</w:t>
            </w:r>
            <w:r w:rsidRPr="007D7D34">
              <w:rPr>
                <w:sz w:val="20"/>
                <w:szCs w:val="20"/>
              </w:rPr>
              <w:t>SAP Design Documents where applicable</w:t>
            </w:r>
          </w:p>
          <w:p w14:paraId="0CAE4A4C" w14:textId="0892D470" w:rsidR="007D7D34" w:rsidRPr="007D7D34" w:rsidRDefault="007D7D34" w:rsidP="007D7D34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 w:val="0"/>
              <w:rPr>
                <w:sz w:val="20"/>
                <w:szCs w:val="20"/>
              </w:rPr>
            </w:pPr>
            <w:r w:rsidRPr="007D7D34">
              <w:rPr>
                <w:sz w:val="20"/>
                <w:szCs w:val="20"/>
              </w:rPr>
              <w:t xml:space="preserve">Environment and data requirements for the entire </w:t>
            </w:r>
            <w:r w:rsidR="00811211">
              <w:rPr>
                <w:sz w:val="20"/>
                <w:szCs w:val="20"/>
              </w:rPr>
              <w:t>June</w:t>
            </w:r>
            <w:r w:rsidRPr="007D7D34">
              <w:rPr>
                <w:sz w:val="20"/>
                <w:szCs w:val="20"/>
              </w:rPr>
              <w:t xml:space="preserve"> </w:t>
            </w:r>
            <w:r w:rsidR="00F9107A">
              <w:rPr>
                <w:sz w:val="20"/>
                <w:szCs w:val="20"/>
              </w:rPr>
              <w:t>20</w:t>
            </w:r>
            <w:r w:rsidRPr="007D7D34">
              <w:rPr>
                <w:sz w:val="20"/>
                <w:szCs w:val="20"/>
              </w:rPr>
              <w:t>2</w:t>
            </w:r>
            <w:r w:rsidR="00811211">
              <w:rPr>
                <w:sz w:val="20"/>
                <w:szCs w:val="20"/>
              </w:rPr>
              <w:t>1</w:t>
            </w:r>
            <w:r w:rsidRPr="007D7D34">
              <w:rPr>
                <w:sz w:val="20"/>
                <w:szCs w:val="20"/>
              </w:rPr>
              <w:t xml:space="preserve"> </w:t>
            </w:r>
            <w:r w:rsidR="00F9107A">
              <w:rPr>
                <w:sz w:val="20"/>
                <w:szCs w:val="20"/>
              </w:rPr>
              <w:t xml:space="preserve">Major </w:t>
            </w:r>
            <w:r w:rsidRPr="007D7D34">
              <w:rPr>
                <w:sz w:val="20"/>
                <w:szCs w:val="20"/>
              </w:rPr>
              <w:t xml:space="preserve">Release delivery </w:t>
            </w:r>
          </w:p>
          <w:p w14:paraId="7F5129F4" w14:textId="3E23B459" w:rsidR="007D7D34" w:rsidRPr="007D7D34" w:rsidRDefault="00F9107A" w:rsidP="007D7D34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</w:t>
            </w:r>
            <w:r w:rsidR="007D7D34" w:rsidRPr="007D7D34">
              <w:rPr>
                <w:sz w:val="20"/>
                <w:szCs w:val="20"/>
              </w:rPr>
              <w:t>ef</w:t>
            </w:r>
            <w:r w:rsidR="007D7D34">
              <w:rPr>
                <w:sz w:val="20"/>
                <w:szCs w:val="20"/>
              </w:rPr>
              <w:t>ine</w:t>
            </w:r>
            <w:r>
              <w:rPr>
                <w:sz w:val="20"/>
                <w:szCs w:val="20"/>
              </w:rPr>
              <w:t>d</w:t>
            </w:r>
            <w:r w:rsidR="007D7D34">
              <w:rPr>
                <w:sz w:val="20"/>
                <w:szCs w:val="20"/>
              </w:rPr>
              <w:t xml:space="preserve"> </w:t>
            </w:r>
            <w:r w:rsidR="007D7D34" w:rsidRPr="007D7D34">
              <w:rPr>
                <w:sz w:val="20"/>
                <w:szCs w:val="20"/>
              </w:rPr>
              <w:t>Security Design (e.g. authorisation and authentication framework)</w:t>
            </w:r>
          </w:p>
          <w:p w14:paraId="209F0949" w14:textId="1D8BA967" w:rsidR="007D7D34" w:rsidRPr="007D7D34" w:rsidRDefault="00F9107A" w:rsidP="007D7D34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breakdown </w:t>
            </w:r>
            <w:r w:rsidR="000A7ADF">
              <w:rPr>
                <w:sz w:val="20"/>
                <w:szCs w:val="20"/>
              </w:rPr>
              <w:t>with</w:t>
            </w:r>
            <w:r>
              <w:rPr>
                <w:sz w:val="20"/>
                <w:szCs w:val="20"/>
              </w:rPr>
              <w:t xml:space="preserve"> </w:t>
            </w:r>
            <w:r w:rsidR="007D7D34" w:rsidRPr="007D7D34">
              <w:rPr>
                <w:sz w:val="20"/>
                <w:szCs w:val="20"/>
              </w:rPr>
              <w:t>High Level Estimate</w:t>
            </w:r>
            <w:r w:rsidR="000A7ADF">
              <w:rPr>
                <w:sz w:val="20"/>
                <w:szCs w:val="20"/>
              </w:rPr>
              <w:t>s</w:t>
            </w:r>
            <w:r w:rsidR="007D7D34" w:rsidRPr="007D7D34">
              <w:rPr>
                <w:sz w:val="20"/>
                <w:szCs w:val="20"/>
              </w:rPr>
              <w:t xml:space="preserve"> (HLE) of any impacts to RTB costs during detailed design by individual change, with re</w:t>
            </w:r>
            <w:r w:rsidR="007D7D34">
              <w:rPr>
                <w:sz w:val="20"/>
                <w:szCs w:val="20"/>
              </w:rPr>
              <w:t>levant supporting information.</w:t>
            </w:r>
          </w:p>
          <w:p w14:paraId="42119941" w14:textId="79222D11" w:rsidR="007A113D" w:rsidRPr="007A113D" w:rsidRDefault="007A113D" w:rsidP="007A113D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5212E958" w14:textId="77777777" w:rsidR="007A113D" w:rsidRPr="007A113D" w:rsidRDefault="007A113D" w:rsidP="007A113D">
      <w:pPr>
        <w:pStyle w:val="NoSpacing"/>
        <w:rPr>
          <w:rFonts w:eastAsia="Arial"/>
        </w:rPr>
      </w:pPr>
    </w:p>
    <w:p w14:paraId="3A8EC67C" w14:textId="77777777" w:rsidR="007A113D" w:rsidRPr="007A113D" w:rsidRDefault="007A113D" w:rsidP="007A113D">
      <w:pPr>
        <w:tabs>
          <w:tab w:val="left" w:pos="5384"/>
        </w:tabs>
        <w:rPr>
          <w:rFonts w:eastAsia="Arial" w:cs="Times New Roman"/>
          <w:b/>
          <w:sz w:val="20"/>
          <w:szCs w:val="20"/>
        </w:rPr>
      </w:pPr>
      <w:r w:rsidRPr="007A113D">
        <w:rPr>
          <w:rFonts w:eastAsia="Arial" w:cs="Arial"/>
          <w:b/>
          <w:sz w:val="20"/>
        </w:rPr>
        <w:t xml:space="preserve">Please send completed form to: </w:t>
      </w:r>
      <w:hyperlink r:id="rId11" w:history="1">
        <w:r w:rsidRPr="007A113D">
          <w:rPr>
            <w:rFonts w:eastAsia="Arial" w:cs="Arial"/>
            <w:b/>
            <w:color w:val="D2232A"/>
            <w:sz w:val="20"/>
            <w:u w:val="single"/>
          </w:rPr>
          <w:t>box.xoserve.portfoliooffice@xoserve.com</w:t>
        </w:r>
      </w:hyperlink>
    </w:p>
    <w:p w14:paraId="12616402" w14:textId="77777777" w:rsidR="007A113D" w:rsidRPr="007A113D" w:rsidRDefault="007A113D" w:rsidP="007A113D">
      <w:pPr>
        <w:rPr>
          <w:rFonts w:eastAsia="Arial" w:cs="Times New Roman"/>
          <w:b/>
          <w:sz w:val="20"/>
          <w:szCs w:val="20"/>
        </w:rPr>
      </w:pPr>
      <w:r w:rsidRPr="007A113D">
        <w:rPr>
          <w:rFonts w:eastAsia="Arial" w:cs="Times New Roman"/>
          <w:b/>
          <w:sz w:val="20"/>
          <w:szCs w:val="20"/>
        </w:rPr>
        <w:t>Document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768"/>
        <w:gridCol w:w="1637"/>
        <w:gridCol w:w="1217"/>
        <w:gridCol w:w="1492"/>
        <w:gridCol w:w="3843"/>
      </w:tblGrid>
      <w:tr w:rsidR="007A113D" w:rsidRPr="007A113D" w14:paraId="656FD916" w14:textId="77777777" w:rsidTr="00CD6259">
        <w:trPr>
          <w:trHeight w:val="611"/>
        </w:trPr>
        <w:tc>
          <w:tcPr>
            <w:tcW w:w="888" w:type="pct"/>
            <w:shd w:val="clear" w:color="auto" w:fill="D6DCF0" w:themeFill="accent1" w:themeFillTint="33"/>
            <w:vAlign w:val="center"/>
          </w:tcPr>
          <w:p w14:paraId="3D4655DA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A113D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822" w:type="pct"/>
            <w:shd w:val="clear" w:color="auto" w:fill="D6DCF0" w:themeFill="accent1" w:themeFillTint="33"/>
            <w:vAlign w:val="center"/>
          </w:tcPr>
          <w:p w14:paraId="4E585DB7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A113D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611" w:type="pct"/>
            <w:shd w:val="clear" w:color="auto" w:fill="D6DCF0" w:themeFill="accent1" w:themeFillTint="33"/>
            <w:vAlign w:val="center"/>
          </w:tcPr>
          <w:p w14:paraId="2F10274C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A113D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49" w:type="pct"/>
            <w:shd w:val="clear" w:color="auto" w:fill="D6DCF0" w:themeFill="accent1" w:themeFillTint="33"/>
            <w:vAlign w:val="center"/>
          </w:tcPr>
          <w:p w14:paraId="19C06514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A113D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30" w:type="pct"/>
            <w:shd w:val="clear" w:color="auto" w:fill="D6DCF0" w:themeFill="accent1" w:themeFillTint="33"/>
            <w:vAlign w:val="center"/>
          </w:tcPr>
          <w:p w14:paraId="04F27B46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A113D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7A113D" w:rsidRPr="007A113D" w14:paraId="5B1D619B" w14:textId="77777777" w:rsidTr="00CD6259">
        <w:tc>
          <w:tcPr>
            <w:tcW w:w="888" w:type="pct"/>
          </w:tcPr>
          <w:p w14:paraId="0EE804BA" w14:textId="5C40E640" w:rsidR="007A113D" w:rsidRPr="007A113D" w:rsidRDefault="001E5AEA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0.1</w:t>
            </w:r>
          </w:p>
        </w:tc>
        <w:tc>
          <w:tcPr>
            <w:tcW w:w="822" w:type="pct"/>
          </w:tcPr>
          <w:p w14:paraId="7609FDFA" w14:textId="40CE1FD5" w:rsidR="007A113D" w:rsidRPr="007A113D" w:rsidRDefault="001E5AEA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Draft</w:t>
            </w:r>
          </w:p>
        </w:tc>
        <w:tc>
          <w:tcPr>
            <w:tcW w:w="611" w:type="pct"/>
          </w:tcPr>
          <w:p w14:paraId="786158AD" w14:textId="2A32278D" w:rsidR="007A113D" w:rsidRPr="007A113D" w:rsidRDefault="00E523E4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</w:t>
            </w:r>
            <w:r w:rsidR="00960E92">
              <w:rPr>
                <w:rFonts w:eastAsia="Times New Roman" w:cs="Arial"/>
                <w:sz w:val="20"/>
                <w:szCs w:val="20"/>
              </w:rPr>
              <w:t>9</w:t>
            </w:r>
            <w:r>
              <w:rPr>
                <w:rFonts w:eastAsia="Times New Roman" w:cs="Arial"/>
                <w:sz w:val="20"/>
                <w:szCs w:val="20"/>
              </w:rPr>
              <w:t>/0</w:t>
            </w:r>
            <w:r w:rsidR="00960E92">
              <w:rPr>
                <w:rFonts w:eastAsia="Times New Roman" w:cs="Arial"/>
                <w:sz w:val="20"/>
                <w:szCs w:val="20"/>
              </w:rPr>
              <w:t>7</w:t>
            </w:r>
            <w:r>
              <w:rPr>
                <w:rFonts w:eastAsia="Times New Roman" w:cs="Arial"/>
                <w:sz w:val="20"/>
                <w:szCs w:val="20"/>
              </w:rPr>
              <w:t>/2020</w:t>
            </w:r>
          </w:p>
        </w:tc>
        <w:tc>
          <w:tcPr>
            <w:tcW w:w="749" w:type="pct"/>
          </w:tcPr>
          <w:p w14:paraId="4993E49A" w14:textId="50419327" w:rsidR="007A113D" w:rsidRPr="007A113D" w:rsidRDefault="001E5AEA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R.Hadfield</w:t>
            </w:r>
            <w:proofErr w:type="gramEnd"/>
          </w:p>
        </w:tc>
        <w:tc>
          <w:tcPr>
            <w:tcW w:w="1930" w:type="pct"/>
          </w:tcPr>
          <w:p w14:paraId="49B5B63F" w14:textId="4350DF98" w:rsidR="007A113D" w:rsidRPr="007A113D" w:rsidRDefault="001E5AEA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Initial Draft</w:t>
            </w:r>
            <w:r w:rsidR="00960E92">
              <w:rPr>
                <w:rFonts w:eastAsia="Times New Roman" w:cs="Arial"/>
                <w:sz w:val="20"/>
                <w:szCs w:val="20"/>
              </w:rPr>
              <w:t xml:space="preserve"> for review</w:t>
            </w:r>
          </w:p>
        </w:tc>
      </w:tr>
      <w:tr w:rsidR="0054749A" w:rsidRPr="007A113D" w14:paraId="3A2475CA" w14:textId="77777777" w:rsidTr="00CD6259">
        <w:tc>
          <w:tcPr>
            <w:tcW w:w="888" w:type="pct"/>
          </w:tcPr>
          <w:p w14:paraId="3E103470" w14:textId="0B23E048" w:rsidR="0054749A" w:rsidRDefault="008746D4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0.2</w:t>
            </w:r>
          </w:p>
        </w:tc>
        <w:tc>
          <w:tcPr>
            <w:tcW w:w="822" w:type="pct"/>
          </w:tcPr>
          <w:p w14:paraId="0EB88CC0" w14:textId="04667323" w:rsidR="0054749A" w:rsidRDefault="008746D4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Draft</w:t>
            </w:r>
          </w:p>
        </w:tc>
        <w:tc>
          <w:tcPr>
            <w:tcW w:w="611" w:type="pct"/>
          </w:tcPr>
          <w:p w14:paraId="58FC66FC" w14:textId="6F79C300" w:rsidR="0054749A" w:rsidRDefault="00A131BD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30</w:t>
            </w:r>
            <w:r w:rsidR="008746D4">
              <w:rPr>
                <w:rFonts w:eastAsia="Times New Roman" w:cs="Arial"/>
                <w:sz w:val="20"/>
                <w:szCs w:val="20"/>
              </w:rPr>
              <w:t>/07/2020</w:t>
            </w:r>
          </w:p>
        </w:tc>
        <w:tc>
          <w:tcPr>
            <w:tcW w:w="749" w:type="pct"/>
          </w:tcPr>
          <w:p w14:paraId="6607A517" w14:textId="3F210D81" w:rsidR="0054749A" w:rsidRDefault="008746D4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R.Hadfield</w:t>
            </w:r>
            <w:proofErr w:type="gramEnd"/>
          </w:p>
        </w:tc>
        <w:tc>
          <w:tcPr>
            <w:tcW w:w="1930" w:type="pct"/>
          </w:tcPr>
          <w:p w14:paraId="4E555180" w14:textId="03085ED3" w:rsidR="0054749A" w:rsidRDefault="008746D4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Amendments to </w:t>
            </w:r>
            <w:r w:rsidR="00175E55">
              <w:rPr>
                <w:rFonts w:eastAsia="Times New Roman" w:cs="Arial"/>
                <w:sz w:val="20"/>
                <w:szCs w:val="20"/>
              </w:rPr>
              <w:t>sections 2 and 3</w:t>
            </w:r>
          </w:p>
        </w:tc>
      </w:tr>
      <w:tr w:rsidR="00626D17" w:rsidRPr="007A113D" w14:paraId="7423EAB6" w14:textId="77777777" w:rsidTr="00CD6259">
        <w:tc>
          <w:tcPr>
            <w:tcW w:w="888" w:type="pct"/>
          </w:tcPr>
          <w:p w14:paraId="7791C62F" w14:textId="545C489D" w:rsidR="00626D17" w:rsidRDefault="00CD6259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</w:t>
            </w:r>
            <w:r w:rsidR="00343FF2">
              <w:rPr>
                <w:rFonts w:eastAsia="Times New Roman" w:cs="Arial"/>
                <w:sz w:val="20"/>
                <w:szCs w:val="20"/>
              </w:rPr>
              <w:t>.0</w:t>
            </w:r>
          </w:p>
        </w:tc>
        <w:tc>
          <w:tcPr>
            <w:tcW w:w="822" w:type="pct"/>
          </w:tcPr>
          <w:p w14:paraId="2E6CE559" w14:textId="409D556E" w:rsidR="00626D17" w:rsidRDefault="00343FF2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Issued</w:t>
            </w:r>
          </w:p>
        </w:tc>
        <w:tc>
          <w:tcPr>
            <w:tcW w:w="611" w:type="pct"/>
          </w:tcPr>
          <w:p w14:paraId="22A74CF1" w14:textId="39A0B77F" w:rsidR="00626D17" w:rsidRDefault="00343FF2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31/07/2020</w:t>
            </w:r>
          </w:p>
        </w:tc>
        <w:tc>
          <w:tcPr>
            <w:tcW w:w="749" w:type="pct"/>
          </w:tcPr>
          <w:p w14:paraId="073F8994" w14:textId="30431FCC" w:rsidR="00626D17" w:rsidRDefault="00343FF2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R.Hadfield</w:t>
            </w:r>
            <w:proofErr w:type="gramEnd"/>
          </w:p>
        </w:tc>
        <w:tc>
          <w:tcPr>
            <w:tcW w:w="1930" w:type="pct"/>
          </w:tcPr>
          <w:p w14:paraId="2B8DA5F1" w14:textId="459A357C" w:rsidR="00626D17" w:rsidRDefault="007B6FCD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Issued for review</w:t>
            </w:r>
          </w:p>
        </w:tc>
      </w:tr>
      <w:tr w:rsidR="00CD6259" w14:paraId="292343B8" w14:textId="77777777" w:rsidTr="00CD6259">
        <w:tc>
          <w:tcPr>
            <w:tcW w:w="888" w:type="pct"/>
          </w:tcPr>
          <w:p w14:paraId="736BE60B" w14:textId="77777777" w:rsidR="00CD6259" w:rsidRDefault="00CD6259" w:rsidP="00E841F2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1.1</w:t>
            </w:r>
          </w:p>
        </w:tc>
        <w:tc>
          <w:tcPr>
            <w:tcW w:w="822" w:type="pct"/>
          </w:tcPr>
          <w:p w14:paraId="0D652883" w14:textId="77777777" w:rsidR="00CD6259" w:rsidRDefault="00CD6259" w:rsidP="00E841F2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Issued</w:t>
            </w:r>
          </w:p>
        </w:tc>
        <w:tc>
          <w:tcPr>
            <w:tcW w:w="611" w:type="pct"/>
          </w:tcPr>
          <w:p w14:paraId="7CCFEE72" w14:textId="77777777" w:rsidR="00CD6259" w:rsidRDefault="00CD6259" w:rsidP="00E841F2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31/07/2020</w:t>
            </w:r>
          </w:p>
        </w:tc>
        <w:tc>
          <w:tcPr>
            <w:tcW w:w="749" w:type="pct"/>
          </w:tcPr>
          <w:p w14:paraId="4FFB88D8" w14:textId="77777777" w:rsidR="00CD6259" w:rsidRDefault="00CD6259" w:rsidP="00E841F2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R.Hadfield</w:t>
            </w:r>
            <w:proofErr w:type="gramEnd"/>
          </w:p>
        </w:tc>
        <w:tc>
          <w:tcPr>
            <w:tcW w:w="1930" w:type="pct"/>
          </w:tcPr>
          <w:p w14:paraId="7FBDA300" w14:textId="77777777" w:rsidR="00CD6259" w:rsidRDefault="00CD6259" w:rsidP="00E841F2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Updates to sections 1 and 5 to cover revised EQR </w:t>
            </w:r>
          </w:p>
        </w:tc>
      </w:tr>
    </w:tbl>
    <w:p w14:paraId="11366588" w14:textId="77777777" w:rsidR="007A113D" w:rsidRPr="007A113D" w:rsidRDefault="007A113D" w:rsidP="007A113D">
      <w:pPr>
        <w:rPr>
          <w:rFonts w:eastAsia="Arial" w:cs="Times New Roman"/>
          <w:b/>
          <w:sz w:val="20"/>
          <w:szCs w:val="20"/>
        </w:rPr>
      </w:pPr>
      <w:r w:rsidRPr="007A113D">
        <w:rPr>
          <w:rFonts w:eastAsia="Arial" w:cs="Times New Roman"/>
          <w:b/>
          <w:sz w:val="20"/>
          <w:szCs w:val="20"/>
        </w:rPr>
        <w:br/>
        <w:t>Template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385"/>
        <w:gridCol w:w="1519"/>
        <w:gridCol w:w="1384"/>
        <w:gridCol w:w="2073"/>
        <w:gridCol w:w="3596"/>
      </w:tblGrid>
      <w:tr w:rsidR="007A113D" w:rsidRPr="007A113D" w14:paraId="36264F2C" w14:textId="77777777" w:rsidTr="00514B8E">
        <w:trPr>
          <w:trHeight w:val="611"/>
        </w:trPr>
        <w:tc>
          <w:tcPr>
            <w:tcW w:w="695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6EE1CD4C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18"/>
                <w:szCs w:val="20"/>
              </w:rPr>
            </w:pPr>
            <w:r w:rsidRPr="007A113D">
              <w:rPr>
                <w:rFonts w:eastAsia="Times New Roman" w:cs="Arial"/>
                <w:b/>
                <w:sz w:val="18"/>
                <w:szCs w:val="20"/>
              </w:rPr>
              <w:t>Version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678DD3F8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18"/>
                <w:szCs w:val="20"/>
              </w:rPr>
            </w:pPr>
            <w:r w:rsidRPr="007A113D">
              <w:rPr>
                <w:rFonts w:eastAsia="Times New Roman" w:cs="Arial"/>
                <w:b/>
                <w:sz w:val="18"/>
                <w:szCs w:val="20"/>
              </w:rPr>
              <w:t>Status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4709B892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18"/>
                <w:szCs w:val="20"/>
              </w:rPr>
            </w:pPr>
            <w:r w:rsidRPr="007A113D">
              <w:rPr>
                <w:rFonts w:eastAsia="Times New Roman" w:cs="Arial"/>
                <w:b/>
                <w:sz w:val="18"/>
                <w:szCs w:val="20"/>
              </w:rPr>
              <w:t>Date</w:t>
            </w:r>
          </w:p>
        </w:tc>
        <w:tc>
          <w:tcPr>
            <w:tcW w:w="1041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5AFA8CF5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18"/>
                <w:szCs w:val="20"/>
              </w:rPr>
            </w:pPr>
            <w:r w:rsidRPr="007A113D">
              <w:rPr>
                <w:rFonts w:eastAsia="Times New Roman" w:cs="Arial"/>
                <w:b/>
                <w:sz w:val="18"/>
                <w:szCs w:val="20"/>
              </w:rPr>
              <w:t>Author(s)</w:t>
            </w:r>
          </w:p>
        </w:tc>
        <w:tc>
          <w:tcPr>
            <w:tcW w:w="1806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58FE7DA0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18"/>
                <w:szCs w:val="20"/>
              </w:rPr>
            </w:pPr>
            <w:r w:rsidRPr="007A113D">
              <w:rPr>
                <w:rFonts w:eastAsia="Times New Roman" w:cs="Arial"/>
                <w:b/>
                <w:sz w:val="18"/>
                <w:szCs w:val="20"/>
              </w:rPr>
              <w:t>Summary of Changes</w:t>
            </w:r>
          </w:p>
        </w:tc>
      </w:tr>
      <w:tr w:rsidR="007A113D" w:rsidRPr="007A113D" w14:paraId="5C1D11E6" w14:textId="77777777" w:rsidTr="00514B8E">
        <w:trPr>
          <w:trHeight w:val="461"/>
        </w:trPr>
        <w:tc>
          <w:tcPr>
            <w:tcW w:w="695" w:type="pct"/>
            <w:shd w:val="clear" w:color="auto" w:fill="FFFFFF" w:themeFill="background1"/>
            <w:vAlign w:val="center"/>
          </w:tcPr>
          <w:p w14:paraId="76B821F9" w14:textId="77777777" w:rsidR="007A113D" w:rsidRPr="007A113D" w:rsidRDefault="007A113D" w:rsidP="007A113D">
            <w:pPr>
              <w:jc w:val="center"/>
              <w:rPr>
                <w:rFonts w:eastAsia="Times New Roman" w:cs="Arial"/>
                <w:sz w:val="18"/>
              </w:rPr>
            </w:pPr>
            <w:r w:rsidRPr="007A113D">
              <w:rPr>
                <w:rFonts w:eastAsia="Times New Roman" w:cs="Arial"/>
                <w:sz w:val="18"/>
              </w:rPr>
              <w:t>2.0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10FC493E" w14:textId="77777777" w:rsidR="007A113D" w:rsidRPr="007A113D" w:rsidRDefault="007A113D" w:rsidP="007A113D">
            <w:pPr>
              <w:jc w:val="center"/>
              <w:rPr>
                <w:rFonts w:eastAsia="Times New Roman" w:cs="Arial"/>
                <w:sz w:val="18"/>
              </w:rPr>
            </w:pPr>
            <w:r w:rsidRPr="007A113D">
              <w:rPr>
                <w:rFonts w:eastAsia="Times New Roman" w:cs="Arial"/>
                <w:sz w:val="18"/>
              </w:rPr>
              <w:t>Approved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14:paraId="399285B3" w14:textId="77777777" w:rsidR="007A113D" w:rsidRPr="007A113D" w:rsidRDefault="007A113D" w:rsidP="007A113D">
            <w:pPr>
              <w:jc w:val="center"/>
              <w:rPr>
                <w:rFonts w:eastAsia="Times New Roman" w:cs="Arial"/>
                <w:sz w:val="18"/>
              </w:rPr>
            </w:pPr>
            <w:r w:rsidRPr="007A113D">
              <w:rPr>
                <w:rFonts w:eastAsia="Times New Roman" w:cs="Arial"/>
                <w:sz w:val="18"/>
              </w:rPr>
              <w:t>17/07/2018</w:t>
            </w:r>
          </w:p>
        </w:tc>
        <w:tc>
          <w:tcPr>
            <w:tcW w:w="1041" w:type="pct"/>
            <w:shd w:val="clear" w:color="auto" w:fill="FFFFFF" w:themeFill="background1"/>
            <w:vAlign w:val="center"/>
          </w:tcPr>
          <w:p w14:paraId="451FE404" w14:textId="77777777" w:rsidR="007A113D" w:rsidRPr="007A113D" w:rsidRDefault="007A113D" w:rsidP="007A113D">
            <w:pPr>
              <w:rPr>
                <w:rFonts w:eastAsia="Times New Roman" w:cs="Arial"/>
                <w:sz w:val="18"/>
              </w:rPr>
            </w:pPr>
            <w:r w:rsidRPr="007A113D">
              <w:rPr>
                <w:rFonts w:eastAsia="Times New Roman" w:cs="Arial"/>
                <w:sz w:val="18"/>
              </w:rPr>
              <w:t>Rebecca Perkins</w:t>
            </w:r>
          </w:p>
        </w:tc>
        <w:tc>
          <w:tcPr>
            <w:tcW w:w="1806" w:type="pct"/>
            <w:shd w:val="clear" w:color="auto" w:fill="FFFFFF" w:themeFill="background1"/>
            <w:vAlign w:val="center"/>
          </w:tcPr>
          <w:p w14:paraId="737B4BEF" w14:textId="77777777" w:rsidR="007A113D" w:rsidRPr="007A113D" w:rsidRDefault="007A113D" w:rsidP="007A113D">
            <w:pPr>
              <w:rPr>
                <w:rFonts w:eastAsia="Times New Roman" w:cs="Arial"/>
                <w:sz w:val="18"/>
              </w:rPr>
            </w:pPr>
            <w:r w:rsidRPr="007A113D">
              <w:rPr>
                <w:rFonts w:eastAsia="Times New Roman" w:cs="Arial"/>
                <w:sz w:val="18"/>
              </w:rPr>
              <w:t>Template approved at ChMC on 11</w:t>
            </w:r>
            <w:r w:rsidRPr="007A113D">
              <w:rPr>
                <w:rFonts w:eastAsia="Times New Roman" w:cs="Arial"/>
                <w:sz w:val="18"/>
                <w:vertAlign w:val="superscript"/>
              </w:rPr>
              <w:t>th</w:t>
            </w:r>
            <w:r w:rsidRPr="007A113D">
              <w:rPr>
                <w:rFonts w:eastAsia="Times New Roman" w:cs="Arial"/>
                <w:sz w:val="18"/>
              </w:rPr>
              <w:t xml:space="preserve"> July</w:t>
            </w:r>
          </w:p>
        </w:tc>
      </w:tr>
      <w:tr w:rsidR="007A113D" w:rsidRPr="007A113D" w14:paraId="08F3E9CF" w14:textId="77777777" w:rsidTr="00514B8E">
        <w:trPr>
          <w:trHeight w:val="461"/>
        </w:trPr>
        <w:tc>
          <w:tcPr>
            <w:tcW w:w="695" w:type="pct"/>
            <w:shd w:val="clear" w:color="auto" w:fill="FFFFFF" w:themeFill="background1"/>
            <w:vAlign w:val="center"/>
          </w:tcPr>
          <w:p w14:paraId="4128909B" w14:textId="1499ED80" w:rsidR="007A113D" w:rsidRPr="007A113D" w:rsidRDefault="00B35A54" w:rsidP="007A113D">
            <w:pPr>
              <w:jc w:val="center"/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18"/>
              </w:rPr>
              <w:t>3.0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4C406186" w14:textId="57E0F962" w:rsidR="007A113D" w:rsidRPr="007A113D" w:rsidRDefault="00B35A54" w:rsidP="007A113D">
            <w:pPr>
              <w:jc w:val="center"/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18"/>
              </w:rPr>
              <w:t>Approved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14:paraId="5CEA3C00" w14:textId="61B4B65C" w:rsidR="007A113D" w:rsidRPr="007A113D" w:rsidRDefault="007A113D" w:rsidP="007A113D">
            <w:pPr>
              <w:jc w:val="center"/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18"/>
              </w:rPr>
              <w:t>19/12/18</w:t>
            </w:r>
          </w:p>
        </w:tc>
        <w:tc>
          <w:tcPr>
            <w:tcW w:w="1041" w:type="pct"/>
            <w:shd w:val="clear" w:color="auto" w:fill="FFFFFF" w:themeFill="background1"/>
            <w:vAlign w:val="center"/>
          </w:tcPr>
          <w:p w14:paraId="210CC28A" w14:textId="6CC4E3BA" w:rsidR="007A113D" w:rsidRPr="007A113D" w:rsidRDefault="007A113D" w:rsidP="007A113D">
            <w:pPr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18"/>
              </w:rPr>
              <w:t>Heather Spensley</w:t>
            </w:r>
          </w:p>
        </w:tc>
        <w:tc>
          <w:tcPr>
            <w:tcW w:w="1806" w:type="pct"/>
            <w:shd w:val="clear" w:color="auto" w:fill="FFFFFF" w:themeFill="background1"/>
            <w:vAlign w:val="center"/>
          </w:tcPr>
          <w:p w14:paraId="018FE940" w14:textId="30D029F2" w:rsidR="007A113D" w:rsidRPr="007A113D" w:rsidRDefault="007A113D" w:rsidP="007A113D">
            <w:pPr>
              <w:rPr>
                <w:rFonts w:eastAsia="Times New Roman" w:cs="Arial"/>
                <w:sz w:val="18"/>
              </w:rPr>
            </w:pPr>
            <w:r w:rsidRPr="007A113D">
              <w:rPr>
                <w:rFonts w:eastAsia="Times New Roman" w:cs="Arial"/>
                <w:sz w:val="18"/>
              </w:rPr>
              <w:t>Moved onto Xoserve’s new Word template in line with new branding</w:t>
            </w:r>
          </w:p>
        </w:tc>
      </w:tr>
    </w:tbl>
    <w:p w14:paraId="2DA64D6E" w14:textId="18F8D134" w:rsidR="00D66C7E" w:rsidRPr="00D66C7E" w:rsidRDefault="00D66C7E" w:rsidP="00D66C7E">
      <w:r>
        <w:br w:type="textWrapping" w:clear="all"/>
      </w:r>
    </w:p>
    <w:sectPr w:rsidR="00D66C7E" w:rsidRPr="00D66C7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D54D0" w14:textId="77777777" w:rsidR="00B01632" w:rsidRDefault="00B01632" w:rsidP="00324744">
      <w:pPr>
        <w:spacing w:after="0" w:line="240" w:lineRule="auto"/>
      </w:pPr>
      <w:r>
        <w:separator/>
      </w:r>
    </w:p>
  </w:endnote>
  <w:endnote w:type="continuationSeparator" w:id="0">
    <w:p w14:paraId="64C6FFD3" w14:textId="77777777" w:rsidR="00B01632" w:rsidRDefault="00B01632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64D92" w14:textId="77777777" w:rsidR="00BD0A45" w:rsidRDefault="00BD0A4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A64D95" wp14:editId="2DA64D96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42086F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94155" w14:textId="77777777" w:rsidR="00B01632" w:rsidRDefault="00B01632" w:rsidP="00324744">
      <w:pPr>
        <w:spacing w:after="0" w:line="240" w:lineRule="auto"/>
      </w:pPr>
      <w:r>
        <w:separator/>
      </w:r>
    </w:p>
  </w:footnote>
  <w:footnote w:type="continuationSeparator" w:id="0">
    <w:p w14:paraId="421B701D" w14:textId="77777777" w:rsidR="00B01632" w:rsidRDefault="00B01632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64D91" w14:textId="77777777" w:rsidR="00324744" w:rsidRDefault="003247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A64D93" wp14:editId="2DA64D94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4B95E4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A0542"/>
    <w:multiLevelType w:val="hybridMultilevel"/>
    <w:tmpl w:val="B65447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60CF9"/>
    <w:multiLevelType w:val="hybridMultilevel"/>
    <w:tmpl w:val="B6B26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22076"/>
    <w:multiLevelType w:val="hybridMultilevel"/>
    <w:tmpl w:val="297E0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E073C"/>
    <w:multiLevelType w:val="hybridMultilevel"/>
    <w:tmpl w:val="5CD24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67613"/>
    <w:rsid w:val="00067FA3"/>
    <w:rsid w:val="0009211B"/>
    <w:rsid w:val="000A1A72"/>
    <w:rsid w:val="000A1AD1"/>
    <w:rsid w:val="000A7ADF"/>
    <w:rsid w:val="000B21E3"/>
    <w:rsid w:val="000B54C7"/>
    <w:rsid w:val="000B5B98"/>
    <w:rsid w:val="000E4CCC"/>
    <w:rsid w:val="00104F1F"/>
    <w:rsid w:val="001108D1"/>
    <w:rsid w:val="001178BC"/>
    <w:rsid w:val="00125B61"/>
    <w:rsid w:val="00144E00"/>
    <w:rsid w:val="00151BE5"/>
    <w:rsid w:val="00152E99"/>
    <w:rsid w:val="001615C2"/>
    <w:rsid w:val="0017550E"/>
    <w:rsid w:val="00175E55"/>
    <w:rsid w:val="001835AB"/>
    <w:rsid w:val="001C3241"/>
    <w:rsid w:val="001C7CA9"/>
    <w:rsid w:val="001E0DAB"/>
    <w:rsid w:val="001E2C89"/>
    <w:rsid w:val="001E5AEA"/>
    <w:rsid w:val="0020257E"/>
    <w:rsid w:val="00205454"/>
    <w:rsid w:val="002104EC"/>
    <w:rsid w:val="0021201F"/>
    <w:rsid w:val="002244E1"/>
    <w:rsid w:val="00226D34"/>
    <w:rsid w:val="00240F79"/>
    <w:rsid w:val="00247E0C"/>
    <w:rsid w:val="00250552"/>
    <w:rsid w:val="0025435D"/>
    <w:rsid w:val="002627D3"/>
    <w:rsid w:val="002761FA"/>
    <w:rsid w:val="002A0FE7"/>
    <w:rsid w:val="002C48EF"/>
    <w:rsid w:val="002E1314"/>
    <w:rsid w:val="003113B1"/>
    <w:rsid w:val="00312524"/>
    <w:rsid w:val="0031497F"/>
    <w:rsid w:val="00324744"/>
    <w:rsid w:val="00343FF2"/>
    <w:rsid w:val="00344BA4"/>
    <w:rsid w:val="003520FA"/>
    <w:rsid w:val="0036480A"/>
    <w:rsid w:val="00384C7D"/>
    <w:rsid w:val="00392D4E"/>
    <w:rsid w:val="003C5F6B"/>
    <w:rsid w:val="003D0470"/>
    <w:rsid w:val="003D58CF"/>
    <w:rsid w:val="003F4BF9"/>
    <w:rsid w:val="003F7B86"/>
    <w:rsid w:val="00404190"/>
    <w:rsid w:val="00410912"/>
    <w:rsid w:val="00414E5B"/>
    <w:rsid w:val="004156D9"/>
    <w:rsid w:val="00426807"/>
    <w:rsid w:val="00433E94"/>
    <w:rsid w:val="00436A9A"/>
    <w:rsid w:val="0044426A"/>
    <w:rsid w:val="00451A47"/>
    <w:rsid w:val="004614BF"/>
    <w:rsid w:val="0046194E"/>
    <w:rsid w:val="004720DB"/>
    <w:rsid w:val="00486FEB"/>
    <w:rsid w:val="00487136"/>
    <w:rsid w:val="00492F5B"/>
    <w:rsid w:val="0049347C"/>
    <w:rsid w:val="004A213D"/>
    <w:rsid w:val="004B68BF"/>
    <w:rsid w:val="004D0908"/>
    <w:rsid w:val="004D33C1"/>
    <w:rsid w:val="004F3362"/>
    <w:rsid w:val="004F6551"/>
    <w:rsid w:val="00517F6F"/>
    <w:rsid w:val="0054749A"/>
    <w:rsid w:val="0055298E"/>
    <w:rsid w:val="005544BD"/>
    <w:rsid w:val="00565C5B"/>
    <w:rsid w:val="00566102"/>
    <w:rsid w:val="00584739"/>
    <w:rsid w:val="00586557"/>
    <w:rsid w:val="0059282C"/>
    <w:rsid w:val="005A6656"/>
    <w:rsid w:val="00603B6F"/>
    <w:rsid w:val="00605167"/>
    <w:rsid w:val="00617008"/>
    <w:rsid w:val="00624FD2"/>
    <w:rsid w:val="00626D17"/>
    <w:rsid w:val="00643C3E"/>
    <w:rsid w:val="006828F3"/>
    <w:rsid w:val="006B566B"/>
    <w:rsid w:val="006D075A"/>
    <w:rsid w:val="006E6528"/>
    <w:rsid w:val="006F1A6B"/>
    <w:rsid w:val="006F343E"/>
    <w:rsid w:val="00717778"/>
    <w:rsid w:val="00722E91"/>
    <w:rsid w:val="007243D3"/>
    <w:rsid w:val="00744671"/>
    <w:rsid w:val="007524B6"/>
    <w:rsid w:val="007543CC"/>
    <w:rsid w:val="00774F28"/>
    <w:rsid w:val="00780074"/>
    <w:rsid w:val="007930A7"/>
    <w:rsid w:val="00795245"/>
    <w:rsid w:val="007A113D"/>
    <w:rsid w:val="007A56DB"/>
    <w:rsid w:val="007B6FCD"/>
    <w:rsid w:val="007D4F26"/>
    <w:rsid w:val="007D7073"/>
    <w:rsid w:val="007D7D34"/>
    <w:rsid w:val="007E5485"/>
    <w:rsid w:val="00804EFE"/>
    <w:rsid w:val="00811211"/>
    <w:rsid w:val="00813949"/>
    <w:rsid w:val="00845F11"/>
    <w:rsid w:val="008746D4"/>
    <w:rsid w:val="008A327D"/>
    <w:rsid w:val="008D46A4"/>
    <w:rsid w:val="008D6E14"/>
    <w:rsid w:val="00907651"/>
    <w:rsid w:val="00954294"/>
    <w:rsid w:val="00960E92"/>
    <w:rsid w:val="009658AB"/>
    <w:rsid w:val="0097215F"/>
    <w:rsid w:val="0098074D"/>
    <w:rsid w:val="00990831"/>
    <w:rsid w:val="00992DEF"/>
    <w:rsid w:val="009944A4"/>
    <w:rsid w:val="00996E71"/>
    <w:rsid w:val="009D63D3"/>
    <w:rsid w:val="009F7D92"/>
    <w:rsid w:val="00A131BD"/>
    <w:rsid w:val="00A13243"/>
    <w:rsid w:val="00A87173"/>
    <w:rsid w:val="00A95637"/>
    <w:rsid w:val="00AB5B54"/>
    <w:rsid w:val="00AB63DE"/>
    <w:rsid w:val="00AD5477"/>
    <w:rsid w:val="00AF34E2"/>
    <w:rsid w:val="00B01632"/>
    <w:rsid w:val="00B14E8B"/>
    <w:rsid w:val="00B35A54"/>
    <w:rsid w:val="00B37D9F"/>
    <w:rsid w:val="00B741A2"/>
    <w:rsid w:val="00B75BA5"/>
    <w:rsid w:val="00BB1504"/>
    <w:rsid w:val="00BD0A45"/>
    <w:rsid w:val="00C0410A"/>
    <w:rsid w:val="00C10845"/>
    <w:rsid w:val="00C2406A"/>
    <w:rsid w:val="00C56167"/>
    <w:rsid w:val="00C5677B"/>
    <w:rsid w:val="00C97A2F"/>
    <w:rsid w:val="00CC157E"/>
    <w:rsid w:val="00CD01EE"/>
    <w:rsid w:val="00CD272E"/>
    <w:rsid w:val="00CD6259"/>
    <w:rsid w:val="00CD770C"/>
    <w:rsid w:val="00CE6D81"/>
    <w:rsid w:val="00D01E39"/>
    <w:rsid w:val="00D11247"/>
    <w:rsid w:val="00D205AD"/>
    <w:rsid w:val="00D31E04"/>
    <w:rsid w:val="00D3406E"/>
    <w:rsid w:val="00D608A2"/>
    <w:rsid w:val="00D66C7E"/>
    <w:rsid w:val="00D9006A"/>
    <w:rsid w:val="00D93217"/>
    <w:rsid w:val="00DB1806"/>
    <w:rsid w:val="00DC4386"/>
    <w:rsid w:val="00DC71C3"/>
    <w:rsid w:val="00DF69F3"/>
    <w:rsid w:val="00E03DBB"/>
    <w:rsid w:val="00E320A9"/>
    <w:rsid w:val="00E42BBF"/>
    <w:rsid w:val="00E51CD1"/>
    <w:rsid w:val="00E523E4"/>
    <w:rsid w:val="00EB0746"/>
    <w:rsid w:val="00ED38E9"/>
    <w:rsid w:val="00EE0A27"/>
    <w:rsid w:val="00EE7A11"/>
    <w:rsid w:val="00EF395A"/>
    <w:rsid w:val="00F167FA"/>
    <w:rsid w:val="00F168AF"/>
    <w:rsid w:val="00F40122"/>
    <w:rsid w:val="00F43D25"/>
    <w:rsid w:val="00F72C62"/>
    <w:rsid w:val="00F81935"/>
    <w:rsid w:val="00F9107A"/>
    <w:rsid w:val="00F95876"/>
    <w:rsid w:val="00FB10A0"/>
    <w:rsid w:val="00FC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64D46"/>
  <w15:docId w15:val="{02F2C41E-C6D0-401F-A205-0B5F3531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7A1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A1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9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4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ox.xoserve.portfoliooffice@xoserve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M xmlns="5844fa40-a696-4ac9-bd38-c0330d295109" xsi:nil="true"/>
    <Date_x0020_of_x0020_Meetings xmlns="5844fa40-a696-4ac9-bd38-c0330d295109" xsi:nil="true"/>
    <_x006a_hd3 xmlns="5844fa40-a696-4ac9-bd38-c0330d295109" xsi:nil="true"/>
    <Customer_x0020_Contracts_x0020_Lead xmlns="5844fa40-a696-4ac9-bd38-c0330d29510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D4E94D94ABB48A35A572EF9A60258" ma:contentTypeVersion="14" ma:contentTypeDescription="Create a new document." ma:contentTypeScope="" ma:versionID="33b8fecee8c4713a57430302bf85c5cc">
  <xsd:schema xmlns:xsd="http://www.w3.org/2001/XMLSchema" xmlns:xs="http://www.w3.org/2001/XMLSchema" xmlns:p="http://schemas.microsoft.com/office/2006/metadata/properties" xmlns:ns2="5844fa40-a696-4ac9-bd38-c0330d295109" xmlns:ns3="c78a4dae-5fc0-4ed3-ad80-da51122ab114" targetNamespace="http://schemas.microsoft.com/office/2006/metadata/properties" ma:root="true" ma:fieldsID="f5412dd98e0cafb03a0a30bd6733c8ea" ns2:_="" ns3:_="">
    <xsd:import namespace="5844fa40-a696-4ac9-bd38-c0330d295109"/>
    <xsd:import namespace="c78a4dae-5fc0-4ed3-ad80-da51122ab1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CAM" minOccurs="0"/>
                <xsd:element ref="ns2:Customer_x0020_Contracts_x0020_Lead" minOccurs="0"/>
                <xsd:element ref="ns2:Date_x0020_of_x0020_Meetings" minOccurs="0"/>
                <xsd:element ref="ns2:_x006a_hd3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4fa40-a696-4ac9-bd38-c0330d295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CAM" ma:index="12" nillable="true" ma:displayName="CAM" ma:format="Dropdown" ma:internalName="CAM">
      <xsd:simpleType>
        <xsd:restriction base="dms:Text">
          <xsd:maxLength value="255"/>
        </xsd:restriction>
      </xsd:simpleType>
    </xsd:element>
    <xsd:element name="Customer_x0020_Contracts_x0020_Lead" ma:index="13" nillable="true" ma:displayName="Customer Contracts Lead" ma:format="Dropdown" ma:internalName="Customer_x0020_Contracts_x0020_Lead">
      <xsd:simpleType>
        <xsd:restriction base="dms:Text">
          <xsd:maxLength value="255"/>
        </xsd:restriction>
      </xsd:simpleType>
    </xsd:element>
    <xsd:element name="Date_x0020_of_x0020_Meetings" ma:index="14" nillable="true" ma:displayName="Date of Meetings" ma:format="Dropdown" ma:internalName="Date_x0020_of_x0020_Meetings">
      <xsd:simpleType>
        <xsd:restriction base="dms:Text">
          <xsd:maxLength value="255"/>
        </xsd:restriction>
      </xsd:simpleType>
    </xsd:element>
    <xsd:element name="_x006a_hd3" ma:index="15" nillable="true" ma:displayName="Date of Meeting" ma:internalName="_x006a_hd3">
      <xsd:simpleType>
        <xsd:restriction base="dms:DateTim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a4dae-5fc0-4ed3-ad80-da51122ab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D40579-E175-45A7-B608-0DA770B4EE0C}"/>
</file>

<file path=customXml/itemProps3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Taggart, Rachel</cp:lastModifiedBy>
  <cp:revision>2</cp:revision>
  <dcterms:created xsi:type="dcterms:W3CDTF">2020-08-03T12:58:00Z</dcterms:created>
  <dcterms:modified xsi:type="dcterms:W3CDTF">2020-08-03T12:58:00Z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0x0101002A9D4E94D94ABB48A35A572EF9A60258</vt:lpwstr>
  </property>
</Properties>
</file>