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79F67" w14:textId="10661B42" w:rsidR="00D66C7E" w:rsidRPr="001C2268" w:rsidRDefault="00EA73B3" w:rsidP="00EA73B3">
      <w:pPr>
        <w:pStyle w:val="Title"/>
        <w:jc w:val="center"/>
        <w:rPr>
          <w:szCs w:val="48"/>
        </w:rPr>
      </w:pPr>
      <w:r w:rsidRPr="001C2268">
        <w:rPr>
          <w:szCs w:val="48"/>
        </w:rPr>
        <w:t>DSC Change Completion Report (CCR)</w:t>
      </w:r>
    </w:p>
    <w:p w14:paraId="67279F68" w14:textId="3899D7A8" w:rsidR="00EA73B3" w:rsidRDefault="00EA73B3" w:rsidP="00D66C7E">
      <w:r>
        <w:rPr>
          <w:noProof/>
        </w:rPr>
        <w:drawing>
          <wp:anchor distT="0" distB="0" distL="114300" distR="114300" simplePos="0" relativeHeight="251664896" behindDoc="0" locked="0" layoutInCell="1" allowOverlap="1" wp14:anchorId="67279F85" wp14:editId="0FD02F43">
            <wp:simplePos x="0" y="0"/>
            <wp:positionH relativeFrom="column">
              <wp:posOffset>826770</wp:posOffset>
            </wp:positionH>
            <wp:positionV relativeFrom="paragraph">
              <wp:posOffset>110927</wp:posOffset>
            </wp:positionV>
            <wp:extent cx="4109720" cy="647700"/>
            <wp:effectExtent l="0" t="0" r="508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oserve Log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972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6C7E">
        <w:br w:type="textWrapping" w:clear="all"/>
      </w:r>
    </w:p>
    <w:p w14:paraId="00F32253" w14:textId="3FFA09AD" w:rsidR="00EA73B3" w:rsidRDefault="00EA73B3" w:rsidP="00EA73B3"/>
    <w:p w14:paraId="2EBB5376" w14:textId="77777777" w:rsidR="00EA73B3" w:rsidRDefault="00EA73B3" w:rsidP="00EA73B3"/>
    <w:tbl>
      <w:tblPr>
        <w:tblStyle w:val="TableGrid1"/>
        <w:tblW w:w="5186" w:type="pct"/>
        <w:tblLayout w:type="fixed"/>
        <w:tblLook w:val="04A0" w:firstRow="1" w:lastRow="0" w:firstColumn="1" w:lastColumn="0" w:noHBand="0" w:noVBand="1"/>
      </w:tblPr>
      <w:tblGrid>
        <w:gridCol w:w="4485"/>
        <w:gridCol w:w="4866"/>
      </w:tblGrid>
      <w:tr w:rsidR="00EA73B3" w:rsidRPr="00EA73B3" w14:paraId="1601AE27" w14:textId="77777777" w:rsidTr="002E3A44">
        <w:trPr>
          <w:trHeight w:val="259"/>
        </w:trPr>
        <w:tc>
          <w:tcPr>
            <w:tcW w:w="2398" w:type="pct"/>
            <w:shd w:val="clear" w:color="auto" w:fill="FFFFFF" w:themeFill="background1"/>
            <w:vAlign w:val="center"/>
          </w:tcPr>
          <w:p w14:paraId="4180B42D" w14:textId="77777777" w:rsidR="00EA73B3" w:rsidRPr="00EA73B3" w:rsidRDefault="00EA73B3" w:rsidP="00EA73B3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EA73B3">
              <w:rPr>
                <w:rFonts w:eastAsia="Times New Roman" w:cs="Arial"/>
                <w:b/>
                <w:sz w:val="20"/>
                <w:szCs w:val="16"/>
              </w:rPr>
              <w:t>Change Title</w:t>
            </w:r>
          </w:p>
        </w:tc>
        <w:tc>
          <w:tcPr>
            <w:tcW w:w="2602" w:type="pct"/>
          </w:tcPr>
          <w:p w14:paraId="018CEA35" w14:textId="76EFB7AD" w:rsidR="00EA73B3" w:rsidRPr="004D0F26" w:rsidRDefault="00613931" w:rsidP="0A57A144">
            <w:pPr>
              <w:rPr>
                <w:rFonts w:ascii="Calibri" w:hAnsi="Calibri" w:cs="Calibri"/>
                <w:color w:val="000000"/>
              </w:rPr>
            </w:pPr>
            <w:r w:rsidRPr="00613931">
              <w:rPr>
                <w:rFonts w:eastAsia="Times New Roman" w:cs="Arial"/>
                <w:sz w:val="20"/>
                <w:szCs w:val="20"/>
              </w:rPr>
              <w:t>Data Cleanse of NExA information within UK Link and the Data Enquiry Service (DES)</w:t>
            </w:r>
          </w:p>
        </w:tc>
      </w:tr>
      <w:tr w:rsidR="00EA73B3" w:rsidRPr="00EA73B3" w14:paraId="06D4D571" w14:textId="77777777" w:rsidTr="002E3A44">
        <w:trPr>
          <w:trHeight w:val="216"/>
        </w:trPr>
        <w:tc>
          <w:tcPr>
            <w:tcW w:w="2398" w:type="pct"/>
            <w:shd w:val="clear" w:color="auto" w:fill="FFFFFF" w:themeFill="background1"/>
            <w:vAlign w:val="center"/>
          </w:tcPr>
          <w:p w14:paraId="5982B8CD" w14:textId="77777777" w:rsidR="00EA73B3" w:rsidRPr="00EA73B3" w:rsidRDefault="00EA73B3" w:rsidP="00EA73B3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EA73B3">
              <w:rPr>
                <w:rFonts w:eastAsia="Times New Roman" w:cs="Arial"/>
                <w:b/>
                <w:sz w:val="20"/>
                <w:szCs w:val="16"/>
              </w:rPr>
              <w:t>Change reference number (XRN)</w:t>
            </w:r>
          </w:p>
        </w:tc>
        <w:tc>
          <w:tcPr>
            <w:tcW w:w="2602" w:type="pct"/>
          </w:tcPr>
          <w:p w14:paraId="06F88361" w14:textId="5E759EE8" w:rsidR="00EA73B3" w:rsidRPr="00EA73B3" w:rsidRDefault="00613931" w:rsidP="00195A39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5146</w:t>
            </w:r>
          </w:p>
        </w:tc>
      </w:tr>
      <w:tr w:rsidR="00EA73B3" w:rsidRPr="00EA73B3" w14:paraId="1D6C8AD7" w14:textId="77777777" w:rsidTr="002E3A44">
        <w:trPr>
          <w:trHeight w:val="216"/>
        </w:trPr>
        <w:tc>
          <w:tcPr>
            <w:tcW w:w="239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E0D022E" w14:textId="77777777" w:rsidR="00EA73B3" w:rsidRPr="00EA73B3" w:rsidRDefault="00EA73B3" w:rsidP="00EA73B3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EA73B3">
              <w:rPr>
                <w:rFonts w:eastAsia="Times New Roman" w:cs="Arial"/>
                <w:b/>
                <w:sz w:val="20"/>
                <w:szCs w:val="16"/>
              </w:rPr>
              <w:t xml:space="preserve">Xoserve Project Manager  </w:t>
            </w:r>
          </w:p>
        </w:tc>
        <w:tc>
          <w:tcPr>
            <w:tcW w:w="2602" w:type="pct"/>
            <w:tcBorders>
              <w:bottom w:val="single" w:sz="4" w:space="0" w:color="auto"/>
            </w:tcBorders>
          </w:tcPr>
          <w:p w14:paraId="4419660B" w14:textId="1B0FE9B8" w:rsidR="00EA73B3" w:rsidRPr="00EA73B3" w:rsidRDefault="00613931" w:rsidP="0A57A144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Jai Le Resche</w:t>
            </w:r>
          </w:p>
        </w:tc>
      </w:tr>
      <w:tr w:rsidR="00EA73B3" w:rsidRPr="00EA73B3" w14:paraId="2390A8AC" w14:textId="77777777" w:rsidTr="002E3A44">
        <w:trPr>
          <w:trHeight w:val="216"/>
        </w:trPr>
        <w:tc>
          <w:tcPr>
            <w:tcW w:w="239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172196" w14:textId="77777777" w:rsidR="00EA73B3" w:rsidRPr="00EA73B3" w:rsidRDefault="00EA73B3" w:rsidP="00EA73B3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EA73B3">
              <w:rPr>
                <w:rFonts w:eastAsia="Times New Roman" w:cs="Arial"/>
                <w:b/>
                <w:sz w:val="20"/>
                <w:szCs w:val="16"/>
              </w:rPr>
              <w:t>Email address</w:t>
            </w:r>
          </w:p>
        </w:tc>
        <w:tc>
          <w:tcPr>
            <w:tcW w:w="2602" w:type="pct"/>
            <w:tcBorders>
              <w:bottom w:val="single" w:sz="4" w:space="0" w:color="auto"/>
            </w:tcBorders>
          </w:tcPr>
          <w:p w14:paraId="5A705C45" w14:textId="2B648204" w:rsidR="00EA73B3" w:rsidRPr="00EA73B3" w:rsidRDefault="00613931" w:rsidP="0A57A144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Jaimee.leresche</w:t>
            </w:r>
            <w:r w:rsidR="00BA5D1D">
              <w:rPr>
                <w:rFonts w:eastAsia="Times New Roman" w:cs="Arial"/>
                <w:sz w:val="20"/>
                <w:szCs w:val="20"/>
              </w:rPr>
              <w:t>@xoserve.com</w:t>
            </w:r>
          </w:p>
        </w:tc>
      </w:tr>
      <w:tr w:rsidR="00EA73B3" w:rsidRPr="00EA73B3" w14:paraId="3B9ABC1E" w14:textId="77777777" w:rsidTr="002E3A44">
        <w:trPr>
          <w:trHeight w:val="216"/>
        </w:trPr>
        <w:tc>
          <w:tcPr>
            <w:tcW w:w="239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A38DA5" w14:textId="77777777" w:rsidR="00EA73B3" w:rsidRPr="00EA73B3" w:rsidRDefault="00EA73B3" w:rsidP="00EA73B3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EA73B3">
              <w:rPr>
                <w:rFonts w:eastAsia="Times New Roman" w:cs="Arial"/>
                <w:b/>
                <w:sz w:val="20"/>
                <w:szCs w:val="16"/>
              </w:rPr>
              <w:t>Contact number</w:t>
            </w:r>
          </w:p>
        </w:tc>
        <w:tc>
          <w:tcPr>
            <w:tcW w:w="2602" w:type="pct"/>
            <w:tcBorders>
              <w:bottom w:val="single" w:sz="4" w:space="0" w:color="auto"/>
            </w:tcBorders>
          </w:tcPr>
          <w:p w14:paraId="407DF7DD" w14:textId="30D6739D" w:rsidR="00EA73B3" w:rsidRPr="00EA73B3" w:rsidRDefault="00613931" w:rsidP="0A57A144">
            <w:pPr>
              <w:rPr>
                <w:rFonts w:eastAsia="Times New Roman" w:cs="Arial"/>
                <w:sz w:val="20"/>
                <w:szCs w:val="20"/>
              </w:rPr>
            </w:pPr>
            <w:r w:rsidRPr="00613931">
              <w:rPr>
                <w:rFonts w:eastAsia="Times New Roman" w:cs="Arial"/>
                <w:sz w:val="20"/>
                <w:szCs w:val="20"/>
              </w:rPr>
              <w:t>0121 229 2268</w:t>
            </w:r>
          </w:p>
        </w:tc>
      </w:tr>
      <w:tr w:rsidR="00EA73B3" w:rsidRPr="00EA73B3" w14:paraId="0B495390" w14:textId="77777777" w:rsidTr="002E3A44">
        <w:trPr>
          <w:trHeight w:val="432"/>
        </w:trPr>
        <w:tc>
          <w:tcPr>
            <w:tcW w:w="239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2F94C7" w14:textId="77777777" w:rsidR="00EA73B3" w:rsidRPr="00EA73B3" w:rsidRDefault="00EA73B3" w:rsidP="00EA73B3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EA73B3">
              <w:rPr>
                <w:rFonts w:eastAsia="Times New Roman" w:cs="Arial"/>
                <w:b/>
                <w:sz w:val="20"/>
                <w:szCs w:val="16"/>
              </w:rPr>
              <w:t>Target Change Management Committee date</w:t>
            </w:r>
          </w:p>
        </w:tc>
        <w:tc>
          <w:tcPr>
            <w:tcW w:w="2602" w:type="pct"/>
            <w:tcBorders>
              <w:bottom w:val="single" w:sz="4" w:space="0" w:color="auto"/>
            </w:tcBorders>
          </w:tcPr>
          <w:p w14:paraId="4E6B73E1" w14:textId="5A221037" w:rsidR="00EA73B3" w:rsidRPr="00EA73B3" w:rsidRDefault="00613931" w:rsidP="00EA73B3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13</w:t>
            </w:r>
            <w:r w:rsidR="00271200">
              <w:rPr>
                <w:rFonts w:eastAsia="Times New Roman" w:cs="Arial"/>
                <w:sz w:val="20"/>
                <w:szCs w:val="20"/>
              </w:rPr>
              <w:t>/</w:t>
            </w:r>
            <w:r>
              <w:rPr>
                <w:rFonts w:eastAsia="Times New Roman" w:cs="Arial"/>
                <w:sz w:val="20"/>
                <w:szCs w:val="20"/>
              </w:rPr>
              <w:t>01</w:t>
            </w:r>
            <w:r w:rsidR="00BA5D1D">
              <w:rPr>
                <w:rFonts w:eastAsia="Times New Roman" w:cs="Arial"/>
                <w:sz w:val="20"/>
                <w:szCs w:val="20"/>
              </w:rPr>
              <w:t>/202</w:t>
            </w:r>
            <w:r>
              <w:rPr>
                <w:rFonts w:eastAsia="Times New Roman" w:cs="Arial"/>
                <w:sz w:val="20"/>
                <w:szCs w:val="20"/>
              </w:rPr>
              <w:t>1</w:t>
            </w:r>
          </w:p>
        </w:tc>
      </w:tr>
      <w:tr w:rsidR="00EA73B3" w:rsidRPr="00EA73B3" w14:paraId="70D298E7" w14:textId="77777777" w:rsidTr="002E3A44">
        <w:trPr>
          <w:trHeight w:val="216"/>
        </w:trPr>
        <w:tc>
          <w:tcPr>
            <w:tcW w:w="2398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17601B" w14:textId="77777777" w:rsidR="00EA73B3" w:rsidRPr="00EA73B3" w:rsidRDefault="00EA73B3" w:rsidP="00EA73B3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EA73B3">
              <w:rPr>
                <w:rFonts w:eastAsia="Times New Roman" w:cs="Arial"/>
                <w:b/>
                <w:sz w:val="20"/>
                <w:szCs w:val="16"/>
              </w:rPr>
              <w:t>Date of Solution Implementation</w:t>
            </w:r>
          </w:p>
        </w:tc>
        <w:tc>
          <w:tcPr>
            <w:tcW w:w="2602" w:type="pct"/>
            <w:tcBorders>
              <w:bottom w:val="single" w:sz="4" w:space="0" w:color="auto"/>
            </w:tcBorders>
          </w:tcPr>
          <w:p w14:paraId="76CEA666" w14:textId="1A652655" w:rsidR="00EA73B3" w:rsidRPr="00EA73B3" w:rsidRDefault="009222C1" w:rsidP="0A57A144">
            <w:p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15/02/202</w:t>
            </w:r>
            <w:r w:rsidR="00731A18">
              <w:rPr>
                <w:rFonts w:eastAsia="Times New Roman" w:cs="Arial"/>
                <w:sz w:val="20"/>
                <w:szCs w:val="20"/>
              </w:rPr>
              <w:t>1</w:t>
            </w:r>
          </w:p>
        </w:tc>
      </w:tr>
      <w:tr w:rsidR="00EA73B3" w:rsidRPr="00EA73B3" w14:paraId="0327033D" w14:textId="77777777" w:rsidTr="002E3A44">
        <w:trPr>
          <w:trHeight w:val="216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3E5AA8" w:themeFill="accent1"/>
            <w:vAlign w:val="center"/>
          </w:tcPr>
          <w:p w14:paraId="5A40CDE0" w14:textId="77777777" w:rsidR="00EA73B3" w:rsidRPr="00EA73B3" w:rsidRDefault="00EA73B3" w:rsidP="00EA73B3">
            <w:pPr>
              <w:jc w:val="center"/>
              <w:rPr>
                <w:rFonts w:eastAsia="Times New Roman" w:cs="Arial"/>
                <w:b/>
                <w:color w:val="FFFFFF"/>
                <w:sz w:val="20"/>
              </w:rPr>
            </w:pPr>
            <w:r w:rsidRPr="00EA73B3">
              <w:rPr>
                <w:rFonts w:eastAsia="Arial" w:cs="Arial"/>
                <w:b/>
                <w:color w:val="FFFFFF"/>
                <w:sz w:val="20"/>
                <w:lang w:eastAsia="en-US"/>
              </w:rPr>
              <w:t>Section 1: Overview of Change Delivery</w:t>
            </w:r>
          </w:p>
        </w:tc>
      </w:tr>
      <w:tr w:rsidR="00EA73B3" w:rsidRPr="00EA73B3" w14:paraId="0CEE08D9" w14:textId="77777777" w:rsidTr="002E3A44">
        <w:trPr>
          <w:trHeight w:val="3847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33C295CC" w14:textId="15D1AE61" w:rsidR="00EA73B3" w:rsidRDefault="00EA73B3" w:rsidP="00195A39">
            <w:pPr>
              <w:contextualSpacing/>
              <w:rPr>
                <w:rFonts w:eastAsia="Times New Roman" w:cs="Arial"/>
                <w:i/>
                <w:iCs/>
                <w:color w:val="0070C0"/>
                <w:sz w:val="20"/>
                <w:szCs w:val="20"/>
              </w:rPr>
            </w:pPr>
          </w:p>
          <w:p w14:paraId="30FC5019" w14:textId="20CAC952" w:rsidR="000628C1" w:rsidRDefault="000628C1" w:rsidP="000628C1">
            <w:pPr>
              <w:contextualSpacing/>
              <w:rPr>
                <w:rFonts w:eastAsia="Times New Roman" w:cs="Arial"/>
                <w:sz w:val="20"/>
                <w:szCs w:val="20"/>
              </w:rPr>
            </w:pPr>
            <w:r w:rsidRPr="000628C1">
              <w:rPr>
                <w:rFonts w:eastAsia="Times New Roman" w:cs="Arial"/>
                <w:sz w:val="20"/>
                <w:szCs w:val="20"/>
              </w:rPr>
              <w:t xml:space="preserve">Where a consumer has entered into a bilateral Network Exit Agreement (NExA) with the relevant Transporter, this should be recorded in UK Link and made visible to Shippers, DNs and IGTs within </w:t>
            </w:r>
            <w:r w:rsidR="009B262B">
              <w:rPr>
                <w:rFonts w:eastAsia="Times New Roman" w:cs="Arial"/>
                <w:sz w:val="20"/>
                <w:szCs w:val="20"/>
              </w:rPr>
              <w:t xml:space="preserve">the </w:t>
            </w:r>
            <w:r w:rsidRPr="000628C1">
              <w:rPr>
                <w:rFonts w:eastAsia="Times New Roman" w:cs="Arial"/>
                <w:sz w:val="20"/>
                <w:szCs w:val="20"/>
              </w:rPr>
              <w:t>D</w:t>
            </w:r>
            <w:r w:rsidR="009B262B">
              <w:rPr>
                <w:rFonts w:eastAsia="Times New Roman" w:cs="Arial"/>
                <w:sz w:val="20"/>
                <w:szCs w:val="20"/>
              </w:rPr>
              <w:t xml:space="preserve">ata </w:t>
            </w:r>
            <w:r w:rsidRPr="000628C1">
              <w:rPr>
                <w:rFonts w:eastAsia="Times New Roman" w:cs="Arial"/>
                <w:sz w:val="20"/>
                <w:szCs w:val="20"/>
              </w:rPr>
              <w:t>E</w:t>
            </w:r>
            <w:r w:rsidR="009B262B">
              <w:rPr>
                <w:rFonts w:eastAsia="Times New Roman" w:cs="Arial"/>
                <w:sz w:val="20"/>
                <w:szCs w:val="20"/>
              </w:rPr>
              <w:t xml:space="preserve">nquiry </w:t>
            </w:r>
            <w:r w:rsidRPr="000628C1">
              <w:rPr>
                <w:rFonts w:eastAsia="Times New Roman" w:cs="Arial"/>
                <w:sz w:val="20"/>
                <w:szCs w:val="20"/>
              </w:rPr>
              <w:t>S</w:t>
            </w:r>
            <w:r w:rsidR="009B262B">
              <w:rPr>
                <w:rFonts w:eastAsia="Times New Roman" w:cs="Arial"/>
                <w:sz w:val="20"/>
                <w:szCs w:val="20"/>
              </w:rPr>
              <w:t>ervice (DES)</w:t>
            </w:r>
            <w:r w:rsidRPr="000628C1">
              <w:rPr>
                <w:rFonts w:eastAsia="Times New Roman" w:cs="Arial"/>
                <w:sz w:val="20"/>
                <w:szCs w:val="20"/>
              </w:rPr>
              <w:t xml:space="preserve">. The data held in UK Link and visible within DES </w:t>
            </w:r>
            <w:r w:rsidR="009B262B">
              <w:rPr>
                <w:rFonts w:eastAsia="Times New Roman" w:cs="Arial"/>
                <w:sz w:val="20"/>
                <w:szCs w:val="20"/>
              </w:rPr>
              <w:t>required</w:t>
            </w:r>
            <w:r w:rsidRPr="000628C1">
              <w:rPr>
                <w:rFonts w:eastAsia="Times New Roman" w:cs="Arial"/>
                <w:sz w:val="20"/>
                <w:szCs w:val="20"/>
              </w:rPr>
              <w:t xml:space="preserve"> updat</w:t>
            </w:r>
            <w:r w:rsidR="009B262B">
              <w:rPr>
                <w:rFonts w:eastAsia="Times New Roman" w:cs="Arial"/>
                <w:sz w:val="20"/>
                <w:szCs w:val="20"/>
              </w:rPr>
              <w:t>ing</w:t>
            </w:r>
            <w:r w:rsidRPr="000628C1">
              <w:rPr>
                <w:rFonts w:eastAsia="Times New Roman" w:cs="Arial"/>
                <w:sz w:val="20"/>
                <w:szCs w:val="20"/>
              </w:rPr>
              <w:t xml:space="preserve"> to ensure the latest position in terms of </w:t>
            </w:r>
            <w:proofErr w:type="spellStart"/>
            <w:r w:rsidRPr="000628C1">
              <w:rPr>
                <w:rFonts w:eastAsia="Times New Roman" w:cs="Arial"/>
                <w:sz w:val="20"/>
                <w:szCs w:val="20"/>
              </w:rPr>
              <w:t>NExA</w:t>
            </w:r>
            <w:proofErr w:type="spellEnd"/>
            <w:r w:rsidRPr="000628C1">
              <w:rPr>
                <w:rFonts w:eastAsia="Times New Roman" w:cs="Arial"/>
                <w:sz w:val="20"/>
                <w:szCs w:val="20"/>
              </w:rPr>
              <w:t xml:space="preserve"> sites </w:t>
            </w:r>
            <w:r w:rsidR="009B262B">
              <w:rPr>
                <w:rFonts w:eastAsia="Times New Roman" w:cs="Arial"/>
                <w:sz w:val="20"/>
                <w:szCs w:val="20"/>
              </w:rPr>
              <w:t>was</w:t>
            </w:r>
            <w:r w:rsidRPr="000628C1">
              <w:rPr>
                <w:rFonts w:eastAsia="Times New Roman" w:cs="Arial"/>
                <w:sz w:val="20"/>
                <w:szCs w:val="20"/>
              </w:rPr>
              <w:t xml:space="preserve"> reflected and </w:t>
            </w:r>
            <w:r w:rsidR="009B262B">
              <w:rPr>
                <w:rFonts w:eastAsia="Times New Roman" w:cs="Arial"/>
                <w:sz w:val="20"/>
                <w:szCs w:val="20"/>
              </w:rPr>
              <w:t>visible to the relevant parties</w:t>
            </w:r>
            <w:r w:rsidRPr="000628C1">
              <w:rPr>
                <w:rFonts w:eastAsia="Times New Roman" w:cs="Arial"/>
                <w:sz w:val="20"/>
                <w:szCs w:val="20"/>
              </w:rPr>
              <w:t>. The ongoing process must</w:t>
            </w:r>
            <w:r w:rsidR="009B262B">
              <w:rPr>
                <w:rFonts w:eastAsia="Times New Roman" w:cs="Arial"/>
                <w:sz w:val="20"/>
                <w:szCs w:val="20"/>
              </w:rPr>
              <w:t xml:space="preserve"> also</w:t>
            </w:r>
            <w:r w:rsidRPr="000628C1">
              <w:rPr>
                <w:rFonts w:eastAsia="Times New Roman" w:cs="Arial"/>
                <w:sz w:val="20"/>
                <w:szCs w:val="20"/>
              </w:rPr>
              <w:t xml:space="preserve"> be in place to ensure this information can be updated and reflected correctly within DES.</w:t>
            </w:r>
          </w:p>
          <w:p w14:paraId="1A7E1A76" w14:textId="77777777" w:rsidR="000628C1" w:rsidRPr="000628C1" w:rsidRDefault="000628C1" w:rsidP="000628C1">
            <w:pPr>
              <w:contextualSpacing/>
              <w:rPr>
                <w:rFonts w:eastAsia="Times New Roman" w:cs="Arial"/>
                <w:sz w:val="20"/>
                <w:szCs w:val="20"/>
              </w:rPr>
            </w:pPr>
          </w:p>
          <w:p w14:paraId="5A99AFAA" w14:textId="20A384B6" w:rsidR="000628C1" w:rsidRDefault="009B262B" w:rsidP="000628C1">
            <w:pPr>
              <w:contextualSpacing/>
              <w:rPr>
                <w:rFonts w:eastAsia="Times New Roman" w:cs="Arial"/>
                <w:sz w:val="20"/>
                <w:szCs w:val="20"/>
              </w:rPr>
            </w:pPr>
            <w:bookmarkStart w:id="0" w:name="_GoBack"/>
            <w:r>
              <w:rPr>
                <w:rFonts w:eastAsia="Times New Roman" w:cs="Arial"/>
                <w:sz w:val="20"/>
                <w:szCs w:val="20"/>
              </w:rPr>
              <w:t>XRN5146</w:t>
            </w:r>
            <w:r w:rsidR="000628C1" w:rsidRPr="000628C1">
              <w:rPr>
                <w:rFonts w:eastAsia="Times New Roman" w:cs="Arial"/>
                <w:sz w:val="20"/>
                <w:szCs w:val="20"/>
              </w:rPr>
              <w:t xml:space="preserve"> conduct</w:t>
            </w:r>
            <w:r>
              <w:rPr>
                <w:rFonts w:eastAsia="Times New Roman" w:cs="Arial"/>
                <w:sz w:val="20"/>
                <w:szCs w:val="20"/>
              </w:rPr>
              <w:t>ed</w:t>
            </w:r>
            <w:r w:rsidR="000628C1" w:rsidRPr="000628C1">
              <w:rPr>
                <w:rFonts w:eastAsia="Times New Roman" w:cs="Arial"/>
                <w:sz w:val="20"/>
                <w:szCs w:val="20"/>
              </w:rPr>
              <w:t xml:space="preserve"> a data cleanse against the information held in UK Link and DES for </w:t>
            </w:r>
            <w:proofErr w:type="spellStart"/>
            <w:r w:rsidR="000628C1" w:rsidRPr="000628C1">
              <w:rPr>
                <w:rFonts w:eastAsia="Times New Roman" w:cs="Arial"/>
                <w:sz w:val="20"/>
                <w:szCs w:val="20"/>
              </w:rPr>
              <w:t>NExA</w:t>
            </w:r>
            <w:proofErr w:type="spellEnd"/>
            <w:r w:rsidR="000628C1" w:rsidRPr="000628C1">
              <w:rPr>
                <w:rFonts w:eastAsia="Times New Roman" w:cs="Arial"/>
                <w:sz w:val="20"/>
                <w:szCs w:val="20"/>
              </w:rPr>
              <w:t xml:space="preserve"> sites and </w:t>
            </w:r>
            <w:r>
              <w:rPr>
                <w:rFonts w:eastAsia="Times New Roman" w:cs="Arial"/>
                <w:sz w:val="20"/>
                <w:szCs w:val="20"/>
              </w:rPr>
              <w:t>put in place</w:t>
            </w:r>
            <w:r w:rsidR="000628C1" w:rsidRPr="000628C1">
              <w:rPr>
                <w:rFonts w:eastAsia="Times New Roman" w:cs="Arial"/>
                <w:sz w:val="20"/>
                <w:szCs w:val="20"/>
              </w:rPr>
              <w:t xml:space="preserve"> the ongoing process is to allow Transporters to </w:t>
            </w:r>
            <w:r>
              <w:rPr>
                <w:rFonts w:eastAsia="Times New Roman" w:cs="Arial"/>
                <w:sz w:val="20"/>
                <w:szCs w:val="20"/>
              </w:rPr>
              <w:t xml:space="preserve">make updates where required. </w:t>
            </w:r>
            <w:r w:rsidR="000628C1" w:rsidRPr="000628C1">
              <w:rPr>
                <w:rFonts w:eastAsia="Times New Roman" w:cs="Arial"/>
                <w:sz w:val="20"/>
                <w:szCs w:val="20"/>
              </w:rPr>
              <w:t xml:space="preserve">This will ensure that the indicator within DES remain as per the latest position. </w:t>
            </w:r>
          </w:p>
          <w:bookmarkEnd w:id="0"/>
          <w:p w14:paraId="46062D12" w14:textId="77777777" w:rsidR="000628C1" w:rsidRPr="000628C1" w:rsidRDefault="000628C1" w:rsidP="000628C1">
            <w:pPr>
              <w:contextualSpacing/>
              <w:rPr>
                <w:rFonts w:eastAsia="Times New Roman" w:cs="Arial"/>
                <w:sz w:val="20"/>
                <w:szCs w:val="20"/>
              </w:rPr>
            </w:pPr>
          </w:p>
          <w:p w14:paraId="76274C7E" w14:textId="3C26EC3F" w:rsidR="000628C1" w:rsidRPr="000628C1" w:rsidRDefault="000628C1" w:rsidP="000628C1">
            <w:pPr>
              <w:contextualSpacing/>
              <w:rPr>
                <w:rFonts w:eastAsia="Times New Roman" w:cs="Arial"/>
                <w:i/>
                <w:iCs/>
                <w:color w:val="0070C0"/>
                <w:sz w:val="20"/>
                <w:szCs w:val="20"/>
              </w:rPr>
            </w:pPr>
            <w:r w:rsidRPr="000628C1">
              <w:rPr>
                <w:rFonts w:eastAsia="Times New Roman" w:cs="Arial"/>
                <w:i/>
                <w:sz w:val="20"/>
                <w:szCs w:val="20"/>
              </w:rPr>
              <w:t>For the avoidance of doubt, this</w:t>
            </w:r>
            <w:r w:rsidR="009B262B">
              <w:rPr>
                <w:rFonts w:eastAsia="Times New Roman" w:cs="Arial"/>
                <w:i/>
                <w:sz w:val="20"/>
                <w:szCs w:val="20"/>
              </w:rPr>
              <w:t xml:space="preserve"> change</w:t>
            </w:r>
            <w:r w:rsidRPr="000628C1">
              <w:rPr>
                <w:rFonts w:eastAsia="Times New Roman" w:cs="Arial"/>
                <w:i/>
                <w:sz w:val="20"/>
                <w:szCs w:val="20"/>
              </w:rPr>
              <w:t xml:space="preserve"> d</w:t>
            </w:r>
            <w:r w:rsidR="009B262B">
              <w:rPr>
                <w:rFonts w:eastAsia="Times New Roman" w:cs="Arial"/>
                <w:i/>
                <w:sz w:val="20"/>
                <w:szCs w:val="20"/>
              </w:rPr>
              <w:t>id</w:t>
            </w:r>
            <w:r w:rsidRPr="000628C1">
              <w:rPr>
                <w:rFonts w:eastAsia="Times New Roman" w:cs="Arial"/>
                <w:i/>
                <w:sz w:val="20"/>
                <w:szCs w:val="20"/>
              </w:rPr>
              <w:t xml:space="preserve"> not impact </w:t>
            </w:r>
            <w:proofErr w:type="spellStart"/>
            <w:r w:rsidRPr="000628C1">
              <w:rPr>
                <w:rFonts w:eastAsia="Times New Roman" w:cs="Arial"/>
                <w:i/>
                <w:sz w:val="20"/>
                <w:szCs w:val="20"/>
              </w:rPr>
              <w:t>NExA</w:t>
            </w:r>
            <w:proofErr w:type="spellEnd"/>
            <w:r w:rsidRPr="000628C1">
              <w:rPr>
                <w:rFonts w:eastAsia="Times New Roman" w:cs="Arial"/>
                <w:i/>
                <w:sz w:val="20"/>
                <w:szCs w:val="20"/>
              </w:rPr>
              <w:t xml:space="preserve"> information held for NTS sites.</w:t>
            </w:r>
            <w:r w:rsidR="009B262B">
              <w:rPr>
                <w:rFonts w:eastAsia="Times New Roman" w:cs="Arial"/>
                <w:i/>
                <w:sz w:val="20"/>
                <w:szCs w:val="20"/>
              </w:rPr>
              <w:t xml:space="preserve"> This remained unchanged. </w:t>
            </w:r>
          </w:p>
          <w:p w14:paraId="2AE1EBA3" w14:textId="77777777" w:rsidR="000628C1" w:rsidRPr="00EA73B3" w:rsidRDefault="000628C1" w:rsidP="00BB601B">
            <w:pPr>
              <w:contextualSpacing/>
              <w:rPr>
                <w:rFonts w:eastAsia="Times New Roman" w:cs="Arial"/>
                <w:i/>
                <w:iCs/>
                <w:color w:val="0070C0"/>
                <w:sz w:val="20"/>
                <w:szCs w:val="20"/>
              </w:rPr>
            </w:pPr>
          </w:p>
          <w:tbl>
            <w:tblPr>
              <w:tblStyle w:val="TableGrid1"/>
              <w:tblW w:w="9087" w:type="dxa"/>
              <w:tblInd w:w="2" w:type="dxa"/>
              <w:tblLayout w:type="fixed"/>
              <w:tblLook w:val="04A0" w:firstRow="1" w:lastRow="0" w:firstColumn="1" w:lastColumn="0" w:noHBand="0" w:noVBand="1"/>
            </w:tblPr>
            <w:tblGrid>
              <w:gridCol w:w="2929"/>
              <w:gridCol w:w="2331"/>
              <w:gridCol w:w="1843"/>
              <w:gridCol w:w="1984"/>
            </w:tblGrid>
            <w:tr w:rsidR="00EA73B3" w:rsidRPr="00EA73B3" w14:paraId="6C790A40" w14:textId="77777777" w:rsidTr="002E3A44">
              <w:trPr>
                <w:trHeight w:val="734"/>
              </w:trPr>
              <w:tc>
                <w:tcPr>
                  <w:tcW w:w="2929" w:type="dxa"/>
                </w:tcPr>
                <w:p w14:paraId="5ED527AF" w14:textId="77777777" w:rsidR="00EA73B3" w:rsidRPr="00EA73B3" w:rsidRDefault="00EA73B3" w:rsidP="00EA73B3">
                  <w:pPr>
                    <w:jc w:val="center"/>
                    <w:rPr>
                      <w:rFonts w:eastAsia="Times New Roman" w:cs="Arial"/>
                      <w:b/>
                      <w:sz w:val="20"/>
                      <w:szCs w:val="16"/>
                    </w:rPr>
                  </w:pPr>
                  <w:r w:rsidRPr="00EA73B3">
                    <w:rPr>
                      <w:rFonts w:eastAsia="Times New Roman" w:cs="Arial"/>
                      <w:b/>
                      <w:sz w:val="20"/>
                      <w:szCs w:val="16"/>
                    </w:rPr>
                    <w:t>Xoserve Service Area</w:t>
                  </w:r>
                </w:p>
              </w:tc>
              <w:tc>
                <w:tcPr>
                  <w:tcW w:w="2331" w:type="dxa"/>
                </w:tcPr>
                <w:p w14:paraId="32605E69" w14:textId="77777777" w:rsidR="00EA73B3" w:rsidRPr="00EA73B3" w:rsidRDefault="00EA73B3" w:rsidP="00EA73B3">
                  <w:pPr>
                    <w:jc w:val="center"/>
                    <w:rPr>
                      <w:rFonts w:eastAsia="Times New Roman" w:cs="Arial"/>
                      <w:b/>
                      <w:sz w:val="20"/>
                      <w:szCs w:val="16"/>
                    </w:rPr>
                  </w:pPr>
                  <w:r w:rsidRPr="00EA73B3">
                    <w:rPr>
                      <w:rFonts w:eastAsia="Times New Roman" w:cs="Arial"/>
                      <w:b/>
                      <w:sz w:val="20"/>
                      <w:szCs w:val="16"/>
                    </w:rPr>
                    <w:t>Xoserve Service Line</w:t>
                  </w:r>
                </w:p>
              </w:tc>
              <w:tc>
                <w:tcPr>
                  <w:tcW w:w="1843" w:type="dxa"/>
                </w:tcPr>
                <w:p w14:paraId="3612A2F5" w14:textId="77777777" w:rsidR="00EA73B3" w:rsidRPr="00EA73B3" w:rsidRDefault="00EA73B3" w:rsidP="00EA73B3">
                  <w:pPr>
                    <w:jc w:val="center"/>
                    <w:rPr>
                      <w:rFonts w:eastAsia="Times New Roman" w:cs="Arial"/>
                      <w:b/>
                      <w:sz w:val="20"/>
                      <w:szCs w:val="16"/>
                    </w:rPr>
                  </w:pPr>
                  <w:r w:rsidRPr="00EA73B3">
                    <w:rPr>
                      <w:rFonts w:eastAsia="Times New Roman" w:cs="Arial"/>
                      <w:b/>
                      <w:sz w:val="20"/>
                      <w:szCs w:val="16"/>
                    </w:rPr>
                    <w:t>(+/-) Projected Change in Annual Cost</w:t>
                  </w:r>
                </w:p>
              </w:tc>
              <w:tc>
                <w:tcPr>
                  <w:tcW w:w="1984" w:type="dxa"/>
                </w:tcPr>
                <w:p w14:paraId="04026F6B" w14:textId="77777777" w:rsidR="00EA73B3" w:rsidRPr="00EA73B3" w:rsidRDefault="00EA73B3" w:rsidP="00EA73B3">
                  <w:pPr>
                    <w:jc w:val="center"/>
                    <w:rPr>
                      <w:rFonts w:eastAsia="Times New Roman" w:cs="Arial"/>
                      <w:b/>
                      <w:szCs w:val="16"/>
                    </w:rPr>
                  </w:pPr>
                  <w:r w:rsidRPr="00EA73B3">
                    <w:rPr>
                      <w:rFonts w:eastAsia="Times New Roman" w:cs="Arial"/>
                      <w:b/>
                      <w:szCs w:val="16"/>
                    </w:rPr>
                    <w:t xml:space="preserve">(+/-)Actual Change in Annual Cost </w:t>
                  </w:r>
                </w:p>
              </w:tc>
            </w:tr>
            <w:tr w:rsidR="00EA73B3" w:rsidRPr="00EA73B3" w14:paraId="71E7CB34" w14:textId="77777777" w:rsidTr="002E3A44">
              <w:trPr>
                <w:trHeight w:val="688"/>
              </w:trPr>
              <w:tc>
                <w:tcPr>
                  <w:tcW w:w="2929" w:type="dxa"/>
                  <w:vAlign w:val="center"/>
                </w:tcPr>
                <w:p w14:paraId="7BAFFF9E" w14:textId="221FE8C5" w:rsidR="002902EB" w:rsidRPr="00A333F0" w:rsidRDefault="002902EB" w:rsidP="002902EB">
                  <w:pPr>
                    <w:rPr>
                      <w:rFonts w:cs="Arial"/>
                      <w:sz w:val="20"/>
                      <w:szCs w:val="16"/>
                    </w:rPr>
                  </w:pPr>
                  <w:r w:rsidRPr="002902EB">
                    <w:rPr>
                      <w:rFonts w:cs="Arial"/>
                      <w:sz w:val="20"/>
                      <w:szCs w:val="16"/>
                    </w:rPr>
                    <w:t xml:space="preserve">Service Area 11 – </w:t>
                  </w:r>
                  <w:proofErr w:type="spellStart"/>
                  <w:r w:rsidRPr="002902EB">
                    <w:rPr>
                      <w:rFonts w:cs="Arial"/>
                      <w:sz w:val="20"/>
                      <w:szCs w:val="16"/>
                    </w:rPr>
                    <w:t>N</w:t>
                  </w:r>
                  <w:r w:rsidR="000A31DE">
                    <w:rPr>
                      <w:rFonts w:cs="Arial"/>
                      <w:sz w:val="20"/>
                      <w:szCs w:val="16"/>
                    </w:rPr>
                    <w:t>E</w:t>
                  </w:r>
                  <w:r w:rsidRPr="002902EB">
                    <w:rPr>
                      <w:rFonts w:cs="Arial"/>
                      <w:sz w:val="20"/>
                      <w:szCs w:val="16"/>
                    </w:rPr>
                    <w:t>xA</w:t>
                  </w:r>
                  <w:proofErr w:type="spellEnd"/>
                  <w:r w:rsidRPr="002902EB">
                    <w:rPr>
                      <w:rFonts w:cs="Arial"/>
                      <w:sz w:val="20"/>
                      <w:szCs w:val="16"/>
                    </w:rPr>
                    <w:t xml:space="preserve"> Supply Meter Points. </w:t>
                  </w:r>
                </w:p>
                <w:p w14:paraId="7A8B23CB" w14:textId="44339FA9" w:rsidR="00EA73B3" w:rsidRPr="00A333F0" w:rsidRDefault="00EA73B3" w:rsidP="002902EB">
                  <w:pPr>
                    <w:rPr>
                      <w:rFonts w:cs="Arial"/>
                      <w:sz w:val="20"/>
                      <w:szCs w:val="16"/>
                    </w:rPr>
                  </w:pPr>
                </w:p>
              </w:tc>
              <w:tc>
                <w:tcPr>
                  <w:tcW w:w="2331" w:type="dxa"/>
                  <w:vAlign w:val="center"/>
                </w:tcPr>
                <w:p w14:paraId="46E92E56" w14:textId="2D654B27" w:rsidR="00EA73B3" w:rsidRPr="00EA73B3" w:rsidRDefault="002902EB" w:rsidP="002902EB">
                  <w:pPr>
                    <w:rPr>
                      <w:rFonts w:eastAsia="Times New Roman" w:cs="Arial"/>
                      <w:sz w:val="20"/>
                      <w:szCs w:val="20"/>
                    </w:rPr>
                  </w:pPr>
                  <w:r w:rsidRPr="002902EB">
                    <w:rPr>
                      <w:rFonts w:cs="Arial"/>
                      <w:sz w:val="20"/>
                      <w:szCs w:val="16"/>
                    </w:rPr>
                    <w:t>A new Service Line</w:t>
                  </w:r>
                  <w:r w:rsidR="009B262B">
                    <w:rPr>
                      <w:rFonts w:cs="Arial"/>
                      <w:sz w:val="20"/>
                      <w:szCs w:val="16"/>
                    </w:rPr>
                    <w:t xml:space="preserve"> will be implemented </w:t>
                  </w:r>
                  <w:r w:rsidRPr="002902EB">
                    <w:rPr>
                      <w:rFonts w:cs="Arial"/>
                      <w:sz w:val="20"/>
                      <w:szCs w:val="16"/>
                    </w:rPr>
                    <w:t xml:space="preserve">which </w:t>
                  </w:r>
                  <w:r w:rsidR="009B262B">
                    <w:rPr>
                      <w:rFonts w:cs="Arial"/>
                      <w:sz w:val="20"/>
                      <w:szCs w:val="16"/>
                    </w:rPr>
                    <w:t>requires the</w:t>
                  </w:r>
                  <w:r w:rsidRPr="002902EB">
                    <w:rPr>
                      <w:rFonts w:cs="Arial"/>
                      <w:sz w:val="20"/>
                      <w:szCs w:val="16"/>
                    </w:rPr>
                    <w:t xml:space="preserve"> CDSP to hold and maintain the NExA sites on behalf of DNs and IGTs.</w:t>
                  </w:r>
                </w:p>
              </w:tc>
              <w:tc>
                <w:tcPr>
                  <w:tcW w:w="1843" w:type="dxa"/>
                  <w:vAlign w:val="center"/>
                </w:tcPr>
                <w:p w14:paraId="7AA3825D" w14:textId="3B58C1A8" w:rsidR="00EA73B3" w:rsidRPr="00EA73B3" w:rsidRDefault="006031F4" w:rsidP="00EA73B3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984" w:type="dxa"/>
                  <w:vAlign w:val="center"/>
                </w:tcPr>
                <w:p w14:paraId="6DCD23EA" w14:textId="3B70AF49" w:rsidR="00EA73B3" w:rsidRPr="00EA73B3" w:rsidRDefault="006031F4" w:rsidP="00EA73B3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0</w:t>
                  </w:r>
                </w:p>
              </w:tc>
            </w:tr>
          </w:tbl>
          <w:p w14:paraId="270D662C" w14:textId="77777777" w:rsidR="00EA73B3" w:rsidRDefault="00EA73B3" w:rsidP="0A57A144">
            <w:pPr>
              <w:contextualSpacing/>
              <w:rPr>
                <w:rFonts w:eastAsia="Times New Roman" w:cs="Arial"/>
                <w:i/>
                <w:iCs/>
                <w:color w:val="0070C0"/>
                <w:sz w:val="20"/>
                <w:szCs w:val="20"/>
              </w:rPr>
            </w:pPr>
          </w:p>
          <w:p w14:paraId="646B8C30" w14:textId="2BA654BB" w:rsidR="002362D0" w:rsidRPr="00EA73B3" w:rsidRDefault="002362D0" w:rsidP="0A57A144">
            <w:pPr>
              <w:contextualSpacing/>
              <w:rPr>
                <w:rFonts w:eastAsia="Times New Roman" w:cs="Arial"/>
                <w:i/>
                <w:iCs/>
                <w:color w:val="0070C0"/>
                <w:sz w:val="20"/>
                <w:szCs w:val="20"/>
              </w:rPr>
            </w:pPr>
          </w:p>
        </w:tc>
      </w:tr>
    </w:tbl>
    <w:p w14:paraId="190F7E3B" w14:textId="77777777" w:rsidR="002362D0" w:rsidRDefault="002362D0">
      <w:r>
        <w:br w:type="page"/>
      </w:r>
    </w:p>
    <w:tbl>
      <w:tblPr>
        <w:tblStyle w:val="TableGrid1"/>
        <w:tblW w:w="5107" w:type="pct"/>
        <w:tblLayout w:type="fixed"/>
        <w:tblLook w:val="04A0" w:firstRow="1" w:lastRow="0" w:firstColumn="1" w:lastColumn="0" w:noHBand="0" w:noVBand="1"/>
      </w:tblPr>
      <w:tblGrid>
        <w:gridCol w:w="9209"/>
      </w:tblGrid>
      <w:tr w:rsidR="00EA73B3" w:rsidRPr="00EA73B3" w14:paraId="0C90DDA4" w14:textId="77777777" w:rsidTr="002E3A44">
        <w:trPr>
          <w:trHeight w:val="216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3E5AA8" w:themeFill="accent1"/>
            <w:vAlign w:val="center"/>
          </w:tcPr>
          <w:p w14:paraId="22D62687" w14:textId="5DAB8B65" w:rsidR="00EA73B3" w:rsidRPr="00EA73B3" w:rsidRDefault="00EA73B3" w:rsidP="00EA73B3">
            <w:pPr>
              <w:jc w:val="center"/>
              <w:rPr>
                <w:rFonts w:eastAsia="Times New Roman" w:cs="Arial"/>
                <w:b/>
                <w:color w:val="FFFFFF"/>
                <w:sz w:val="20"/>
                <w:szCs w:val="20"/>
              </w:rPr>
            </w:pPr>
            <w:r w:rsidRPr="00EA73B3">
              <w:rPr>
                <w:rFonts w:eastAsia="Arial" w:cs="Arial"/>
                <w:b/>
                <w:color w:val="FFFFFF"/>
                <w:sz w:val="20"/>
                <w:lang w:eastAsia="en-US"/>
              </w:rPr>
              <w:lastRenderedPageBreak/>
              <w:t>Section 2: Confirmed Funding Arrangements</w:t>
            </w:r>
          </w:p>
        </w:tc>
      </w:tr>
      <w:tr w:rsidR="00EA73B3" w:rsidRPr="00EA73B3" w14:paraId="45233572" w14:textId="77777777" w:rsidTr="002E3A44">
        <w:trPr>
          <w:trHeight w:val="250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FF" w:themeFill="background1"/>
          </w:tcPr>
          <w:p w14:paraId="48157077" w14:textId="77777777" w:rsidR="002362D0" w:rsidRDefault="002362D0"/>
          <w:tbl>
            <w:tblPr>
              <w:tblStyle w:val="TableGrid1"/>
              <w:tblW w:w="8952" w:type="dxa"/>
              <w:tblInd w:w="2" w:type="dxa"/>
              <w:tblLayout w:type="fixed"/>
              <w:tblLook w:val="04A0" w:firstRow="1" w:lastRow="0" w:firstColumn="1" w:lastColumn="0" w:noHBand="0" w:noVBand="1"/>
            </w:tblPr>
            <w:tblGrid>
              <w:gridCol w:w="2514"/>
              <w:gridCol w:w="1619"/>
              <w:gridCol w:w="1701"/>
              <w:gridCol w:w="1559"/>
              <w:gridCol w:w="1559"/>
            </w:tblGrid>
            <w:tr w:rsidR="00EA73B3" w:rsidRPr="00EA73B3" w14:paraId="6E11255F" w14:textId="77777777" w:rsidTr="002E3A44">
              <w:trPr>
                <w:trHeight w:val="436"/>
              </w:trPr>
              <w:tc>
                <w:tcPr>
                  <w:tcW w:w="2514" w:type="dxa"/>
                </w:tcPr>
                <w:p w14:paraId="2C9392D4" w14:textId="77777777" w:rsidR="00EA73B3" w:rsidRPr="00EA73B3" w:rsidRDefault="00EA73B3" w:rsidP="00EA73B3">
                  <w:pPr>
                    <w:jc w:val="center"/>
                    <w:rPr>
                      <w:rFonts w:eastAsia="Times New Roman" w:cs="Arial"/>
                      <w:b/>
                      <w:sz w:val="20"/>
                      <w:szCs w:val="20"/>
                    </w:rPr>
                  </w:pPr>
                  <w:r w:rsidRPr="00EA73B3">
                    <w:rPr>
                      <w:rFonts w:eastAsia="Times New Roman" w:cs="Arial"/>
                      <w:b/>
                      <w:sz w:val="20"/>
                      <w:szCs w:val="20"/>
                    </w:rPr>
                    <w:t>Gas Industry Participant</w:t>
                  </w:r>
                </w:p>
              </w:tc>
              <w:tc>
                <w:tcPr>
                  <w:tcW w:w="1619" w:type="dxa"/>
                </w:tcPr>
                <w:p w14:paraId="347495F9" w14:textId="77777777" w:rsidR="00EA73B3" w:rsidRPr="00EA73B3" w:rsidRDefault="00EA73B3" w:rsidP="00EA73B3">
                  <w:pPr>
                    <w:jc w:val="center"/>
                    <w:rPr>
                      <w:rFonts w:eastAsia="Times New Roman" w:cs="Arial"/>
                      <w:b/>
                      <w:sz w:val="20"/>
                      <w:szCs w:val="20"/>
                    </w:rPr>
                  </w:pPr>
                  <w:r w:rsidRPr="00EA73B3">
                    <w:rPr>
                      <w:rFonts w:eastAsia="Times New Roman" w:cs="Arial"/>
                      <w:b/>
                      <w:sz w:val="20"/>
                      <w:szCs w:val="20"/>
                    </w:rPr>
                    <w:t>BER Share of  Cost</w:t>
                  </w:r>
                </w:p>
              </w:tc>
              <w:tc>
                <w:tcPr>
                  <w:tcW w:w="1701" w:type="dxa"/>
                </w:tcPr>
                <w:p w14:paraId="77AA4BD1" w14:textId="77777777" w:rsidR="00EA73B3" w:rsidRPr="00EA73B3" w:rsidRDefault="00EA73B3" w:rsidP="00EA73B3">
                  <w:pPr>
                    <w:jc w:val="center"/>
                    <w:rPr>
                      <w:rFonts w:eastAsia="Times New Roman" w:cs="Arial"/>
                      <w:b/>
                      <w:sz w:val="20"/>
                      <w:szCs w:val="20"/>
                    </w:rPr>
                  </w:pPr>
                  <w:r w:rsidRPr="00EA73B3">
                    <w:rPr>
                      <w:rFonts w:eastAsia="Times New Roman" w:cs="Arial"/>
                      <w:b/>
                      <w:sz w:val="20"/>
                      <w:szCs w:val="20"/>
                    </w:rPr>
                    <w:t>Actual Share of Cost</w:t>
                  </w:r>
                </w:p>
              </w:tc>
              <w:tc>
                <w:tcPr>
                  <w:tcW w:w="1559" w:type="dxa"/>
                </w:tcPr>
                <w:p w14:paraId="5B2B9360" w14:textId="77777777" w:rsidR="00EA73B3" w:rsidRPr="00EA73B3" w:rsidRDefault="00EA73B3" w:rsidP="00EA73B3">
                  <w:pPr>
                    <w:jc w:val="center"/>
                    <w:rPr>
                      <w:rFonts w:eastAsia="Times New Roman" w:cs="Arial"/>
                      <w:b/>
                      <w:sz w:val="20"/>
                      <w:szCs w:val="20"/>
                    </w:rPr>
                  </w:pPr>
                  <w:r w:rsidRPr="00EA73B3">
                    <w:rPr>
                      <w:rFonts w:eastAsia="Times New Roman" w:cs="Arial"/>
                      <w:b/>
                      <w:sz w:val="20"/>
                      <w:szCs w:val="20"/>
                    </w:rPr>
                    <w:t>BER Cost Value</w:t>
                  </w:r>
                </w:p>
              </w:tc>
              <w:tc>
                <w:tcPr>
                  <w:tcW w:w="1559" w:type="dxa"/>
                </w:tcPr>
                <w:p w14:paraId="31C1ACDB" w14:textId="77777777" w:rsidR="00EA73B3" w:rsidRPr="00EA73B3" w:rsidRDefault="00EA73B3" w:rsidP="00EA73B3">
                  <w:pPr>
                    <w:jc w:val="center"/>
                    <w:rPr>
                      <w:rFonts w:eastAsia="Times New Roman" w:cs="Arial"/>
                      <w:b/>
                      <w:sz w:val="20"/>
                      <w:szCs w:val="20"/>
                    </w:rPr>
                  </w:pPr>
                  <w:r w:rsidRPr="00EA73B3">
                    <w:rPr>
                      <w:rFonts w:eastAsia="Times New Roman" w:cs="Arial"/>
                      <w:b/>
                      <w:sz w:val="20"/>
                      <w:szCs w:val="20"/>
                    </w:rPr>
                    <w:t>Actual Cost Value</w:t>
                  </w:r>
                </w:p>
              </w:tc>
            </w:tr>
            <w:tr w:rsidR="00EA73B3" w:rsidRPr="00EA73B3" w14:paraId="26F15468" w14:textId="77777777" w:rsidTr="002E3A44">
              <w:trPr>
                <w:trHeight w:val="288"/>
              </w:trPr>
              <w:tc>
                <w:tcPr>
                  <w:tcW w:w="2514" w:type="dxa"/>
                </w:tcPr>
                <w:p w14:paraId="22D3A938" w14:textId="421D8551" w:rsidR="00EA73B3" w:rsidRPr="00EA73B3" w:rsidRDefault="0A57A144" w:rsidP="0A57A144">
                  <w:pPr>
                    <w:rPr>
                      <w:rFonts w:eastAsia="Times New Roman" w:cs="Arial"/>
                      <w:b/>
                      <w:bCs/>
                      <w:sz w:val="20"/>
                      <w:szCs w:val="20"/>
                    </w:rPr>
                  </w:pPr>
                  <w:r w:rsidRPr="0A57A144">
                    <w:rPr>
                      <w:rFonts w:eastAsia="Times New Roman" w:cs="Arial"/>
                      <w:b/>
                      <w:bCs/>
                      <w:sz w:val="20"/>
                      <w:szCs w:val="20"/>
                    </w:rPr>
                    <w:t>Shippers:</w:t>
                  </w:r>
                </w:p>
              </w:tc>
              <w:tc>
                <w:tcPr>
                  <w:tcW w:w="1619" w:type="dxa"/>
                  <w:vAlign w:val="center"/>
                </w:tcPr>
                <w:p w14:paraId="2D0F9EFD" w14:textId="5CFC75CD" w:rsidR="00195A39" w:rsidRPr="00EA73B3" w:rsidRDefault="00BB601B" w:rsidP="00BB601B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100%</w:t>
                  </w:r>
                </w:p>
              </w:tc>
              <w:tc>
                <w:tcPr>
                  <w:tcW w:w="1701" w:type="dxa"/>
                  <w:vAlign w:val="center"/>
                </w:tcPr>
                <w:p w14:paraId="4B531AFD" w14:textId="3060CD3D" w:rsidR="00EA73B3" w:rsidRPr="00EA73B3" w:rsidRDefault="00BB601B" w:rsidP="0A57A144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100%</w:t>
                  </w:r>
                </w:p>
              </w:tc>
              <w:tc>
                <w:tcPr>
                  <w:tcW w:w="1559" w:type="dxa"/>
                  <w:vAlign w:val="center"/>
                </w:tcPr>
                <w:p w14:paraId="4E3F35E6" w14:textId="460F7717" w:rsidR="00EA73B3" w:rsidRPr="00EA73B3" w:rsidRDefault="000433B9" w:rsidP="0A57A144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 w:rsidRPr="000433B9">
                    <w:rPr>
                      <w:rFonts w:eastAsia="Times New Roman" w:cs="Arial"/>
                      <w:sz w:val="20"/>
                      <w:szCs w:val="20"/>
                    </w:rPr>
                    <w:t>BER costs have been determined from the costs published and approved in the HLSO</w:t>
                  </w:r>
                  <w:r w:rsidR="009B262B">
                    <w:rPr>
                      <w:rFonts w:eastAsia="Times New Roman" w:cs="Arial"/>
                      <w:sz w:val="20"/>
                      <w:szCs w:val="20"/>
                    </w:rPr>
                    <w:t xml:space="preserve"> (0 – 5,000 GBP)</w:t>
                  </w:r>
                </w:p>
              </w:tc>
              <w:tc>
                <w:tcPr>
                  <w:tcW w:w="1559" w:type="dxa"/>
                  <w:vAlign w:val="center"/>
                </w:tcPr>
                <w:p w14:paraId="6A039829" w14:textId="152E3950" w:rsidR="00EA73B3" w:rsidRPr="00EA73B3" w:rsidRDefault="009B262B" w:rsidP="00195A39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  <w:r>
                    <w:rPr>
                      <w:rFonts w:eastAsia="Times New Roman" w:cs="Arial"/>
                      <w:sz w:val="20"/>
                      <w:szCs w:val="20"/>
                    </w:rPr>
                    <w:t>0</w:t>
                  </w:r>
                </w:p>
              </w:tc>
            </w:tr>
            <w:tr w:rsidR="00EA73B3" w:rsidRPr="00EA73B3" w14:paraId="199F5DC6" w14:textId="77777777" w:rsidTr="002E3A44">
              <w:trPr>
                <w:trHeight w:val="218"/>
              </w:trPr>
              <w:tc>
                <w:tcPr>
                  <w:tcW w:w="2514" w:type="dxa"/>
                </w:tcPr>
                <w:p w14:paraId="133FE8C2" w14:textId="77777777" w:rsidR="00EA73B3" w:rsidRPr="00EA73B3" w:rsidRDefault="00EA73B3" w:rsidP="00EA73B3">
                  <w:pPr>
                    <w:rPr>
                      <w:rFonts w:eastAsia="Times New Roman" w:cs="Arial"/>
                      <w:b/>
                      <w:sz w:val="20"/>
                      <w:szCs w:val="20"/>
                    </w:rPr>
                  </w:pPr>
                  <w:r w:rsidRPr="00EA73B3">
                    <w:rPr>
                      <w:rFonts w:eastAsia="Times New Roman" w:cs="Arial"/>
                      <w:b/>
                      <w:sz w:val="20"/>
                      <w:szCs w:val="20"/>
                    </w:rPr>
                    <w:t>IGTs</w:t>
                  </w:r>
                </w:p>
              </w:tc>
              <w:tc>
                <w:tcPr>
                  <w:tcW w:w="1619" w:type="dxa"/>
                  <w:vAlign w:val="center"/>
                </w:tcPr>
                <w:p w14:paraId="15D11F30" w14:textId="77777777" w:rsidR="00EA73B3" w:rsidRPr="00EA73B3" w:rsidRDefault="00EA73B3" w:rsidP="00EA73B3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12A63D92" w14:textId="77777777" w:rsidR="00EA73B3" w:rsidRPr="00EA73B3" w:rsidRDefault="00EA73B3" w:rsidP="00EA73B3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0E94C84F" w14:textId="77777777" w:rsidR="00EA73B3" w:rsidRPr="00EA73B3" w:rsidRDefault="00EA73B3" w:rsidP="00EA73B3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7CD53000" w14:textId="77777777" w:rsidR="00EA73B3" w:rsidRPr="00EA73B3" w:rsidRDefault="00EA73B3" w:rsidP="00EA73B3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</w:p>
              </w:tc>
            </w:tr>
            <w:tr w:rsidR="00EA73B3" w:rsidRPr="00EA73B3" w14:paraId="634F441F" w14:textId="77777777" w:rsidTr="002E3A44">
              <w:trPr>
                <w:trHeight w:val="218"/>
              </w:trPr>
              <w:tc>
                <w:tcPr>
                  <w:tcW w:w="2514" w:type="dxa"/>
                </w:tcPr>
                <w:p w14:paraId="11DD2C74" w14:textId="77777777" w:rsidR="00EA73B3" w:rsidRPr="00EA73B3" w:rsidRDefault="00EA73B3" w:rsidP="00EA73B3">
                  <w:pPr>
                    <w:rPr>
                      <w:rFonts w:eastAsia="Times New Roman" w:cs="Arial"/>
                      <w:b/>
                      <w:sz w:val="20"/>
                      <w:szCs w:val="20"/>
                    </w:rPr>
                  </w:pPr>
                  <w:r w:rsidRPr="00EA73B3">
                    <w:rPr>
                      <w:rFonts w:eastAsia="Times New Roman" w:cs="Arial"/>
                      <w:b/>
                      <w:sz w:val="20"/>
                      <w:szCs w:val="20"/>
                    </w:rPr>
                    <w:t>DNOs</w:t>
                  </w:r>
                </w:p>
              </w:tc>
              <w:tc>
                <w:tcPr>
                  <w:tcW w:w="1619" w:type="dxa"/>
                  <w:vAlign w:val="center"/>
                </w:tcPr>
                <w:p w14:paraId="6CFF2878" w14:textId="77777777" w:rsidR="00EA73B3" w:rsidRPr="00EA73B3" w:rsidRDefault="00EA73B3" w:rsidP="00EA73B3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13C064A1" w14:textId="77777777" w:rsidR="00EA73B3" w:rsidRPr="00EA73B3" w:rsidRDefault="00EA73B3" w:rsidP="00EA73B3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56E130A8" w14:textId="77777777" w:rsidR="00EA73B3" w:rsidRPr="00EA73B3" w:rsidRDefault="00EA73B3" w:rsidP="00EA73B3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18147167" w14:textId="77777777" w:rsidR="00EA73B3" w:rsidRPr="00EA73B3" w:rsidRDefault="00EA73B3" w:rsidP="00EA73B3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</w:p>
              </w:tc>
            </w:tr>
            <w:tr w:rsidR="00EA73B3" w:rsidRPr="00EA73B3" w14:paraId="66A0BF97" w14:textId="77777777" w:rsidTr="002E3A44">
              <w:trPr>
                <w:trHeight w:val="218"/>
              </w:trPr>
              <w:tc>
                <w:tcPr>
                  <w:tcW w:w="2514" w:type="dxa"/>
                </w:tcPr>
                <w:p w14:paraId="72F552F1" w14:textId="77777777" w:rsidR="00EA73B3" w:rsidRPr="00EA73B3" w:rsidRDefault="00EA73B3" w:rsidP="00EA73B3">
                  <w:pPr>
                    <w:rPr>
                      <w:rFonts w:eastAsia="Times New Roman" w:cs="Arial"/>
                      <w:b/>
                      <w:sz w:val="20"/>
                      <w:szCs w:val="20"/>
                    </w:rPr>
                  </w:pPr>
                  <w:r w:rsidRPr="00EA73B3">
                    <w:rPr>
                      <w:rFonts w:eastAsia="Times New Roman" w:cs="Arial"/>
                      <w:b/>
                      <w:sz w:val="20"/>
                      <w:szCs w:val="20"/>
                    </w:rPr>
                    <w:t>Transmission</w:t>
                  </w:r>
                </w:p>
              </w:tc>
              <w:tc>
                <w:tcPr>
                  <w:tcW w:w="1619" w:type="dxa"/>
                  <w:vAlign w:val="center"/>
                </w:tcPr>
                <w:p w14:paraId="487BE727" w14:textId="77777777" w:rsidR="00EA73B3" w:rsidRPr="00EA73B3" w:rsidRDefault="00EA73B3" w:rsidP="00EA73B3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545FA9E5" w14:textId="77777777" w:rsidR="00EA73B3" w:rsidRPr="00EA73B3" w:rsidRDefault="00EA73B3" w:rsidP="00EA73B3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75059127" w14:textId="77777777" w:rsidR="00EA73B3" w:rsidRPr="00EA73B3" w:rsidRDefault="00EA73B3" w:rsidP="00EA73B3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719E72A3" w14:textId="77777777" w:rsidR="00EA73B3" w:rsidRPr="00EA73B3" w:rsidRDefault="00EA73B3" w:rsidP="00EA73B3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</w:p>
              </w:tc>
            </w:tr>
            <w:tr w:rsidR="00EA73B3" w:rsidRPr="00EA73B3" w14:paraId="620BFD5F" w14:textId="77777777" w:rsidTr="002E3A44">
              <w:trPr>
                <w:trHeight w:val="50"/>
              </w:trPr>
              <w:tc>
                <w:tcPr>
                  <w:tcW w:w="2514" w:type="dxa"/>
                </w:tcPr>
                <w:p w14:paraId="3FE2DEBE" w14:textId="77777777" w:rsidR="00EA73B3" w:rsidRPr="00EA73B3" w:rsidRDefault="00EA73B3" w:rsidP="00EA73B3">
                  <w:pPr>
                    <w:rPr>
                      <w:rFonts w:eastAsia="Times New Roman" w:cs="Arial"/>
                      <w:b/>
                      <w:sz w:val="20"/>
                      <w:szCs w:val="20"/>
                    </w:rPr>
                  </w:pPr>
                  <w:r w:rsidRPr="00EA73B3">
                    <w:rPr>
                      <w:rFonts w:eastAsia="Times New Roman" w:cs="Arial"/>
                      <w:b/>
                      <w:sz w:val="20"/>
                      <w:szCs w:val="20"/>
                    </w:rPr>
                    <w:t>DN’s &amp; IGT</w:t>
                  </w:r>
                </w:p>
              </w:tc>
              <w:tc>
                <w:tcPr>
                  <w:tcW w:w="1619" w:type="dxa"/>
                  <w:vAlign w:val="center"/>
                </w:tcPr>
                <w:p w14:paraId="7D880586" w14:textId="77777777" w:rsidR="00EA73B3" w:rsidRPr="00EA73B3" w:rsidRDefault="00EA73B3" w:rsidP="00EA73B3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6648D219" w14:textId="77777777" w:rsidR="00EA73B3" w:rsidRPr="00EA73B3" w:rsidRDefault="00EA73B3" w:rsidP="00EA73B3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12B102FE" w14:textId="77777777" w:rsidR="00EA73B3" w:rsidRPr="00EA73B3" w:rsidRDefault="00EA73B3" w:rsidP="00EA73B3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Align w:val="center"/>
                </w:tcPr>
                <w:p w14:paraId="2BCC920E" w14:textId="77777777" w:rsidR="00EA73B3" w:rsidRPr="00EA73B3" w:rsidRDefault="00EA73B3" w:rsidP="00EA73B3">
                  <w:pPr>
                    <w:jc w:val="center"/>
                    <w:rPr>
                      <w:rFonts w:eastAsia="Times New Roman" w:cs="Arial"/>
                      <w:sz w:val="20"/>
                      <w:szCs w:val="20"/>
                    </w:rPr>
                  </w:pPr>
                </w:p>
              </w:tc>
            </w:tr>
          </w:tbl>
          <w:p w14:paraId="1672974D" w14:textId="65F98540" w:rsidR="004237FE" w:rsidRPr="00EA73B3" w:rsidRDefault="004237FE" w:rsidP="00BB601B">
            <w:pPr>
              <w:contextualSpacing/>
              <w:rPr>
                <w:rFonts w:eastAsia="Times New Roman" w:cs="Arial"/>
                <w:b/>
                <w:i/>
                <w:sz w:val="20"/>
                <w:szCs w:val="20"/>
              </w:rPr>
            </w:pPr>
          </w:p>
        </w:tc>
      </w:tr>
      <w:tr w:rsidR="00EA73B3" w:rsidRPr="00EA73B3" w14:paraId="3A67F60A" w14:textId="77777777" w:rsidTr="002E3A44">
        <w:trPr>
          <w:trHeight w:val="216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3E5AA8" w:themeFill="accent1"/>
            <w:vAlign w:val="center"/>
          </w:tcPr>
          <w:p w14:paraId="72C63EE6" w14:textId="77777777" w:rsidR="00EA73B3" w:rsidRPr="00EA73B3" w:rsidRDefault="00EA73B3" w:rsidP="00EA73B3">
            <w:pPr>
              <w:jc w:val="center"/>
              <w:rPr>
                <w:rFonts w:eastAsia="Times New Roman" w:cs="Arial"/>
                <w:b/>
                <w:color w:val="0070C0"/>
              </w:rPr>
            </w:pPr>
            <w:r w:rsidRPr="00EA73B3">
              <w:rPr>
                <w:rFonts w:eastAsia="Arial" w:cs="Arial"/>
                <w:b/>
                <w:color w:val="FFFFFF"/>
                <w:sz w:val="20"/>
                <w:lang w:eastAsia="en-US"/>
              </w:rPr>
              <w:t>Section 3: Provide a summary of any agreed scope changes</w:t>
            </w:r>
          </w:p>
        </w:tc>
      </w:tr>
      <w:tr w:rsidR="00EA73B3" w:rsidRPr="00EA73B3" w14:paraId="373C6975" w14:textId="77777777" w:rsidTr="002E3A44">
        <w:trPr>
          <w:trHeight w:val="244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56BA78" w14:textId="3679E44F" w:rsidR="00EA73B3" w:rsidRPr="009222C1" w:rsidRDefault="005153B1" w:rsidP="0A57A144">
            <w:pPr>
              <w:spacing w:line="276" w:lineRule="auto"/>
              <w:contextualSpacing/>
              <w:rPr>
                <w:rFonts w:eastAsia="Times New Roman" w:cs="Arial"/>
                <w:sz w:val="20"/>
                <w:szCs w:val="20"/>
              </w:rPr>
            </w:pPr>
            <w:r w:rsidRPr="009222C1">
              <w:rPr>
                <w:rFonts w:eastAsia="Times New Roman" w:cs="Arial"/>
                <w:sz w:val="20"/>
                <w:szCs w:val="20"/>
              </w:rPr>
              <w:t>N/A</w:t>
            </w:r>
          </w:p>
        </w:tc>
      </w:tr>
      <w:tr w:rsidR="00EA73B3" w:rsidRPr="00EA73B3" w14:paraId="44DCE113" w14:textId="77777777" w:rsidTr="002E3A44">
        <w:trPr>
          <w:trHeight w:val="216"/>
        </w:trPr>
        <w:tc>
          <w:tcPr>
            <w:tcW w:w="5000" w:type="pct"/>
            <w:shd w:val="clear" w:color="auto" w:fill="3E5AA8" w:themeFill="accent1"/>
            <w:vAlign w:val="center"/>
          </w:tcPr>
          <w:p w14:paraId="23A67B82" w14:textId="77777777" w:rsidR="00EA73B3" w:rsidRPr="00EA73B3" w:rsidRDefault="00EA73B3" w:rsidP="00EA73B3">
            <w:pPr>
              <w:jc w:val="center"/>
              <w:rPr>
                <w:rFonts w:eastAsia="Times New Roman" w:cs="Arial"/>
                <w:b/>
                <w:color w:val="FFFFFF"/>
                <w:szCs w:val="16"/>
              </w:rPr>
            </w:pPr>
            <w:r w:rsidRPr="00EA73B3">
              <w:rPr>
                <w:rFonts w:eastAsia="Arial" w:cs="Arial"/>
                <w:b/>
                <w:color w:val="FFFFFF"/>
                <w:sz w:val="20"/>
                <w:lang w:eastAsia="en-US"/>
              </w:rPr>
              <w:t>Section 4: Detail any changes to the Xoserve Service Description</w:t>
            </w:r>
          </w:p>
        </w:tc>
      </w:tr>
      <w:tr w:rsidR="00EA73B3" w:rsidRPr="00EA73B3" w14:paraId="7B78493D" w14:textId="77777777" w:rsidTr="002E3A44">
        <w:trPr>
          <w:trHeight w:val="216"/>
        </w:trPr>
        <w:tc>
          <w:tcPr>
            <w:tcW w:w="5000" w:type="pct"/>
            <w:shd w:val="clear" w:color="auto" w:fill="auto"/>
          </w:tcPr>
          <w:p w14:paraId="46992048" w14:textId="29596A43" w:rsidR="00EA73B3" w:rsidRPr="00EA73B3" w:rsidRDefault="007579D0" w:rsidP="00195A39">
            <w:pPr>
              <w:rPr>
                <w:rFonts w:eastAsia="Times New Roman" w:cs="Arial"/>
                <w:b/>
                <w:sz w:val="20"/>
                <w:szCs w:val="16"/>
              </w:rPr>
            </w:pPr>
            <w:r w:rsidRPr="002902EB">
              <w:rPr>
                <w:rFonts w:cs="Arial"/>
                <w:sz w:val="20"/>
                <w:szCs w:val="16"/>
              </w:rPr>
              <w:t>A new Service Line</w:t>
            </w:r>
            <w:r>
              <w:rPr>
                <w:rFonts w:cs="Arial"/>
                <w:sz w:val="20"/>
                <w:szCs w:val="16"/>
              </w:rPr>
              <w:t xml:space="preserve"> will be implemented </w:t>
            </w:r>
            <w:r w:rsidRPr="002902EB">
              <w:rPr>
                <w:rFonts w:cs="Arial"/>
                <w:sz w:val="20"/>
                <w:szCs w:val="16"/>
              </w:rPr>
              <w:t xml:space="preserve">which </w:t>
            </w:r>
            <w:r>
              <w:rPr>
                <w:rFonts w:cs="Arial"/>
                <w:sz w:val="20"/>
                <w:szCs w:val="16"/>
              </w:rPr>
              <w:t>requires the</w:t>
            </w:r>
            <w:r w:rsidRPr="002902EB">
              <w:rPr>
                <w:rFonts w:cs="Arial"/>
                <w:sz w:val="20"/>
                <w:szCs w:val="16"/>
              </w:rPr>
              <w:t xml:space="preserve"> CDSP to hold and maintain the NExA sites on behalf of DNs and IGTs.</w:t>
            </w:r>
          </w:p>
        </w:tc>
      </w:tr>
      <w:tr w:rsidR="00EA73B3" w:rsidRPr="00EA73B3" w14:paraId="6EF7276F" w14:textId="77777777" w:rsidTr="002E3A44">
        <w:trPr>
          <w:trHeight w:val="216"/>
        </w:trPr>
        <w:tc>
          <w:tcPr>
            <w:tcW w:w="5000" w:type="pct"/>
            <w:shd w:val="clear" w:color="auto" w:fill="3E5AA8" w:themeFill="accent1"/>
            <w:vAlign w:val="center"/>
          </w:tcPr>
          <w:p w14:paraId="509E9641" w14:textId="77777777" w:rsidR="00EA73B3" w:rsidRPr="00EA73B3" w:rsidRDefault="00EA73B3" w:rsidP="00EA73B3">
            <w:pPr>
              <w:jc w:val="center"/>
              <w:rPr>
                <w:rFonts w:eastAsia="Times New Roman" w:cs="Arial"/>
                <w:b/>
                <w:color w:val="FFFFFF"/>
                <w:szCs w:val="16"/>
              </w:rPr>
            </w:pPr>
            <w:r w:rsidRPr="00EA73B3">
              <w:rPr>
                <w:rFonts w:eastAsia="Arial" w:cs="Arial"/>
                <w:b/>
                <w:color w:val="FFFFFF"/>
                <w:sz w:val="20"/>
                <w:lang w:eastAsia="en-US"/>
              </w:rPr>
              <w:t>Section 5: Provide details of any revisions to the text of the UK Link Manual</w:t>
            </w:r>
          </w:p>
        </w:tc>
      </w:tr>
      <w:tr w:rsidR="00EA73B3" w:rsidRPr="00EA73B3" w14:paraId="083A4EDD" w14:textId="77777777" w:rsidTr="002E3A44">
        <w:trPr>
          <w:trHeight w:val="273"/>
        </w:trPr>
        <w:tc>
          <w:tcPr>
            <w:tcW w:w="5000" w:type="pct"/>
            <w:shd w:val="clear" w:color="auto" w:fill="auto"/>
          </w:tcPr>
          <w:p w14:paraId="1AB0B5C7" w14:textId="5D069F1A" w:rsidR="00EA73B3" w:rsidRPr="009222C1" w:rsidRDefault="00BA5D1D" w:rsidP="0A57A144">
            <w:pPr>
              <w:spacing w:line="276" w:lineRule="auto"/>
              <w:contextualSpacing/>
              <w:rPr>
                <w:rFonts w:eastAsia="Times New Roman" w:cs="Arial"/>
                <w:color w:val="FF0000"/>
                <w:szCs w:val="16"/>
              </w:rPr>
            </w:pPr>
            <w:r w:rsidRPr="009222C1">
              <w:rPr>
                <w:rFonts w:eastAsia="Times New Roman" w:cs="Arial"/>
                <w:sz w:val="20"/>
                <w:szCs w:val="16"/>
              </w:rPr>
              <w:t>N/A</w:t>
            </w:r>
          </w:p>
        </w:tc>
      </w:tr>
      <w:tr w:rsidR="00EA73B3" w:rsidRPr="00EA73B3" w14:paraId="7D853ABD" w14:textId="77777777" w:rsidTr="002E3A44">
        <w:trPr>
          <w:trHeight w:val="216"/>
        </w:trPr>
        <w:tc>
          <w:tcPr>
            <w:tcW w:w="5000" w:type="pct"/>
            <w:shd w:val="clear" w:color="auto" w:fill="3E5AA8" w:themeFill="accent1"/>
            <w:vAlign w:val="center"/>
          </w:tcPr>
          <w:p w14:paraId="3FF03745" w14:textId="77777777" w:rsidR="00EA73B3" w:rsidRPr="00EA73B3" w:rsidRDefault="00EA73B3" w:rsidP="00EA73B3">
            <w:pPr>
              <w:jc w:val="center"/>
              <w:rPr>
                <w:rFonts w:eastAsia="Times New Roman" w:cs="Arial"/>
                <w:b/>
                <w:color w:val="0070C0"/>
              </w:rPr>
            </w:pPr>
            <w:r w:rsidRPr="00EA73B3">
              <w:rPr>
                <w:rFonts w:eastAsia="Arial" w:cs="Arial"/>
                <w:b/>
                <w:color w:val="FFFFFF"/>
                <w:sz w:val="20"/>
                <w:lang w:eastAsia="en-US"/>
              </w:rPr>
              <w:t>Section 6: Lessons Learnt</w:t>
            </w:r>
          </w:p>
        </w:tc>
      </w:tr>
      <w:tr w:rsidR="00EA73B3" w:rsidRPr="00EA73B3" w14:paraId="495C3462" w14:textId="77777777" w:rsidTr="002E3A44">
        <w:trPr>
          <w:trHeight w:val="319"/>
        </w:trPr>
        <w:tc>
          <w:tcPr>
            <w:tcW w:w="5000" w:type="pct"/>
            <w:shd w:val="clear" w:color="auto" w:fill="auto"/>
          </w:tcPr>
          <w:p w14:paraId="7B2B5B58" w14:textId="0FB6FD10" w:rsidR="00EA73B3" w:rsidRPr="009222C1" w:rsidRDefault="005153B1" w:rsidP="0A57A144">
            <w:pPr>
              <w:spacing w:after="200" w:line="276" w:lineRule="auto"/>
              <w:rPr>
                <w:rFonts w:eastAsia="Times New Roman" w:cs="Arial"/>
              </w:rPr>
            </w:pPr>
            <w:r w:rsidRPr="009222C1">
              <w:rPr>
                <w:rFonts w:eastAsia="Times New Roman" w:cs="Arial"/>
                <w:sz w:val="20"/>
              </w:rPr>
              <w:t>N/A</w:t>
            </w:r>
          </w:p>
        </w:tc>
      </w:tr>
    </w:tbl>
    <w:p w14:paraId="4CC1E547" w14:textId="77777777" w:rsidR="001C2268" w:rsidRDefault="001C2268" w:rsidP="00EA73B3">
      <w:pPr>
        <w:rPr>
          <w:rFonts w:eastAsia="Arial" w:cs="Arial"/>
          <w:b/>
        </w:rPr>
      </w:pPr>
    </w:p>
    <w:p w14:paraId="7651F714" w14:textId="77777777" w:rsidR="00D66C7E" w:rsidRPr="00EA73B3" w:rsidRDefault="00D66C7E" w:rsidP="00EA73B3"/>
    <w:sectPr w:rsidR="00D66C7E" w:rsidRPr="00EA73B3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18E04A" w14:textId="77777777" w:rsidR="00836E06" w:rsidRDefault="00836E06" w:rsidP="00324744">
      <w:pPr>
        <w:spacing w:after="0" w:line="240" w:lineRule="auto"/>
      </w:pPr>
      <w:r>
        <w:separator/>
      </w:r>
    </w:p>
  </w:endnote>
  <w:endnote w:type="continuationSeparator" w:id="0">
    <w:p w14:paraId="3BAAFA2D" w14:textId="77777777" w:rsidR="00836E06" w:rsidRDefault="00836E06" w:rsidP="003247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79F8C" w14:textId="77777777" w:rsidR="00BD0A45" w:rsidRDefault="00BD0A45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7279F8F" wp14:editId="67279F90">
              <wp:simplePos x="0" y="0"/>
              <wp:positionH relativeFrom="column">
                <wp:posOffset>-914400</wp:posOffset>
              </wp:positionH>
              <wp:positionV relativeFrom="paragraph">
                <wp:posOffset>376555</wp:posOffset>
              </wp:positionV>
              <wp:extent cx="7562850" cy="257175"/>
              <wp:effectExtent l="0" t="0" r="0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57175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4B8F802" id="Rectangle 2" o:spid="_x0000_s1026" style="position:absolute;margin-left:-1in;margin-top:29.65pt;width:595.5pt;height:20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" fillcolor="#40d1f5 [3208]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11AB71" w14:textId="77777777" w:rsidR="00836E06" w:rsidRDefault="00836E06" w:rsidP="00324744">
      <w:pPr>
        <w:spacing w:after="0" w:line="240" w:lineRule="auto"/>
      </w:pPr>
      <w:r>
        <w:separator/>
      </w:r>
    </w:p>
  </w:footnote>
  <w:footnote w:type="continuationSeparator" w:id="0">
    <w:p w14:paraId="292011EC" w14:textId="77777777" w:rsidR="00836E06" w:rsidRDefault="00836E06" w:rsidP="003247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79F8B" w14:textId="77777777" w:rsidR="00324744" w:rsidRDefault="0032474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279F8D" wp14:editId="67279F8E">
              <wp:simplePos x="0" y="0"/>
              <wp:positionH relativeFrom="column">
                <wp:posOffset>-914400</wp:posOffset>
              </wp:positionH>
              <wp:positionV relativeFrom="paragraph">
                <wp:posOffset>-487681</wp:posOffset>
              </wp:positionV>
              <wp:extent cx="7562850" cy="257175"/>
              <wp:effectExtent l="0" t="0" r="0" b="952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2850" cy="25717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48A8CE1" id="Rectangle 1" o:spid="_x0000_s1026" style="position:absolute;margin-left:-1in;margin-top:-38.4pt;width:595.5pt;height:2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" fillcolor="#3e5aa8 [3204]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F16A80"/>
    <w:multiLevelType w:val="hybridMultilevel"/>
    <w:tmpl w:val="B860C3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C86465"/>
    <w:multiLevelType w:val="hybridMultilevel"/>
    <w:tmpl w:val="E9B2CFE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6DB"/>
    <w:rsid w:val="0000140B"/>
    <w:rsid w:val="000068F1"/>
    <w:rsid w:val="00006C99"/>
    <w:rsid w:val="00037DF7"/>
    <w:rsid w:val="000433B9"/>
    <w:rsid w:val="000628C1"/>
    <w:rsid w:val="00086147"/>
    <w:rsid w:val="00097798"/>
    <w:rsid w:val="000A1AD1"/>
    <w:rsid w:val="000A31DE"/>
    <w:rsid w:val="000E6268"/>
    <w:rsid w:val="00113A04"/>
    <w:rsid w:val="00125B61"/>
    <w:rsid w:val="00126697"/>
    <w:rsid w:val="00144E00"/>
    <w:rsid w:val="00195A39"/>
    <w:rsid w:val="001C2268"/>
    <w:rsid w:val="00226D34"/>
    <w:rsid w:val="002362D0"/>
    <w:rsid w:val="002604D1"/>
    <w:rsid w:val="00271200"/>
    <w:rsid w:val="00285816"/>
    <w:rsid w:val="002902EB"/>
    <w:rsid w:val="002B5E11"/>
    <w:rsid w:val="002E3A44"/>
    <w:rsid w:val="002E5101"/>
    <w:rsid w:val="00322D44"/>
    <w:rsid w:val="00324744"/>
    <w:rsid w:val="00344C38"/>
    <w:rsid w:val="003B0759"/>
    <w:rsid w:val="003C2C71"/>
    <w:rsid w:val="004237FE"/>
    <w:rsid w:val="00426807"/>
    <w:rsid w:val="00470DA6"/>
    <w:rsid w:val="00476E4E"/>
    <w:rsid w:val="004C1423"/>
    <w:rsid w:val="004D0F26"/>
    <w:rsid w:val="004F3362"/>
    <w:rsid w:val="00510BAF"/>
    <w:rsid w:val="005153B1"/>
    <w:rsid w:val="00517659"/>
    <w:rsid w:val="00517F6F"/>
    <w:rsid w:val="0055298E"/>
    <w:rsid w:val="00567890"/>
    <w:rsid w:val="005A2A3E"/>
    <w:rsid w:val="00600130"/>
    <w:rsid w:val="006031F4"/>
    <w:rsid w:val="00613931"/>
    <w:rsid w:val="0066138B"/>
    <w:rsid w:val="00701D8A"/>
    <w:rsid w:val="007243D3"/>
    <w:rsid w:val="00731A18"/>
    <w:rsid w:val="007579D0"/>
    <w:rsid w:val="00776452"/>
    <w:rsid w:val="007A56DB"/>
    <w:rsid w:val="007D4F26"/>
    <w:rsid w:val="007E7C5B"/>
    <w:rsid w:val="00817A62"/>
    <w:rsid w:val="00836E06"/>
    <w:rsid w:val="00842F48"/>
    <w:rsid w:val="0088455C"/>
    <w:rsid w:val="009222C1"/>
    <w:rsid w:val="009B262B"/>
    <w:rsid w:val="00A333F0"/>
    <w:rsid w:val="00A57D06"/>
    <w:rsid w:val="00A727A1"/>
    <w:rsid w:val="00AB5B54"/>
    <w:rsid w:val="00AB63DE"/>
    <w:rsid w:val="00B8770C"/>
    <w:rsid w:val="00BA5D1D"/>
    <w:rsid w:val="00BB601B"/>
    <w:rsid w:val="00BD0A45"/>
    <w:rsid w:val="00C61AB1"/>
    <w:rsid w:val="00D66C7E"/>
    <w:rsid w:val="00DD0C65"/>
    <w:rsid w:val="00EA73B3"/>
    <w:rsid w:val="00F45E21"/>
    <w:rsid w:val="00F95876"/>
    <w:rsid w:val="00FB7BFE"/>
    <w:rsid w:val="0A57A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279F40"/>
  <w15:docId w15:val="{1A277DF5-CE81-4284-864A-797CDE3A1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Xo Normal"/>
    <w:qFormat/>
    <w:rsid w:val="007A56DB"/>
    <w:rPr>
      <w:rFonts w:ascii="Arial" w:hAnsi="Arial"/>
    </w:rPr>
  </w:style>
  <w:style w:type="paragraph" w:styleId="Heading1">
    <w:name w:val="heading 1"/>
    <w:aliases w:val="Xo Heading 1"/>
    <w:basedOn w:val="Normal"/>
    <w:next w:val="Normal"/>
    <w:link w:val="Heading1Char"/>
    <w:uiPriority w:val="9"/>
    <w:qFormat/>
    <w:rsid w:val="007A56DB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E5AA8"/>
      <w:sz w:val="28"/>
      <w:szCs w:val="28"/>
    </w:rPr>
  </w:style>
  <w:style w:type="paragraph" w:styleId="Heading2">
    <w:name w:val="heading 2"/>
    <w:aliases w:val="Xo Heading 2"/>
    <w:basedOn w:val="Normal"/>
    <w:next w:val="Normal"/>
    <w:link w:val="Heading2Char"/>
    <w:uiPriority w:val="9"/>
    <w:unhideWhenUsed/>
    <w:qFormat/>
    <w:rsid w:val="007A56DB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6440A3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D0A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Heading4">
    <w:name w:val="heading 4"/>
    <w:aliases w:val="Xo Heading 4"/>
    <w:basedOn w:val="Normal"/>
    <w:next w:val="Normal"/>
    <w:link w:val="Heading4Char"/>
    <w:uiPriority w:val="9"/>
    <w:unhideWhenUsed/>
    <w:qFormat/>
    <w:rsid w:val="0000140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00140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E2C5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Xo No Spacing"/>
    <w:uiPriority w:val="1"/>
    <w:qFormat/>
    <w:rsid w:val="007A56DB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aliases w:val="Xo Heading 1 Char"/>
    <w:basedOn w:val="DefaultParagraphFont"/>
    <w:link w:val="Heading1"/>
    <w:uiPriority w:val="9"/>
    <w:rsid w:val="007A56DB"/>
    <w:rPr>
      <w:rFonts w:ascii="Arial" w:eastAsiaTheme="majorEastAsia" w:hAnsi="Arial" w:cstheme="majorBidi"/>
      <w:b/>
      <w:bCs/>
      <w:color w:val="3E5AA8"/>
      <w:sz w:val="28"/>
      <w:szCs w:val="28"/>
    </w:rPr>
  </w:style>
  <w:style w:type="character" w:customStyle="1" w:styleId="Heading2Char">
    <w:name w:val="Heading 2 Char"/>
    <w:aliases w:val="Xo Heading 2 Char"/>
    <w:basedOn w:val="DefaultParagraphFont"/>
    <w:link w:val="Heading2"/>
    <w:uiPriority w:val="9"/>
    <w:rsid w:val="007A56DB"/>
    <w:rPr>
      <w:rFonts w:ascii="Arial" w:eastAsiaTheme="majorEastAsia" w:hAnsi="Arial" w:cstheme="majorBidi"/>
      <w:b/>
      <w:bCs/>
      <w:color w:val="6440A3"/>
      <w:sz w:val="26"/>
      <w:szCs w:val="26"/>
    </w:rPr>
  </w:style>
  <w:style w:type="paragraph" w:styleId="Title">
    <w:name w:val="Title"/>
    <w:aliases w:val="Xo Title"/>
    <w:basedOn w:val="Normal"/>
    <w:next w:val="Normal"/>
    <w:link w:val="TitleChar"/>
    <w:uiPriority w:val="10"/>
    <w:qFormat/>
    <w:rsid w:val="00BD0A45"/>
    <w:pPr>
      <w:pBdr>
        <w:bottom w:val="single" w:sz="8" w:space="4" w:color="3E5AA8" w:themeColor="accent1"/>
      </w:pBdr>
      <w:spacing w:after="300" w:line="240" w:lineRule="auto"/>
      <w:contextualSpacing/>
    </w:pPr>
    <w:rPr>
      <w:rFonts w:eastAsiaTheme="majorEastAsia" w:cstheme="majorBidi"/>
      <w:b/>
      <w:color w:val="1D3E61"/>
      <w:spacing w:val="5"/>
      <w:kern w:val="28"/>
      <w:sz w:val="52"/>
      <w:szCs w:val="52"/>
    </w:rPr>
  </w:style>
  <w:style w:type="character" w:customStyle="1" w:styleId="TitleChar">
    <w:name w:val="Title Char"/>
    <w:aliases w:val="Xo Title Char"/>
    <w:basedOn w:val="DefaultParagraphFont"/>
    <w:link w:val="Title"/>
    <w:uiPriority w:val="10"/>
    <w:rsid w:val="00BD0A45"/>
    <w:rPr>
      <w:rFonts w:ascii="Arial" w:eastAsiaTheme="majorEastAsia" w:hAnsi="Arial" w:cstheme="majorBidi"/>
      <w:b/>
      <w:color w:val="1D3E61"/>
      <w:spacing w:val="5"/>
      <w:kern w:val="28"/>
      <w:sz w:val="52"/>
      <w:szCs w:val="52"/>
    </w:rPr>
  </w:style>
  <w:style w:type="paragraph" w:styleId="Subtitle">
    <w:name w:val="Subtitle"/>
    <w:aliases w:val="Xo Subtitle"/>
    <w:basedOn w:val="Normal"/>
    <w:next w:val="Normal"/>
    <w:link w:val="SubtitleChar"/>
    <w:uiPriority w:val="11"/>
    <w:qFormat/>
    <w:rsid w:val="00324744"/>
    <w:pPr>
      <w:numPr>
        <w:ilvl w:val="1"/>
      </w:numPr>
    </w:pPr>
    <w:rPr>
      <w:rFonts w:eastAsiaTheme="majorEastAsia" w:cstheme="majorBidi"/>
      <w:i/>
      <w:iCs/>
      <w:color w:val="56CF9E"/>
      <w:spacing w:val="15"/>
      <w:sz w:val="24"/>
      <w:szCs w:val="24"/>
    </w:rPr>
  </w:style>
  <w:style w:type="character" w:customStyle="1" w:styleId="SubtitleChar">
    <w:name w:val="Subtitle Char"/>
    <w:aliases w:val="Xo Subtitle Char"/>
    <w:basedOn w:val="DefaultParagraphFont"/>
    <w:link w:val="Subtitle"/>
    <w:uiPriority w:val="11"/>
    <w:rsid w:val="00324744"/>
    <w:rPr>
      <w:rFonts w:ascii="Arial" w:eastAsiaTheme="majorEastAsia" w:hAnsi="Arial" w:cstheme="majorBidi"/>
      <w:i/>
      <w:iCs/>
      <w:color w:val="56CF9E"/>
      <w:spacing w:val="15"/>
      <w:sz w:val="24"/>
      <w:szCs w:val="24"/>
    </w:rPr>
  </w:style>
  <w:style w:type="character" w:styleId="SubtleEmphasis">
    <w:name w:val="Subtle Emphasis"/>
    <w:aliases w:val="Xo Subtle Emphasis"/>
    <w:basedOn w:val="DefaultParagraphFont"/>
    <w:uiPriority w:val="19"/>
    <w:qFormat/>
    <w:rsid w:val="00324744"/>
    <w:rPr>
      <w:rFonts w:ascii="Arial" w:hAnsi="Arial"/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74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3247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744"/>
    <w:rPr>
      <w:rFonts w:ascii="Arial" w:hAnsi="Arial"/>
    </w:rPr>
  </w:style>
  <w:style w:type="character" w:customStyle="1" w:styleId="Heading3Char">
    <w:name w:val="Heading 3 Char"/>
    <w:basedOn w:val="DefaultParagraphFont"/>
    <w:link w:val="Heading3"/>
    <w:uiPriority w:val="9"/>
    <w:rsid w:val="00BD0A45"/>
    <w:rPr>
      <w:rFonts w:asciiTheme="majorHAnsi" w:eastAsiaTheme="majorEastAsia" w:hAnsiTheme="majorHAnsi" w:cstheme="majorBidi"/>
      <w:b/>
      <w:bCs/>
      <w:color w:val="40D1F5" w:themeColor="accent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98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0140B"/>
    <w:rPr>
      <w:color w:val="6440A3" w:themeColor="hyperlink"/>
      <w:u w:val="single"/>
    </w:rPr>
  </w:style>
  <w:style w:type="character" w:customStyle="1" w:styleId="Heading4Char">
    <w:name w:val="Heading 4 Char"/>
    <w:aliases w:val="Xo Heading 4 Char"/>
    <w:basedOn w:val="DefaultParagraphFont"/>
    <w:link w:val="Heading4"/>
    <w:uiPriority w:val="9"/>
    <w:rsid w:val="0000140B"/>
    <w:rPr>
      <w:rFonts w:asciiTheme="majorHAnsi" w:eastAsiaTheme="majorEastAsia" w:hAnsiTheme="majorHAnsi" w:cstheme="majorBidi"/>
      <w:b/>
      <w:bCs/>
      <w:i/>
      <w:iCs/>
      <w:color w:val="3E5AA8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0140B"/>
    <w:rPr>
      <w:rFonts w:asciiTheme="majorHAnsi" w:eastAsiaTheme="majorEastAsia" w:hAnsiTheme="majorHAnsi" w:cstheme="majorBidi"/>
      <w:color w:val="1E2C53" w:themeColor="accent1" w:themeShade="7F"/>
    </w:rPr>
  </w:style>
  <w:style w:type="character" w:styleId="IntenseEmphasis">
    <w:name w:val="Intense Emphasis"/>
    <w:basedOn w:val="DefaultParagraphFont"/>
    <w:uiPriority w:val="21"/>
    <w:qFormat/>
    <w:rsid w:val="00426807"/>
    <w:rPr>
      <w:b/>
      <w:bCs/>
      <w:i/>
      <w:iCs/>
      <w:color w:val="3E5AA8" w:themeColor="accent1"/>
    </w:rPr>
  </w:style>
  <w:style w:type="character" w:styleId="Strong">
    <w:name w:val="Strong"/>
    <w:basedOn w:val="DefaultParagraphFont"/>
    <w:uiPriority w:val="22"/>
    <w:qFormat/>
    <w:rsid w:val="00426807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42680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26807"/>
    <w:rPr>
      <w:rFonts w:ascii="Arial" w:hAnsi="Arial"/>
      <w:i/>
      <w:iCs/>
      <w:color w:val="000000" w:themeColor="text1"/>
    </w:rPr>
  </w:style>
  <w:style w:type="table" w:customStyle="1" w:styleId="TableGrid1">
    <w:name w:val="Table Grid1"/>
    <w:basedOn w:val="TableNormal"/>
    <w:next w:val="TableGrid"/>
    <w:uiPriority w:val="59"/>
    <w:rsid w:val="00EA7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EA7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5D1D"/>
    <w:pPr>
      <w:ind w:left="720"/>
      <w:contextualSpacing/>
    </w:pPr>
    <w:rPr>
      <w:rFonts w:eastAsiaTheme="minorHAnsi"/>
      <w:sz w:val="20"/>
      <w:szCs w:val="20"/>
      <w:lang w:eastAsia="en-US"/>
    </w:rPr>
  </w:style>
  <w:style w:type="paragraph" w:customStyle="1" w:styleId="paragraph">
    <w:name w:val="paragraph"/>
    <w:basedOn w:val="Normal"/>
    <w:rsid w:val="000E6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E6268"/>
  </w:style>
  <w:style w:type="character" w:customStyle="1" w:styleId="eop">
    <w:name w:val="eop"/>
    <w:basedOn w:val="DefaultParagraphFont"/>
    <w:rsid w:val="000E6268"/>
  </w:style>
  <w:style w:type="character" w:styleId="CommentReference">
    <w:name w:val="annotation reference"/>
    <w:basedOn w:val="DefaultParagraphFont"/>
    <w:uiPriority w:val="99"/>
    <w:semiHidden/>
    <w:unhideWhenUsed/>
    <w:rsid w:val="009B26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26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262B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26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262B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91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Xoserve 2018">
      <a:dk1>
        <a:sysClr val="windowText" lastClr="000000"/>
      </a:dk1>
      <a:lt1>
        <a:sysClr val="window" lastClr="FFFFFF"/>
      </a:lt1>
      <a:dk2>
        <a:srgbClr val="1D3E61"/>
      </a:dk2>
      <a:lt2>
        <a:srgbClr val="EEECE1"/>
      </a:lt2>
      <a:accent1>
        <a:srgbClr val="3E5AA8"/>
      </a:accent1>
      <a:accent2>
        <a:srgbClr val="D75733"/>
      </a:accent2>
      <a:accent3>
        <a:srgbClr val="56CF9E"/>
      </a:accent3>
      <a:accent4>
        <a:srgbClr val="6440A3"/>
      </a:accent4>
      <a:accent5>
        <a:srgbClr val="40D1F5"/>
      </a:accent5>
      <a:accent6>
        <a:srgbClr val="FCBC55"/>
      </a:accent6>
      <a:hlink>
        <a:srgbClr val="6440A3"/>
      </a:hlink>
      <a:folHlink>
        <a:srgbClr val="D2232A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4A46900855F54F8B1B4A69CC14CF6B" ma:contentTypeVersion="7" ma:contentTypeDescription="Create a new document." ma:contentTypeScope="" ma:versionID="cb23e439608fa62b7d4e34d18c2a6014">
  <xsd:schema xmlns:xsd="http://www.w3.org/2001/XMLSchema" xmlns:xs="http://www.w3.org/2001/XMLSchema" xmlns:p="http://schemas.microsoft.com/office/2006/metadata/properties" xmlns:ns2="11f1cc19-a6a2-4477-822b-8358f9edc374" xmlns:ns3="103fba77-31dd-4780-83f9-c54f26c3a260" targetNamespace="http://schemas.microsoft.com/office/2006/metadata/properties" ma:root="true" ma:fieldsID="8f8e5271f7d152bbf69cc47d21b266bc" ns2:_="" ns3:_="">
    <xsd:import namespace="11f1cc19-a6a2-4477-822b-8358f9edc374"/>
    <xsd:import namespace="103fba77-31dd-4780-83f9-c54f26c3a2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f1cc19-a6a2-4477-822b-8358f9edc3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3fba77-31dd-4780-83f9-c54f26c3a2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5FD1E4-E801-45E3-8622-5705A3614C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43FA0F-949F-4E42-9C86-E162D9D66BFD}"/>
</file>

<file path=customXml/itemProps3.xml><?xml version="1.0" encoding="utf-8"?>
<ds:datastoreItem xmlns:ds="http://schemas.openxmlformats.org/officeDocument/2006/customXml" ds:itemID="{10FE92D9-C373-4587-A1BF-C6A521F5EE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Grid</Company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National Grid</dc:creator>
  <cp:lastModifiedBy>Jaimee LeResche</cp:lastModifiedBy>
  <cp:revision>4</cp:revision>
  <dcterms:created xsi:type="dcterms:W3CDTF">2021-02-24T13:59:00Z</dcterms:created>
  <dcterms:modified xsi:type="dcterms:W3CDTF">2021-03-18T16:15:00Z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0x010100BE4A46900855F54F8B1B4A69CC14CF6B</vt:lpwstr>
  </property>
</Properties>
</file>