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79F67" w14:textId="10661B42" w:rsidR="00D66C7E" w:rsidRPr="001C2268" w:rsidRDefault="00EA73B3" w:rsidP="00EA73B3">
      <w:pPr>
        <w:pStyle w:val="Title"/>
        <w:jc w:val="center"/>
        <w:rPr>
          <w:szCs w:val="48"/>
        </w:rPr>
      </w:pPr>
      <w:r w:rsidRPr="001C2268">
        <w:rPr>
          <w:szCs w:val="48"/>
        </w:rPr>
        <w:t>DSC Change Completion Report (CCR)</w:t>
      </w:r>
    </w:p>
    <w:p w14:paraId="67279F68" w14:textId="3899D7A8" w:rsidR="00EA73B3" w:rsidRDefault="00EA73B3" w:rsidP="00D66C7E">
      <w:r>
        <w:rPr>
          <w:noProof/>
        </w:rPr>
        <w:drawing>
          <wp:anchor distT="0" distB="0" distL="114300" distR="114300" simplePos="0" relativeHeight="251664896" behindDoc="0" locked="0" layoutInCell="1" allowOverlap="1" wp14:anchorId="67279F85" wp14:editId="0FD02F43">
            <wp:simplePos x="0" y="0"/>
            <wp:positionH relativeFrom="column">
              <wp:posOffset>826770</wp:posOffset>
            </wp:positionH>
            <wp:positionV relativeFrom="paragraph">
              <wp:posOffset>110927</wp:posOffset>
            </wp:positionV>
            <wp:extent cx="4109720" cy="647700"/>
            <wp:effectExtent l="0" t="0" r="508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09720" cy="647700"/>
                    </a:xfrm>
                    <a:prstGeom prst="rect">
                      <a:avLst/>
                    </a:prstGeom>
                  </pic:spPr>
                </pic:pic>
              </a:graphicData>
            </a:graphic>
            <wp14:sizeRelH relativeFrom="page">
              <wp14:pctWidth>0</wp14:pctWidth>
            </wp14:sizeRelH>
            <wp14:sizeRelV relativeFrom="page">
              <wp14:pctHeight>0</wp14:pctHeight>
            </wp14:sizeRelV>
          </wp:anchor>
        </w:drawing>
      </w:r>
      <w:r w:rsidR="00D66C7E">
        <w:br w:type="textWrapping" w:clear="all"/>
      </w:r>
    </w:p>
    <w:p w14:paraId="00F32253" w14:textId="3FFA09AD" w:rsidR="00EA73B3" w:rsidRDefault="00EA73B3" w:rsidP="00EA73B3"/>
    <w:p w14:paraId="2EBB5376" w14:textId="77777777" w:rsidR="00EA73B3" w:rsidRDefault="00EA73B3" w:rsidP="00EA73B3"/>
    <w:tbl>
      <w:tblPr>
        <w:tblStyle w:val="TableGrid1"/>
        <w:tblW w:w="5256" w:type="pct"/>
        <w:tblLayout w:type="fixed"/>
        <w:tblLook w:val="04A0" w:firstRow="1" w:lastRow="0" w:firstColumn="1" w:lastColumn="0" w:noHBand="0" w:noVBand="1"/>
      </w:tblPr>
      <w:tblGrid>
        <w:gridCol w:w="4394"/>
        <w:gridCol w:w="5084"/>
      </w:tblGrid>
      <w:tr w:rsidR="00EA73B3" w:rsidRPr="00EA73B3" w14:paraId="1601AE27" w14:textId="77777777" w:rsidTr="0A57A144">
        <w:tc>
          <w:tcPr>
            <w:tcW w:w="2318" w:type="pct"/>
            <w:shd w:val="clear" w:color="auto" w:fill="FFFFFF" w:themeFill="background1"/>
            <w:vAlign w:val="center"/>
          </w:tcPr>
          <w:p w14:paraId="4180B42D" w14:textId="77777777" w:rsidR="00EA73B3" w:rsidRPr="00EA73B3" w:rsidRDefault="00EA73B3" w:rsidP="00EA73B3">
            <w:pPr>
              <w:rPr>
                <w:rFonts w:eastAsia="Times New Roman" w:cs="Arial"/>
                <w:b/>
                <w:sz w:val="20"/>
                <w:szCs w:val="16"/>
              </w:rPr>
            </w:pPr>
            <w:r w:rsidRPr="00EA73B3">
              <w:rPr>
                <w:rFonts w:eastAsia="Times New Roman" w:cs="Arial"/>
                <w:b/>
                <w:sz w:val="20"/>
                <w:szCs w:val="16"/>
              </w:rPr>
              <w:t>Change Title</w:t>
            </w:r>
          </w:p>
        </w:tc>
        <w:tc>
          <w:tcPr>
            <w:tcW w:w="2682" w:type="pct"/>
          </w:tcPr>
          <w:p w14:paraId="018CEA35" w14:textId="7D0FC4F9" w:rsidR="00EA73B3" w:rsidRPr="00EA73B3" w:rsidRDefault="00457EF4" w:rsidP="0A57A144">
            <w:pPr>
              <w:rPr>
                <w:rFonts w:eastAsia="Times New Roman" w:cs="Arial"/>
                <w:sz w:val="20"/>
                <w:szCs w:val="20"/>
              </w:rPr>
            </w:pPr>
            <w:r>
              <w:rPr>
                <w:rFonts w:eastAsia="Times New Roman" w:cs="Arial"/>
                <w:sz w:val="20"/>
                <w:szCs w:val="20"/>
              </w:rPr>
              <w:t>Nov 20</w:t>
            </w:r>
          </w:p>
        </w:tc>
      </w:tr>
      <w:tr w:rsidR="00EA73B3" w:rsidRPr="00EA73B3" w14:paraId="06D4D571" w14:textId="77777777" w:rsidTr="0A57A144">
        <w:tc>
          <w:tcPr>
            <w:tcW w:w="2318" w:type="pct"/>
            <w:shd w:val="clear" w:color="auto" w:fill="FFFFFF" w:themeFill="background1"/>
            <w:vAlign w:val="center"/>
          </w:tcPr>
          <w:p w14:paraId="5982B8CD" w14:textId="77777777" w:rsidR="00EA73B3" w:rsidRPr="00EA73B3" w:rsidRDefault="00EA73B3" w:rsidP="00EA73B3">
            <w:pPr>
              <w:rPr>
                <w:rFonts w:eastAsia="Times New Roman" w:cs="Arial"/>
                <w:b/>
                <w:sz w:val="20"/>
                <w:szCs w:val="16"/>
              </w:rPr>
            </w:pPr>
            <w:r w:rsidRPr="00EA73B3">
              <w:rPr>
                <w:rFonts w:eastAsia="Times New Roman" w:cs="Arial"/>
                <w:b/>
                <w:sz w:val="20"/>
                <w:szCs w:val="16"/>
              </w:rPr>
              <w:t>Change reference number (XRN)</w:t>
            </w:r>
          </w:p>
        </w:tc>
        <w:tc>
          <w:tcPr>
            <w:tcW w:w="2682" w:type="pct"/>
          </w:tcPr>
          <w:p w14:paraId="06F88361" w14:textId="52AC923B" w:rsidR="00EA73B3" w:rsidRPr="00EA73B3" w:rsidRDefault="002C0324" w:rsidP="00195A39">
            <w:pPr>
              <w:rPr>
                <w:rFonts w:eastAsia="Times New Roman" w:cs="Arial"/>
                <w:sz w:val="20"/>
                <w:szCs w:val="20"/>
              </w:rPr>
            </w:pPr>
            <w:r>
              <w:rPr>
                <w:rFonts w:eastAsia="Times New Roman" w:cs="Arial"/>
                <w:sz w:val="20"/>
                <w:szCs w:val="20"/>
              </w:rPr>
              <w:t>5110</w:t>
            </w:r>
          </w:p>
        </w:tc>
      </w:tr>
      <w:tr w:rsidR="00EA73B3" w:rsidRPr="00EA73B3" w14:paraId="1D6C8AD7" w14:textId="77777777" w:rsidTr="0A57A144">
        <w:tc>
          <w:tcPr>
            <w:tcW w:w="2318" w:type="pct"/>
            <w:tcBorders>
              <w:bottom w:val="single" w:sz="4" w:space="0" w:color="auto"/>
            </w:tcBorders>
            <w:shd w:val="clear" w:color="auto" w:fill="FFFFFF" w:themeFill="background1"/>
            <w:vAlign w:val="center"/>
          </w:tcPr>
          <w:p w14:paraId="2E0D022E" w14:textId="77777777" w:rsidR="00EA73B3" w:rsidRPr="00EA73B3" w:rsidRDefault="00EA73B3" w:rsidP="00EA73B3">
            <w:pPr>
              <w:rPr>
                <w:rFonts w:eastAsia="Times New Roman" w:cs="Arial"/>
                <w:b/>
                <w:sz w:val="20"/>
                <w:szCs w:val="16"/>
              </w:rPr>
            </w:pPr>
            <w:r w:rsidRPr="00EA73B3">
              <w:rPr>
                <w:rFonts w:eastAsia="Times New Roman" w:cs="Arial"/>
                <w:b/>
                <w:sz w:val="20"/>
                <w:szCs w:val="16"/>
              </w:rPr>
              <w:t xml:space="preserve">Xoserve Project Manager  </w:t>
            </w:r>
          </w:p>
        </w:tc>
        <w:tc>
          <w:tcPr>
            <w:tcW w:w="2682" w:type="pct"/>
            <w:tcBorders>
              <w:bottom w:val="single" w:sz="4" w:space="0" w:color="auto"/>
            </w:tcBorders>
          </w:tcPr>
          <w:p w14:paraId="4419660B" w14:textId="3D23F1AF" w:rsidR="00EA73B3" w:rsidRPr="00EA73B3" w:rsidRDefault="002C0324" w:rsidP="0A57A144">
            <w:pPr>
              <w:rPr>
                <w:rFonts w:eastAsia="Times New Roman" w:cs="Arial"/>
                <w:sz w:val="20"/>
                <w:szCs w:val="20"/>
              </w:rPr>
            </w:pPr>
            <w:r>
              <w:rPr>
                <w:rFonts w:eastAsia="Times New Roman" w:cs="Arial"/>
                <w:sz w:val="20"/>
                <w:szCs w:val="20"/>
              </w:rPr>
              <w:t>Ed Healy</w:t>
            </w:r>
          </w:p>
        </w:tc>
      </w:tr>
      <w:tr w:rsidR="00EA73B3" w:rsidRPr="00EA73B3" w14:paraId="2390A8AC" w14:textId="77777777" w:rsidTr="0A57A144">
        <w:tc>
          <w:tcPr>
            <w:tcW w:w="2318" w:type="pct"/>
            <w:tcBorders>
              <w:bottom w:val="single" w:sz="4" w:space="0" w:color="auto"/>
            </w:tcBorders>
            <w:shd w:val="clear" w:color="auto" w:fill="FFFFFF" w:themeFill="background1"/>
            <w:vAlign w:val="center"/>
          </w:tcPr>
          <w:p w14:paraId="68172196" w14:textId="77777777" w:rsidR="00EA73B3" w:rsidRPr="00EA73B3" w:rsidRDefault="00EA73B3" w:rsidP="00EA73B3">
            <w:pPr>
              <w:rPr>
                <w:rFonts w:eastAsia="Times New Roman" w:cs="Arial"/>
                <w:b/>
                <w:sz w:val="20"/>
                <w:szCs w:val="16"/>
              </w:rPr>
            </w:pPr>
            <w:r w:rsidRPr="00EA73B3">
              <w:rPr>
                <w:rFonts w:eastAsia="Times New Roman" w:cs="Arial"/>
                <w:b/>
                <w:sz w:val="20"/>
                <w:szCs w:val="16"/>
              </w:rPr>
              <w:t>Email address</w:t>
            </w:r>
          </w:p>
        </w:tc>
        <w:tc>
          <w:tcPr>
            <w:tcW w:w="2682" w:type="pct"/>
            <w:tcBorders>
              <w:bottom w:val="single" w:sz="4" w:space="0" w:color="auto"/>
            </w:tcBorders>
          </w:tcPr>
          <w:p w14:paraId="5A705C45" w14:textId="19540EF2" w:rsidR="00EA73B3" w:rsidRPr="00EA73B3" w:rsidRDefault="000179CB" w:rsidP="0A57A144">
            <w:pPr>
              <w:rPr>
                <w:rFonts w:eastAsia="Times New Roman" w:cs="Arial"/>
                <w:sz w:val="20"/>
                <w:szCs w:val="20"/>
              </w:rPr>
            </w:pPr>
            <w:r>
              <w:rPr>
                <w:rFonts w:eastAsia="Times New Roman" w:cs="Arial"/>
                <w:sz w:val="20"/>
                <w:szCs w:val="20"/>
              </w:rPr>
              <w:t>Edward.m.healy@correla.com</w:t>
            </w:r>
          </w:p>
        </w:tc>
      </w:tr>
      <w:tr w:rsidR="00EA73B3" w:rsidRPr="00EA73B3" w14:paraId="3B9ABC1E" w14:textId="77777777" w:rsidTr="0A57A144">
        <w:tc>
          <w:tcPr>
            <w:tcW w:w="2318" w:type="pct"/>
            <w:tcBorders>
              <w:bottom w:val="single" w:sz="4" w:space="0" w:color="auto"/>
            </w:tcBorders>
            <w:shd w:val="clear" w:color="auto" w:fill="FFFFFF" w:themeFill="background1"/>
            <w:vAlign w:val="center"/>
          </w:tcPr>
          <w:p w14:paraId="7FA38DA5" w14:textId="77777777" w:rsidR="00EA73B3" w:rsidRPr="00EA73B3" w:rsidRDefault="00EA73B3" w:rsidP="00EA73B3">
            <w:pPr>
              <w:rPr>
                <w:rFonts w:eastAsia="Times New Roman" w:cs="Arial"/>
                <w:b/>
                <w:sz w:val="20"/>
                <w:szCs w:val="16"/>
              </w:rPr>
            </w:pPr>
            <w:r w:rsidRPr="00EA73B3">
              <w:rPr>
                <w:rFonts w:eastAsia="Times New Roman" w:cs="Arial"/>
                <w:b/>
                <w:sz w:val="20"/>
                <w:szCs w:val="16"/>
              </w:rPr>
              <w:t>Contact number</w:t>
            </w:r>
          </w:p>
        </w:tc>
        <w:tc>
          <w:tcPr>
            <w:tcW w:w="2682" w:type="pct"/>
            <w:tcBorders>
              <w:bottom w:val="single" w:sz="4" w:space="0" w:color="auto"/>
            </w:tcBorders>
          </w:tcPr>
          <w:p w14:paraId="407DF7DD" w14:textId="50E5E810" w:rsidR="00EA73B3" w:rsidRPr="00EA73B3" w:rsidRDefault="00AF045D" w:rsidP="0A57A144">
            <w:pPr>
              <w:rPr>
                <w:rFonts w:eastAsia="Times New Roman" w:cs="Arial"/>
                <w:sz w:val="20"/>
                <w:szCs w:val="20"/>
              </w:rPr>
            </w:pPr>
            <w:r>
              <w:rPr>
                <w:rFonts w:ascii="Verdana" w:eastAsia="Verdana" w:hAnsi="Verdana" w:cs="Verdana"/>
                <w:noProof/>
                <w:sz w:val="20"/>
                <w:szCs w:val="20"/>
              </w:rPr>
              <w:t>0121 229 2178</w:t>
            </w:r>
          </w:p>
        </w:tc>
      </w:tr>
      <w:tr w:rsidR="00EA73B3" w:rsidRPr="00EA73B3" w14:paraId="0B495390" w14:textId="77777777" w:rsidTr="0A57A144">
        <w:tc>
          <w:tcPr>
            <w:tcW w:w="2318" w:type="pct"/>
            <w:tcBorders>
              <w:bottom w:val="single" w:sz="4" w:space="0" w:color="auto"/>
            </w:tcBorders>
            <w:shd w:val="clear" w:color="auto" w:fill="FFFFFF" w:themeFill="background1"/>
            <w:vAlign w:val="center"/>
          </w:tcPr>
          <w:p w14:paraId="3A2F94C7" w14:textId="77777777" w:rsidR="00EA73B3" w:rsidRPr="00EA73B3" w:rsidRDefault="00EA73B3" w:rsidP="00EA73B3">
            <w:pPr>
              <w:rPr>
                <w:rFonts w:eastAsia="Times New Roman" w:cs="Arial"/>
                <w:b/>
                <w:sz w:val="20"/>
                <w:szCs w:val="16"/>
              </w:rPr>
            </w:pPr>
            <w:r w:rsidRPr="00EA73B3">
              <w:rPr>
                <w:rFonts w:eastAsia="Times New Roman" w:cs="Arial"/>
                <w:b/>
                <w:sz w:val="20"/>
                <w:szCs w:val="16"/>
              </w:rPr>
              <w:t>Target Change Management Committee date</w:t>
            </w:r>
          </w:p>
        </w:tc>
        <w:tc>
          <w:tcPr>
            <w:tcW w:w="2682" w:type="pct"/>
            <w:tcBorders>
              <w:bottom w:val="single" w:sz="4" w:space="0" w:color="auto"/>
            </w:tcBorders>
          </w:tcPr>
          <w:p w14:paraId="4E6B73E1" w14:textId="7D98B39A" w:rsidR="00EA73B3" w:rsidRPr="00EA73B3" w:rsidRDefault="00C110DF" w:rsidP="00EA73B3">
            <w:pPr>
              <w:rPr>
                <w:rFonts w:eastAsia="Times New Roman" w:cs="Arial"/>
                <w:sz w:val="20"/>
                <w:szCs w:val="20"/>
              </w:rPr>
            </w:pPr>
            <w:r>
              <w:rPr>
                <w:rFonts w:eastAsia="Times New Roman" w:cs="Arial"/>
                <w:sz w:val="20"/>
                <w:szCs w:val="20"/>
              </w:rPr>
              <w:t>07</w:t>
            </w:r>
            <w:r w:rsidRPr="00C110DF">
              <w:rPr>
                <w:rFonts w:eastAsia="Times New Roman" w:cs="Arial"/>
                <w:sz w:val="20"/>
                <w:szCs w:val="20"/>
                <w:vertAlign w:val="superscript"/>
              </w:rPr>
              <w:t>th</w:t>
            </w:r>
            <w:r>
              <w:rPr>
                <w:rFonts w:eastAsia="Times New Roman" w:cs="Arial"/>
                <w:sz w:val="20"/>
                <w:szCs w:val="20"/>
              </w:rPr>
              <w:t xml:space="preserve"> Jul</w:t>
            </w:r>
            <w:r w:rsidR="00FC1563">
              <w:rPr>
                <w:rFonts w:eastAsia="Times New Roman" w:cs="Arial"/>
                <w:sz w:val="20"/>
                <w:szCs w:val="20"/>
              </w:rPr>
              <w:t>y 2021</w:t>
            </w:r>
          </w:p>
        </w:tc>
      </w:tr>
      <w:tr w:rsidR="00EA73B3" w:rsidRPr="00EA73B3" w14:paraId="70D298E7" w14:textId="77777777" w:rsidTr="0A57A144">
        <w:tc>
          <w:tcPr>
            <w:tcW w:w="2318" w:type="pct"/>
            <w:tcBorders>
              <w:bottom w:val="single" w:sz="4" w:space="0" w:color="auto"/>
            </w:tcBorders>
            <w:shd w:val="clear" w:color="auto" w:fill="FFFFFF" w:themeFill="background1"/>
            <w:vAlign w:val="center"/>
          </w:tcPr>
          <w:p w14:paraId="1717601B" w14:textId="77777777" w:rsidR="00EA73B3" w:rsidRPr="00EA73B3" w:rsidRDefault="00EA73B3" w:rsidP="00EA73B3">
            <w:pPr>
              <w:rPr>
                <w:rFonts w:eastAsia="Times New Roman" w:cs="Arial"/>
                <w:b/>
                <w:sz w:val="20"/>
                <w:szCs w:val="16"/>
              </w:rPr>
            </w:pPr>
            <w:r w:rsidRPr="00EA73B3">
              <w:rPr>
                <w:rFonts w:eastAsia="Times New Roman" w:cs="Arial"/>
                <w:b/>
                <w:sz w:val="20"/>
                <w:szCs w:val="16"/>
              </w:rPr>
              <w:t>Date of Solution Implementation</w:t>
            </w:r>
          </w:p>
        </w:tc>
        <w:tc>
          <w:tcPr>
            <w:tcW w:w="2682" w:type="pct"/>
            <w:tcBorders>
              <w:bottom w:val="single" w:sz="4" w:space="0" w:color="auto"/>
            </w:tcBorders>
          </w:tcPr>
          <w:p w14:paraId="76CEA666" w14:textId="580B56B1" w:rsidR="00EA73B3" w:rsidRPr="00EA73B3" w:rsidRDefault="001A1C12" w:rsidP="0A57A144">
            <w:pPr>
              <w:rPr>
                <w:rFonts w:eastAsia="Times New Roman" w:cs="Arial"/>
                <w:sz w:val="20"/>
                <w:szCs w:val="20"/>
              </w:rPr>
            </w:pPr>
            <w:r>
              <w:rPr>
                <w:rFonts w:eastAsia="Times New Roman" w:cs="Arial"/>
                <w:sz w:val="20"/>
                <w:szCs w:val="20"/>
              </w:rPr>
              <w:t>07</w:t>
            </w:r>
            <w:r w:rsidRPr="001A1C12">
              <w:rPr>
                <w:rFonts w:eastAsia="Times New Roman" w:cs="Arial"/>
                <w:sz w:val="20"/>
                <w:szCs w:val="20"/>
                <w:vertAlign w:val="superscript"/>
              </w:rPr>
              <w:t>th</w:t>
            </w:r>
            <w:r>
              <w:rPr>
                <w:rFonts w:eastAsia="Times New Roman" w:cs="Arial"/>
                <w:sz w:val="20"/>
                <w:szCs w:val="20"/>
              </w:rPr>
              <w:t xml:space="preserve"> November 2020</w:t>
            </w:r>
          </w:p>
        </w:tc>
      </w:tr>
      <w:tr w:rsidR="00EA73B3" w:rsidRPr="00EA73B3" w14:paraId="0327033D" w14:textId="77777777" w:rsidTr="0A57A144">
        <w:tc>
          <w:tcPr>
            <w:tcW w:w="5000" w:type="pct"/>
            <w:gridSpan w:val="2"/>
            <w:tcBorders>
              <w:bottom w:val="single" w:sz="4" w:space="0" w:color="auto"/>
            </w:tcBorders>
            <w:shd w:val="clear" w:color="auto" w:fill="3E5AA8" w:themeFill="accent1"/>
            <w:vAlign w:val="center"/>
          </w:tcPr>
          <w:p w14:paraId="5A40CDE0" w14:textId="77777777" w:rsidR="00EA73B3" w:rsidRPr="00EA73B3" w:rsidRDefault="00EA73B3" w:rsidP="00EA73B3">
            <w:pPr>
              <w:jc w:val="center"/>
              <w:rPr>
                <w:rFonts w:eastAsia="Times New Roman" w:cs="Arial"/>
                <w:b/>
                <w:color w:val="FFFFFF"/>
                <w:sz w:val="20"/>
              </w:rPr>
            </w:pPr>
            <w:r w:rsidRPr="00EA73B3">
              <w:rPr>
                <w:rFonts w:eastAsia="Arial" w:cs="Arial"/>
                <w:b/>
                <w:color w:val="FFFFFF"/>
                <w:sz w:val="20"/>
                <w:lang w:eastAsia="en-US"/>
              </w:rPr>
              <w:t>Section 1: Overview of Change Delivery</w:t>
            </w:r>
          </w:p>
        </w:tc>
      </w:tr>
      <w:tr w:rsidR="00EA73B3" w:rsidRPr="00EA73B3" w14:paraId="0CEE08D9" w14:textId="77777777" w:rsidTr="0A57A144">
        <w:tc>
          <w:tcPr>
            <w:tcW w:w="5000" w:type="pct"/>
            <w:gridSpan w:val="2"/>
            <w:tcBorders>
              <w:bottom w:val="single" w:sz="4" w:space="0" w:color="auto"/>
            </w:tcBorders>
            <w:shd w:val="clear" w:color="auto" w:fill="FFFFFF" w:themeFill="background1"/>
          </w:tcPr>
          <w:p w14:paraId="33C295CC" w14:textId="15D1AE61" w:rsidR="00EA73B3" w:rsidRDefault="00EA73B3" w:rsidP="00195A39">
            <w:pPr>
              <w:contextualSpacing/>
              <w:rPr>
                <w:rFonts w:eastAsia="Times New Roman" w:cs="Arial"/>
                <w:i/>
                <w:iCs/>
                <w:color w:val="0070C0"/>
                <w:sz w:val="20"/>
                <w:szCs w:val="20"/>
              </w:rPr>
            </w:pPr>
          </w:p>
          <w:p w14:paraId="667BFA42" w14:textId="749A20D3" w:rsidR="00F97C63" w:rsidRPr="00173B67" w:rsidRDefault="008F0A1E" w:rsidP="00195A39">
            <w:pPr>
              <w:contextualSpacing/>
              <w:rPr>
                <w:rFonts w:eastAsia="Times New Roman" w:cs="Arial"/>
                <w:iCs/>
                <w:sz w:val="20"/>
                <w:szCs w:val="20"/>
              </w:rPr>
            </w:pPr>
            <w:r w:rsidRPr="00173B67">
              <w:rPr>
                <w:rFonts w:eastAsia="Times New Roman" w:cs="Arial"/>
                <w:iCs/>
                <w:sz w:val="20"/>
                <w:szCs w:val="20"/>
              </w:rPr>
              <w:t xml:space="preserve">As part of Nov 20 </w:t>
            </w:r>
            <w:r w:rsidR="000115D2" w:rsidRPr="00173B67">
              <w:rPr>
                <w:rFonts w:eastAsia="Times New Roman" w:cs="Arial"/>
                <w:iCs/>
                <w:sz w:val="20"/>
                <w:szCs w:val="20"/>
              </w:rPr>
              <w:t>delivery</w:t>
            </w:r>
            <w:r w:rsidR="00715F21" w:rsidRPr="00173B67">
              <w:rPr>
                <w:rFonts w:eastAsia="Times New Roman" w:cs="Arial"/>
                <w:iCs/>
                <w:sz w:val="20"/>
                <w:szCs w:val="20"/>
              </w:rPr>
              <w:t xml:space="preserve">, the following changes </w:t>
            </w:r>
            <w:r w:rsidR="00E074F2" w:rsidRPr="00173B67">
              <w:rPr>
                <w:rFonts w:eastAsia="Times New Roman" w:cs="Arial"/>
                <w:iCs/>
                <w:sz w:val="20"/>
                <w:szCs w:val="20"/>
              </w:rPr>
              <w:t>were delivered:</w:t>
            </w:r>
          </w:p>
          <w:tbl>
            <w:tblPr>
              <w:tblpPr w:leftFromText="180" w:rightFromText="180" w:vertAnchor="text" w:horzAnchor="margin" w:tblpX="-5" w:tblpY="1251"/>
              <w:tblOverlap w:val="never"/>
              <w:tblW w:w="9214" w:type="dxa"/>
              <w:tblLayout w:type="fixed"/>
              <w:tblLook w:val="04A0" w:firstRow="1" w:lastRow="0" w:firstColumn="1" w:lastColumn="0" w:noHBand="0" w:noVBand="1"/>
            </w:tblPr>
            <w:tblGrid>
              <w:gridCol w:w="846"/>
              <w:gridCol w:w="1134"/>
              <w:gridCol w:w="1134"/>
              <w:gridCol w:w="3260"/>
              <w:gridCol w:w="1767"/>
              <w:gridCol w:w="1073"/>
            </w:tblGrid>
            <w:tr w:rsidR="00F6664A" w:rsidRPr="00C25F07" w14:paraId="7250DCEA" w14:textId="77777777" w:rsidTr="00CC2D29">
              <w:trPr>
                <w:trHeight w:val="285"/>
              </w:trPr>
              <w:tc>
                <w:tcPr>
                  <w:tcW w:w="846" w:type="dxa"/>
                  <w:tcBorders>
                    <w:top w:val="single" w:sz="4" w:space="0" w:color="auto"/>
                    <w:left w:val="single" w:sz="4" w:space="0" w:color="auto"/>
                    <w:bottom w:val="single" w:sz="4" w:space="0" w:color="auto"/>
                    <w:right w:val="single" w:sz="4" w:space="0" w:color="auto"/>
                  </w:tcBorders>
                  <w:shd w:val="clear" w:color="auto" w:fill="4472C4"/>
                  <w:noWrap/>
                  <w:hideMark/>
                </w:tcPr>
                <w:p w14:paraId="7A185820" w14:textId="77777777" w:rsidR="00F6664A" w:rsidRPr="00C25F07" w:rsidRDefault="00F6664A" w:rsidP="00F6664A">
                  <w:pPr>
                    <w:spacing w:after="0" w:line="240" w:lineRule="auto"/>
                    <w:jc w:val="center"/>
                    <w:rPr>
                      <w:rFonts w:eastAsia="Times New Roman" w:cs="Arial"/>
                      <w:b/>
                      <w:color w:val="FFFFFF"/>
                      <w:sz w:val="20"/>
                    </w:rPr>
                  </w:pPr>
                  <w:r w:rsidRPr="00C25F07">
                    <w:rPr>
                      <w:rFonts w:eastAsia="Times New Roman" w:cs="Arial"/>
                      <w:b/>
                      <w:color w:val="FFFFFF"/>
                      <w:sz w:val="20"/>
                    </w:rPr>
                    <w:t>XRN</w:t>
                  </w:r>
                </w:p>
              </w:tc>
              <w:tc>
                <w:tcPr>
                  <w:tcW w:w="1134" w:type="dxa"/>
                  <w:tcBorders>
                    <w:top w:val="single" w:sz="4" w:space="0" w:color="auto"/>
                    <w:left w:val="single" w:sz="4" w:space="0" w:color="auto"/>
                    <w:bottom w:val="single" w:sz="4" w:space="0" w:color="auto"/>
                    <w:right w:val="single" w:sz="4" w:space="0" w:color="auto"/>
                  </w:tcBorders>
                  <w:shd w:val="clear" w:color="auto" w:fill="4472C4"/>
                  <w:noWrap/>
                  <w:hideMark/>
                </w:tcPr>
                <w:p w14:paraId="12F9ACAD" w14:textId="77777777" w:rsidR="00F6664A" w:rsidRPr="00C25F07" w:rsidRDefault="00F6664A" w:rsidP="00F6664A">
                  <w:pPr>
                    <w:spacing w:after="0" w:line="240" w:lineRule="auto"/>
                    <w:jc w:val="center"/>
                    <w:rPr>
                      <w:rFonts w:ascii="Calibri" w:eastAsia="Times New Roman" w:hAnsi="Calibri" w:cs="Calibri"/>
                      <w:b/>
                      <w:bCs/>
                      <w:color w:val="FFFFFF"/>
                    </w:rPr>
                  </w:pPr>
                  <w:r w:rsidRPr="00C25F07">
                    <w:rPr>
                      <w:rFonts w:ascii="Calibri" w:eastAsia="Times New Roman" w:hAnsi="Calibri" w:cs="Calibri"/>
                      <w:b/>
                      <w:bCs/>
                      <w:color w:val="FFFFFF"/>
                    </w:rPr>
                    <w:t>Title</w:t>
                  </w:r>
                </w:p>
              </w:tc>
              <w:tc>
                <w:tcPr>
                  <w:tcW w:w="1134" w:type="dxa"/>
                  <w:tcBorders>
                    <w:top w:val="single" w:sz="4" w:space="0" w:color="auto"/>
                    <w:left w:val="single" w:sz="4" w:space="0" w:color="auto"/>
                    <w:bottom w:val="single" w:sz="4" w:space="0" w:color="auto"/>
                    <w:right w:val="single" w:sz="4" w:space="0" w:color="auto"/>
                  </w:tcBorders>
                  <w:shd w:val="clear" w:color="auto" w:fill="4472C4"/>
                  <w:noWrap/>
                  <w:hideMark/>
                </w:tcPr>
                <w:p w14:paraId="0F6235CD" w14:textId="77777777" w:rsidR="00F6664A" w:rsidRPr="00C25F07" w:rsidRDefault="00F6664A" w:rsidP="00F6664A">
                  <w:pPr>
                    <w:spacing w:after="0" w:line="240" w:lineRule="auto"/>
                    <w:jc w:val="center"/>
                    <w:rPr>
                      <w:rFonts w:ascii="Calibri" w:eastAsia="Times New Roman" w:hAnsi="Calibri" w:cs="Calibri"/>
                      <w:b/>
                      <w:bCs/>
                      <w:color w:val="FFFFFF"/>
                    </w:rPr>
                  </w:pPr>
                  <w:r w:rsidRPr="00C25F07">
                    <w:rPr>
                      <w:rFonts w:ascii="Calibri" w:eastAsia="Times New Roman" w:hAnsi="Calibri" w:cs="Calibri"/>
                      <w:b/>
                      <w:bCs/>
                      <w:color w:val="FFFFFF"/>
                    </w:rPr>
                    <w:t>Type</w:t>
                  </w:r>
                </w:p>
              </w:tc>
              <w:tc>
                <w:tcPr>
                  <w:tcW w:w="3260" w:type="dxa"/>
                  <w:tcBorders>
                    <w:top w:val="single" w:sz="4" w:space="0" w:color="auto"/>
                    <w:left w:val="single" w:sz="4" w:space="0" w:color="auto"/>
                    <w:bottom w:val="single" w:sz="4" w:space="0" w:color="auto"/>
                    <w:right w:val="single" w:sz="4" w:space="0" w:color="auto"/>
                  </w:tcBorders>
                  <w:shd w:val="clear" w:color="auto" w:fill="4472C4"/>
                  <w:noWrap/>
                  <w:hideMark/>
                </w:tcPr>
                <w:p w14:paraId="45B6C1DA" w14:textId="77777777" w:rsidR="00F6664A" w:rsidRPr="00C25F07" w:rsidRDefault="00F6664A" w:rsidP="00F6664A">
                  <w:pPr>
                    <w:spacing w:after="0" w:line="240" w:lineRule="auto"/>
                    <w:jc w:val="center"/>
                    <w:rPr>
                      <w:rFonts w:ascii="Calibri" w:eastAsia="Times New Roman" w:hAnsi="Calibri" w:cs="Calibri"/>
                      <w:b/>
                      <w:bCs/>
                      <w:color w:val="FFFFFF"/>
                    </w:rPr>
                  </w:pPr>
                  <w:r w:rsidRPr="00C25F07">
                    <w:rPr>
                      <w:rFonts w:ascii="Calibri" w:eastAsia="Times New Roman" w:hAnsi="Calibri" w:cs="Calibri"/>
                      <w:b/>
                      <w:bCs/>
                      <w:color w:val="FFFFFF"/>
                    </w:rPr>
                    <w:t>Description</w:t>
                  </w:r>
                </w:p>
              </w:tc>
              <w:tc>
                <w:tcPr>
                  <w:tcW w:w="1767" w:type="dxa"/>
                  <w:tcBorders>
                    <w:top w:val="single" w:sz="4" w:space="0" w:color="auto"/>
                    <w:left w:val="single" w:sz="4" w:space="0" w:color="auto"/>
                    <w:bottom w:val="single" w:sz="4" w:space="0" w:color="auto"/>
                    <w:right w:val="single" w:sz="4" w:space="0" w:color="auto"/>
                  </w:tcBorders>
                  <w:shd w:val="clear" w:color="auto" w:fill="4472C4"/>
                  <w:noWrap/>
                  <w:hideMark/>
                </w:tcPr>
                <w:p w14:paraId="0F37B3DF" w14:textId="77777777" w:rsidR="00F6664A" w:rsidRPr="00C25F07" w:rsidRDefault="00F6664A" w:rsidP="00F6664A">
                  <w:pPr>
                    <w:spacing w:after="0" w:line="240" w:lineRule="auto"/>
                    <w:jc w:val="center"/>
                    <w:rPr>
                      <w:rFonts w:ascii="Calibri" w:eastAsia="Times New Roman" w:hAnsi="Calibri" w:cs="Calibri"/>
                      <w:b/>
                      <w:bCs/>
                      <w:color w:val="FFFFFF"/>
                    </w:rPr>
                  </w:pPr>
                  <w:r w:rsidRPr="00C25F07">
                    <w:rPr>
                      <w:rFonts w:ascii="Calibri" w:eastAsia="Times New Roman" w:hAnsi="Calibri" w:cs="Calibri"/>
                      <w:b/>
                      <w:bCs/>
                      <w:color w:val="FFFFFF"/>
                    </w:rPr>
                    <w:t>Link to Change Proposal</w:t>
                  </w:r>
                </w:p>
              </w:tc>
              <w:tc>
                <w:tcPr>
                  <w:tcW w:w="1073" w:type="dxa"/>
                  <w:tcBorders>
                    <w:top w:val="single" w:sz="4" w:space="0" w:color="auto"/>
                    <w:left w:val="single" w:sz="4" w:space="0" w:color="auto"/>
                    <w:bottom w:val="single" w:sz="4" w:space="0" w:color="auto"/>
                    <w:right w:val="single" w:sz="4" w:space="0" w:color="auto"/>
                  </w:tcBorders>
                  <w:shd w:val="clear" w:color="auto" w:fill="4472C4"/>
                </w:tcPr>
                <w:p w14:paraId="66FC2629" w14:textId="77777777" w:rsidR="00F6664A" w:rsidRPr="00C25F07" w:rsidRDefault="00F6664A" w:rsidP="00F6664A">
                  <w:pPr>
                    <w:spacing w:after="0" w:line="240" w:lineRule="auto"/>
                    <w:jc w:val="center"/>
                    <w:rPr>
                      <w:rFonts w:ascii="Calibri" w:eastAsia="Times New Roman" w:hAnsi="Calibri" w:cs="Calibri"/>
                      <w:b/>
                      <w:bCs/>
                      <w:color w:val="FFFFFF"/>
                    </w:rPr>
                  </w:pPr>
                  <w:r w:rsidRPr="00C25F07">
                    <w:rPr>
                      <w:rFonts w:ascii="Calibri" w:eastAsia="Times New Roman" w:hAnsi="Calibri" w:cs="Calibri"/>
                      <w:b/>
                      <w:bCs/>
                      <w:color w:val="FFFFFF"/>
                    </w:rPr>
                    <w:t>Impacts</w:t>
                  </w:r>
                </w:p>
              </w:tc>
            </w:tr>
            <w:tr w:rsidR="00F6664A" w:rsidRPr="00C25F07" w14:paraId="773AC772" w14:textId="77777777" w:rsidTr="00CC2D29">
              <w:trPr>
                <w:trHeight w:val="1967"/>
              </w:trPr>
              <w:tc>
                <w:tcPr>
                  <w:tcW w:w="846" w:type="dxa"/>
                  <w:tcBorders>
                    <w:top w:val="single" w:sz="4" w:space="0" w:color="auto"/>
                    <w:left w:val="single" w:sz="4" w:space="0" w:color="auto"/>
                    <w:bottom w:val="single" w:sz="4" w:space="0" w:color="auto"/>
                    <w:right w:val="single" w:sz="4" w:space="0" w:color="auto"/>
                  </w:tcBorders>
                  <w:shd w:val="clear" w:color="auto" w:fill="D9E1F2"/>
                  <w:hideMark/>
                </w:tcPr>
                <w:p w14:paraId="2337FE09" w14:textId="77777777" w:rsidR="00F6664A" w:rsidRPr="00C25F07" w:rsidRDefault="00F6664A" w:rsidP="00F6664A">
                  <w:pPr>
                    <w:spacing w:after="0" w:line="240" w:lineRule="auto"/>
                    <w:jc w:val="center"/>
                    <w:rPr>
                      <w:rFonts w:ascii="Calibri" w:eastAsia="Times New Roman" w:hAnsi="Calibri" w:cs="Calibri"/>
                      <w:color w:val="000000"/>
                    </w:rPr>
                  </w:pPr>
                  <w:r w:rsidRPr="007D1766">
                    <w:rPr>
                      <w:rFonts w:asciiTheme="minorHAnsi" w:eastAsia="Times New Roman" w:hAnsiTheme="minorHAnsi" w:cstheme="minorHAnsi"/>
                      <w:color w:val="000000"/>
                      <w:sz w:val="18"/>
                      <w:szCs w:val="18"/>
                    </w:rPr>
                    <w:t>4</w:t>
                  </w:r>
                  <w:r>
                    <w:rPr>
                      <w:rFonts w:asciiTheme="minorHAnsi" w:eastAsia="Times New Roman" w:hAnsiTheme="minorHAnsi" w:cstheme="minorHAnsi"/>
                      <w:color w:val="000000"/>
                      <w:sz w:val="18"/>
                      <w:szCs w:val="18"/>
                    </w:rPr>
                    <w:t>801</w:t>
                  </w:r>
                </w:p>
              </w:tc>
              <w:tc>
                <w:tcPr>
                  <w:tcW w:w="1134" w:type="dxa"/>
                  <w:tcBorders>
                    <w:top w:val="single" w:sz="4" w:space="0" w:color="auto"/>
                    <w:left w:val="single" w:sz="4" w:space="0" w:color="auto"/>
                    <w:bottom w:val="single" w:sz="4" w:space="0" w:color="auto"/>
                    <w:right w:val="single" w:sz="4" w:space="0" w:color="auto"/>
                  </w:tcBorders>
                  <w:shd w:val="clear" w:color="auto" w:fill="D9E1F2"/>
                  <w:hideMark/>
                </w:tcPr>
                <w:p w14:paraId="36197104" w14:textId="77777777" w:rsidR="00F6664A" w:rsidRPr="00C25F07" w:rsidRDefault="00F6664A" w:rsidP="00F6664A">
                  <w:pPr>
                    <w:spacing w:after="0" w:line="240" w:lineRule="auto"/>
                    <w:rPr>
                      <w:rFonts w:ascii="Calibri" w:eastAsia="Times New Roman" w:hAnsi="Calibri" w:cs="Calibri"/>
                      <w:color w:val="000000"/>
                    </w:rPr>
                  </w:pPr>
                  <w:r>
                    <w:rPr>
                      <w:rFonts w:asciiTheme="minorHAnsi" w:eastAsia="Times New Roman" w:hAnsiTheme="minorHAnsi" w:cstheme="minorHAnsi"/>
                      <w:color w:val="000000"/>
                      <w:sz w:val="18"/>
                      <w:szCs w:val="18"/>
                    </w:rPr>
                    <w:t>Additional Information in DES</w:t>
                  </w:r>
                </w:p>
              </w:tc>
              <w:tc>
                <w:tcPr>
                  <w:tcW w:w="1134" w:type="dxa"/>
                  <w:tcBorders>
                    <w:top w:val="single" w:sz="4" w:space="0" w:color="auto"/>
                    <w:left w:val="single" w:sz="4" w:space="0" w:color="auto"/>
                    <w:bottom w:val="single" w:sz="4" w:space="0" w:color="auto"/>
                    <w:right w:val="single" w:sz="4" w:space="0" w:color="auto"/>
                  </w:tcBorders>
                  <w:shd w:val="clear" w:color="auto" w:fill="D9E1F2"/>
                  <w:hideMark/>
                </w:tcPr>
                <w:p w14:paraId="091186D1" w14:textId="77777777" w:rsidR="00F6664A" w:rsidRPr="00C25F07" w:rsidRDefault="00F6664A" w:rsidP="00F6664A">
                  <w:pPr>
                    <w:spacing w:after="0" w:line="240" w:lineRule="auto"/>
                    <w:rPr>
                      <w:rFonts w:ascii="Calibri" w:eastAsia="Times New Roman" w:hAnsi="Calibri" w:cs="Calibri"/>
                      <w:color w:val="000000"/>
                    </w:rPr>
                  </w:pPr>
                  <w:r>
                    <w:rPr>
                      <w:rFonts w:asciiTheme="minorHAnsi" w:eastAsia="Times New Roman" w:hAnsiTheme="minorHAnsi" w:cstheme="minorHAnsi"/>
                      <w:sz w:val="18"/>
                      <w:szCs w:val="18"/>
                    </w:rPr>
                    <w:t>Non-regulatory</w:t>
                  </w:r>
                </w:p>
              </w:tc>
              <w:tc>
                <w:tcPr>
                  <w:tcW w:w="3260" w:type="dxa"/>
                  <w:tcBorders>
                    <w:top w:val="single" w:sz="4" w:space="0" w:color="auto"/>
                    <w:left w:val="single" w:sz="4" w:space="0" w:color="auto"/>
                    <w:bottom w:val="single" w:sz="4" w:space="0" w:color="auto"/>
                    <w:right w:val="single" w:sz="4" w:space="0" w:color="auto"/>
                  </w:tcBorders>
                  <w:shd w:val="clear" w:color="auto" w:fill="D9E1F2"/>
                  <w:hideMark/>
                </w:tcPr>
                <w:p w14:paraId="006DA3AC" w14:textId="77777777" w:rsidR="00F6664A" w:rsidRPr="00035C55" w:rsidRDefault="00F6664A" w:rsidP="00F6664A">
                  <w:pPr>
                    <w:spacing w:after="60"/>
                    <w:rPr>
                      <w:rFonts w:eastAsia="Times New Roman" w:cstheme="minorHAnsi"/>
                      <w:sz w:val="18"/>
                      <w:szCs w:val="18"/>
                    </w:rPr>
                  </w:pPr>
                  <w:r w:rsidRPr="00035C55">
                    <w:rPr>
                      <w:rFonts w:eastAsia="Times New Roman" w:cstheme="minorHAnsi"/>
                      <w:sz w:val="18"/>
                      <w:szCs w:val="18"/>
                    </w:rPr>
                    <w:t xml:space="preserve">XRN4801 added additional data items to Data Enquiry Service (DES) to aid in operational processes and assist Shippers to resolve internal operational queries.  </w:t>
                  </w:r>
                </w:p>
                <w:p w14:paraId="092CA340" w14:textId="77777777" w:rsidR="00F6664A" w:rsidRPr="00C25F07" w:rsidRDefault="00F6664A" w:rsidP="00F6664A">
                  <w:pPr>
                    <w:spacing w:after="0" w:line="240" w:lineRule="auto"/>
                    <w:rPr>
                      <w:rFonts w:ascii="Calibri" w:eastAsia="Times New Roman" w:hAnsi="Calibri" w:cs="Calibri"/>
                      <w:color w:val="000000"/>
                    </w:rPr>
                  </w:pPr>
                </w:p>
              </w:tc>
              <w:tc>
                <w:tcPr>
                  <w:tcW w:w="1767" w:type="dxa"/>
                  <w:tcBorders>
                    <w:top w:val="single" w:sz="4" w:space="0" w:color="auto"/>
                    <w:left w:val="single" w:sz="4" w:space="0" w:color="auto"/>
                    <w:bottom w:val="single" w:sz="4" w:space="0" w:color="auto"/>
                    <w:right w:val="single" w:sz="4" w:space="0" w:color="auto"/>
                  </w:tcBorders>
                  <w:shd w:val="clear" w:color="auto" w:fill="D9E1F2"/>
                  <w:hideMark/>
                </w:tcPr>
                <w:p w14:paraId="107F96B6" w14:textId="77777777" w:rsidR="00F6664A" w:rsidRPr="004352B1" w:rsidRDefault="004C2F4B" w:rsidP="00F6664A">
                  <w:pPr>
                    <w:spacing w:after="0" w:line="240" w:lineRule="auto"/>
                    <w:jc w:val="center"/>
                    <w:rPr>
                      <w:rFonts w:ascii="Calibri" w:eastAsia="Times New Roman" w:hAnsi="Calibri" w:cs="Calibri"/>
                      <w:color w:val="000000"/>
                      <w:sz w:val="18"/>
                      <w:szCs w:val="18"/>
                    </w:rPr>
                  </w:pPr>
                  <w:hyperlink r:id="rId11" w:history="1">
                    <w:r w:rsidR="00F6664A">
                      <w:rPr>
                        <w:rStyle w:val="Hyperlink"/>
                        <w:sz w:val="18"/>
                        <w:szCs w:val="18"/>
                      </w:rPr>
                      <w:t>XRN 4801 Change Proposal</w:t>
                    </w:r>
                  </w:hyperlink>
                </w:p>
              </w:tc>
              <w:tc>
                <w:tcPr>
                  <w:tcW w:w="1073" w:type="dxa"/>
                  <w:tcBorders>
                    <w:top w:val="single" w:sz="4" w:space="0" w:color="auto"/>
                    <w:left w:val="single" w:sz="4" w:space="0" w:color="auto"/>
                    <w:bottom w:val="single" w:sz="4" w:space="0" w:color="auto"/>
                    <w:right w:val="single" w:sz="4" w:space="0" w:color="auto"/>
                  </w:tcBorders>
                  <w:shd w:val="clear" w:color="auto" w:fill="D9E1F2"/>
                </w:tcPr>
                <w:p w14:paraId="09C57589" w14:textId="77777777" w:rsidR="00F6664A" w:rsidRPr="001E1B83" w:rsidRDefault="00F6664A" w:rsidP="00F6664A">
                  <w:pPr>
                    <w:spacing w:after="0" w:line="240" w:lineRule="auto"/>
                    <w:jc w:val="center"/>
                    <w:rPr>
                      <w:rFonts w:asciiTheme="majorHAnsi" w:eastAsia="Times New Roman" w:hAnsiTheme="majorHAnsi" w:cstheme="majorHAnsi"/>
                      <w:color w:val="000000"/>
                      <w:sz w:val="18"/>
                      <w:szCs w:val="18"/>
                    </w:rPr>
                  </w:pPr>
                  <w:r w:rsidRPr="001E1B83">
                    <w:rPr>
                      <w:rFonts w:asciiTheme="majorHAnsi" w:eastAsia="Times New Roman" w:hAnsiTheme="majorHAnsi" w:cstheme="majorHAnsi"/>
                      <w:color w:val="000000"/>
                      <w:sz w:val="18"/>
                      <w:szCs w:val="18"/>
                    </w:rPr>
                    <w:t>Shipper</w:t>
                  </w:r>
                </w:p>
              </w:tc>
            </w:tr>
            <w:tr w:rsidR="00F6664A" w:rsidRPr="00C25F07" w14:paraId="4FEEF8B2" w14:textId="77777777" w:rsidTr="00CC2D29">
              <w:trPr>
                <w:trHeight w:val="1967"/>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25024B3A" w14:textId="77777777" w:rsidR="00F6664A" w:rsidRPr="00C25F07" w:rsidRDefault="00F6664A" w:rsidP="00F6664A">
                  <w:pPr>
                    <w:spacing w:after="0" w:line="240" w:lineRule="auto"/>
                    <w:jc w:val="center"/>
                    <w:rPr>
                      <w:rFonts w:ascii="Calibri" w:eastAsia="Times New Roman" w:hAnsi="Calibri" w:cs="Calibri"/>
                      <w:color w:val="000000"/>
                    </w:rPr>
                  </w:pPr>
                  <w:r>
                    <w:rPr>
                      <w:rFonts w:asciiTheme="minorHAnsi" w:eastAsia="Times New Roman" w:hAnsiTheme="minorHAnsi" w:cstheme="minorHAnsi"/>
                      <w:color w:val="000000"/>
                      <w:sz w:val="18"/>
                      <w:szCs w:val="18"/>
                    </w:rPr>
                    <w:t>4841b</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640CB407" w14:textId="77777777" w:rsidR="00F6664A" w:rsidRPr="00C25F07" w:rsidRDefault="00F6664A" w:rsidP="00F6664A">
                  <w:pPr>
                    <w:spacing w:after="0" w:line="240" w:lineRule="auto"/>
                    <w:rPr>
                      <w:rFonts w:ascii="Calibri" w:eastAsia="Times New Roman" w:hAnsi="Calibri" w:cs="Calibri"/>
                      <w:color w:val="000000"/>
                    </w:rPr>
                  </w:pPr>
                  <w:r>
                    <w:rPr>
                      <w:rFonts w:asciiTheme="minorHAnsi" w:eastAsia="Times New Roman" w:hAnsiTheme="minorHAnsi" w:cstheme="minorHAnsi"/>
                      <w:color w:val="000000"/>
                      <w:sz w:val="18"/>
                      <w:szCs w:val="18"/>
                    </w:rPr>
                    <w:t>Ratchet Regime Changes</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56636714" w14:textId="77777777" w:rsidR="00F6664A" w:rsidRPr="00C25F07" w:rsidRDefault="00F6664A" w:rsidP="00F6664A">
                  <w:pPr>
                    <w:spacing w:after="0" w:line="240" w:lineRule="auto"/>
                    <w:rPr>
                      <w:rFonts w:ascii="Calibri" w:eastAsia="Times New Roman" w:hAnsi="Calibri" w:cs="Calibri"/>
                      <w:color w:val="000000"/>
                    </w:rPr>
                  </w:pPr>
                  <w:r>
                    <w:rPr>
                      <w:rFonts w:asciiTheme="minorHAnsi" w:eastAsia="Times New Roman" w:hAnsiTheme="minorHAnsi" w:cstheme="minorHAnsi"/>
                      <w:color w:val="000000"/>
                      <w:sz w:val="18"/>
                      <w:szCs w:val="18"/>
                    </w:rPr>
                    <w:t>Regulatory</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3E7651BE" w14:textId="77777777" w:rsidR="00F6664A" w:rsidRDefault="00F6664A" w:rsidP="00F6664A">
                  <w:pPr>
                    <w:rPr>
                      <w:sz w:val="18"/>
                      <w:szCs w:val="18"/>
                    </w:rPr>
                  </w:pPr>
                  <w:r w:rsidRPr="004F0EC6">
                    <w:rPr>
                      <w:sz w:val="18"/>
                      <w:szCs w:val="18"/>
                    </w:rPr>
                    <w:t>XRN4871b is linked to UNC modification 0665, that was implemented 01 July 2019. The purpose of UNC modification 0665 was to:</w:t>
                  </w:r>
                </w:p>
                <w:p w14:paraId="5C2AB9F1" w14:textId="77777777" w:rsidR="00F6664A" w:rsidRPr="004F0EC6" w:rsidRDefault="00F6664A" w:rsidP="00F6664A">
                  <w:pPr>
                    <w:pStyle w:val="ListParagraph"/>
                    <w:numPr>
                      <w:ilvl w:val="0"/>
                      <w:numId w:val="14"/>
                    </w:numPr>
                    <w:rPr>
                      <w:sz w:val="18"/>
                      <w:szCs w:val="18"/>
                    </w:rPr>
                  </w:pPr>
                  <w:r w:rsidRPr="004F0EC6">
                    <w:rPr>
                      <w:sz w:val="18"/>
                      <w:szCs w:val="18"/>
                    </w:rPr>
                    <w:t>Was to amend the</w:t>
                  </w:r>
                  <w:r w:rsidRPr="00544F5A">
                    <w:t xml:space="preserve"> </w:t>
                  </w:r>
                  <w:r w:rsidRPr="004F0EC6">
                    <w:rPr>
                      <w:sz w:val="18"/>
                      <w:szCs w:val="18"/>
                    </w:rPr>
                    <w:t>current Class 2 Ratchet Charging Arrangement</w:t>
                  </w:r>
                </w:p>
                <w:p w14:paraId="6E2C3D2C" w14:textId="77777777" w:rsidR="00F6664A" w:rsidRDefault="00F6664A" w:rsidP="00F6664A">
                  <w:pPr>
                    <w:pStyle w:val="ListParagraph"/>
                    <w:numPr>
                      <w:ilvl w:val="0"/>
                      <w:numId w:val="14"/>
                    </w:numPr>
                    <w:rPr>
                      <w:sz w:val="18"/>
                      <w:szCs w:val="18"/>
                    </w:rPr>
                  </w:pPr>
                  <w:r w:rsidRPr="004F0EC6">
                    <w:rPr>
                      <w:sz w:val="18"/>
                      <w:szCs w:val="18"/>
                    </w:rPr>
                    <w:t xml:space="preserve">Allowed Distribution Network Operators (DNO) to identify Supply Meter Points that should, in addition to mandatory Class 1 Supply Points, be subject to the </w:t>
                  </w:r>
                  <w:r w:rsidRPr="004F0EC6">
                    <w:rPr>
                      <w:sz w:val="18"/>
                      <w:szCs w:val="18"/>
                    </w:rPr>
                    <w:lastRenderedPageBreak/>
                    <w:t>existing Class 1 Ratchet Charging Arrangement</w:t>
                  </w:r>
                </w:p>
                <w:p w14:paraId="3233AD08" w14:textId="77777777" w:rsidR="00F6664A" w:rsidRPr="00AB75DF" w:rsidRDefault="00F6664A" w:rsidP="00F6664A">
                  <w:pPr>
                    <w:rPr>
                      <w:b/>
                      <w:bCs/>
                      <w:sz w:val="18"/>
                      <w:szCs w:val="18"/>
                    </w:rPr>
                  </w:pPr>
                  <w:r w:rsidRPr="00AB75DF">
                    <w:rPr>
                      <w:b/>
                      <w:bCs/>
                      <w:sz w:val="18"/>
                      <w:szCs w:val="18"/>
                    </w:rPr>
                    <w:t>XRN4871 Part B</w:t>
                  </w:r>
                </w:p>
                <w:p w14:paraId="0381E30D" w14:textId="77777777" w:rsidR="00F6664A" w:rsidRPr="00AB75DF" w:rsidRDefault="00F6664A" w:rsidP="00F6664A">
                  <w:pPr>
                    <w:rPr>
                      <w:b/>
                      <w:bCs/>
                      <w:sz w:val="18"/>
                      <w:szCs w:val="18"/>
                    </w:rPr>
                  </w:pPr>
                  <w:r w:rsidRPr="00AB75DF">
                    <w:rPr>
                      <w:sz w:val="18"/>
                      <w:szCs w:val="18"/>
                    </w:rPr>
                    <w:t>Part B of XRN4871 delivered the enduring solution and includes the following elements:</w:t>
                  </w:r>
                </w:p>
                <w:p w14:paraId="28F026B7" w14:textId="77777777" w:rsidR="00F6664A" w:rsidRPr="00AB75DF" w:rsidRDefault="00F6664A" w:rsidP="00F6664A">
                  <w:pPr>
                    <w:pStyle w:val="ListParagraph"/>
                    <w:numPr>
                      <w:ilvl w:val="0"/>
                      <w:numId w:val="5"/>
                    </w:numPr>
                    <w:rPr>
                      <w:sz w:val="18"/>
                      <w:szCs w:val="18"/>
                    </w:rPr>
                  </w:pPr>
                  <w:r w:rsidRPr="00AB75DF">
                    <w:rPr>
                      <w:sz w:val="18"/>
                      <w:szCs w:val="18"/>
                    </w:rPr>
                    <w:t>Automated calculation and issue of Class 2 Ratchet invoices</w:t>
                  </w:r>
                </w:p>
                <w:p w14:paraId="200A0EC7" w14:textId="77777777" w:rsidR="00F6664A" w:rsidRPr="00AB75DF" w:rsidRDefault="00F6664A" w:rsidP="00F6664A">
                  <w:pPr>
                    <w:pStyle w:val="ListParagraph"/>
                    <w:numPr>
                      <w:ilvl w:val="0"/>
                      <w:numId w:val="5"/>
                    </w:numPr>
                    <w:rPr>
                      <w:sz w:val="18"/>
                      <w:szCs w:val="18"/>
                    </w:rPr>
                  </w:pPr>
                  <w:r w:rsidRPr="00AB75DF">
                    <w:rPr>
                      <w:sz w:val="18"/>
                      <w:szCs w:val="18"/>
                    </w:rPr>
                    <w:t>Automated forced Class change</w:t>
                  </w:r>
                </w:p>
                <w:p w14:paraId="3CE5A908" w14:textId="77777777" w:rsidR="00F6664A" w:rsidRPr="00AB75DF" w:rsidRDefault="00F6664A" w:rsidP="00F6664A">
                  <w:pPr>
                    <w:pStyle w:val="ListParagraph"/>
                    <w:numPr>
                      <w:ilvl w:val="0"/>
                      <w:numId w:val="5"/>
                    </w:numPr>
                    <w:rPr>
                      <w:sz w:val="18"/>
                      <w:szCs w:val="18"/>
                    </w:rPr>
                  </w:pPr>
                  <w:r w:rsidRPr="00AB75DF">
                    <w:rPr>
                      <w:sz w:val="18"/>
                      <w:szCs w:val="18"/>
                    </w:rPr>
                    <w:t>Visibility of network designated sites within Data Enquiry Service (DES) and file formats</w:t>
                  </w:r>
                </w:p>
                <w:p w14:paraId="51926F59" w14:textId="77777777" w:rsidR="00F6664A" w:rsidRPr="00AB75DF" w:rsidRDefault="00F6664A" w:rsidP="00F6664A">
                  <w:pPr>
                    <w:rPr>
                      <w:sz w:val="18"/>
                      <w:szCs w:val="18"/>
                    </w:rPr>
                  </w:pPr>
                </w:p>
                <w:p w14:paraId="79C68232" w14:textId="77777777" w:rsidR="00F6664A" w:rsidRPr="00C25F07" w:rsidRDefault="00F6664A" w:rsidP="00F6664A">
                  <w:pPr>
                    <w:spacing w:after="0" w:line="240" w:lineRule="auto"/>
                    <w:rPr>
                      <w:rFonts w:ascii="Calibri" w:eastAsia="Times New Roman" w:hAnsi="Calibri" w:cs="Calibri"/>
                      <w:color w:val="000000"/>
                    </w:rPr>
                  </w:pPr>
                </w:p>
              </w:tc>
              <w:tc>
                <w:tcPr>
                  <w:tcW w:w="1767" w:type="dxa"/>
                  <w:tcBorders>
                    <w:top w:val="single" w:sz="4" w:space="0" w:color="auto"/>
                    <w:left w:val="single" w:sz="4" w:space="0" w:color="auto"/>
                    <w:bottom w:val="single" w:sz="4" w:space="0" w:color="auto"/>
                    <w:right w:val="single" w:sz="4" w:space="0" w:color="auto"/>
                  </w:tcBorders>
                  <w:shd w:val="clear" w:color="auto" w:fill="auto"/>
                  <w:hideMark/>
                </w:tcPr>
                <w:p w14:paraId="4F7DA256" w14:textId="77777777" w:rsidR="00F6664A" w:rsidRPr="00E85170" w:rsidRDefault="004C2F4B" w:rsidP="00F6664A">
                  <w:pPr>
                    <w:spacing w:after="0" w:line="240" w:lineRule="auto"/>
                    <w:jc w:val="center"/>
                    <w:rPr>
                      <w:rFonts w:ascii="Calibri" w:eastAsia="Times New Roman" w:hAnsi="Calibri" w:cs="Calibri"/>
                      <w:color w:val="000000"/>
                      <w:sz w:val="18"/>
                      <w:szCs w:val="18"/>
                    </w:rPr>
                  </w:pPr>
                  <w:hyperlink r:id="rId12" w:history="1">
                    <w:r w:rsidR="00F6664A">
                      <w:rPr>
                        <w:rStyle w:val="Hyperlink"/>
                        <w:sz w:val="18"/>
                        <w:szCs w:val="18"/>
                      </w:rPr>
                      <w:t>XRN 4871b Change Proposal</w:t>
                    </w:r>
                  </w:hyperlink>
                </w:p>
              </w:tc>
              <w:tc>
                <w:tcPr>
                  <w:tcW w:w="1073" w:type="dxa"/>
                  <w:tcBorders>
                    <w:top w:val="single" w:sz="4" w:space="0" w:color="auto"/>
                    <w:left w:val="single" w:sz="4" w:space="0" w:color="auto"/>
                    <w:bottom w:val="single" w:sz="4" w:space="0" w:color="auto"/>
                    <w:right w:val="single" w:sz="4" w:space="0" w:color="auto"/>
                  </w:tcBorders>
                </w:tcPr>
                <w:p w14:paraId="21C9A5EB" w14:textId="77777777" w:rsidR="00F6664A" w:rsidRPr="00C44C51" w:rsidRDefault="00F6664A" w:rsidP="00F6664A">
                  <w:pPr>
                    <w:spacing w:after="0" w:line="240" w:lineRule="auto"/>
                    <w:jc w:val="center"/>
                    <w:rPr>
                      <w:rFonts w:asciiTheme="minorHAnsi" w:eastAsia="Times New Roman" w:hAnsiTheme="minorHAnsi" w:cstheme="minorHAnsi"/>
                      <w:color w:val="000000"/>
                      <w:sz w:val="18"/>
                      <w:szCs w:val="18"/>
                    </w:rPr>
                  </w:pPr>
                  <w:r w:rsidRPr="00C44C51">
                    <w:rPr>
                      <w:rFonts w:asciiTheme="minorHAnsi" w:eastAsia="Times New Roman" w:hAnsiTheme="minorHAnsi" w:cstheme="minorHAnsi"/>
                      <w:color w:val="000000"/>
                      <w:sz w:val="18"/>
                      <w:szCs w:val="18"/>
                    </w:rPr>
                    <w:t>Shipper</w:t>
                  </w:r>
                  <w:r>
                    <w:rPr>
                      <w:rFonts w:asciiTheme="minorHAnsi" w:eastAsia="Times New Roman" w:hAnsiTheme="minorHAnsi" w:cstheme="minorHAnsi"/>
                      <w:color w:val="000000"/>
                      <w:sz w:val="18"/>
                      <w:szCs w:val="18"/>
                    </w:rPr>
                    <w:t xml:space="preserve"> &amp; DNO</w:t>
                  </w:r>
                </w:p>
              </w:tc>
            </w:tr>
            <w:tr w:rsidR="00F6664A" w:rsidRPr="00C25F07" w14:paraId="2E733C9A" w14:textId="77777777" w:rsidTr="00CC2D29">
              <w:trPr>
                <w:trHeight w:val="1967"/>
              </w:trPr>
              <w:tc>
                <w:tcPr>
                  <w:tcW w:w="846" w:type="dxa"/>
                  <w:tcBorders>
                    <w:top w:val="single" w:sz="4" w:space="0" w:color="auto"/>
                    <w:left w:val="single" w:sz="4" w:space="0" w:color="auto"/>
                    <w:bottom w:val="single" w:sz="4" w:space="0" w:color="auto"/>
                    <w:right w:val="single" w:sz="4" w:space="0" w:color="auto"/>
                  </w:tcBorders>
                  <w:shd w:val="clear" w:color="auto" w:fill="D9E1F2"/>
                  <w:noWrap/>
                  <w:hideMark/>
                </w:tcPr>
                <w:p w14:paraId="1DC793B7" w14:textId="77777777" w:rsidR="00F6664A" w:rsidRPr="00C25F07" w:rsidRDefault="00F6664A" w:rsidP="00F6664A">
                  <w:pPr>
                    <w:spacing w:after="0" w:line="240" w:lineRule="auto"/>
                    <w:jc w:val="center"/>
                    <w:rPr>
                      <w:rFonts w:ascii="Calibri" w:eastAsia="Times New Roman" w:hAnsi="Calibri" w:cs="Calibri"/>
                      <w:color w:val="000000"/>
                    </w:rPr>
                  </w:pPr>
                  <w:r>
                    <w:rPr>
                      <w:rFonts w:asciiTheme="minorHAnsi" w:eastAsia="Times New Roman" w:hAnsiTheme="minorHAnsi" w:cstheme="minorHAnsi"/>
                      <w:color w:val="000000"/>
                      <w:sz w:val="18"/>
                      <w:szCs w:val="18"/>
                    </w:rPr>
                    <w:t>4897</w:t>
                  </w:r>
                </w:p>
              </w:tc>
              <w:tc>
                <w:tcPr>
                  <w:tcW w:w="1134" w:type="dxa"/>
                  <w:tcBorders>
                    <w:top w:val="single" w:sz="4" w:space="0" w:color="auto"/>
                    <w:left w:val="single" w:sz="4" w:space="0" w:color="auto"/>
                    <w:bottom w:val="single" w:sz="4" w:space="0" w:color="auto"/>
                    <w:right w:val="single" w:sz="4" w:space="0" w:color="auto"/>
                  </w:tcBorders>
                  <w:shd w:val="clear" w:color="auto" w:fill="D9E1F2"/>
                  <w:noWrap/>
                  <w:hideMark/>
                </w:tcPr>
                <w:p w14:paraId="0C7A9F29" w14:textId="77777777" w:rsidR="00F6664A" w:rsidRPr="00C25F07" w:rsidRDefault="00F6664A" w:rsidP="00F6664A">
                  <w:pPr>
                    <w:spacing w:after="0" w:line="240" w:lineRule="auto"/>
                    <w:rPr>
                      <w:rFonts w:ascii="Calibri" w:eastAsia="Times New Roman" w:hAnsi="Calibri" w:cs="Calibri"/>
                      <w:color w:val="000000"/>
                    </w:rPr>
                  </w:pPr>
                  <w:r w:rsidRPr="00CB1DDC">
                    <w:rPr>
                      <w:sz w:val="18"/>
                      <w:szCs w:val="18"/>
                    </w:rPr>
                    <w:t>Resolution of deleted Contact Details (contained within the S66 records) at a Change of Shipper event</w:t>
                  </w:r>
                </w:p>
              </w:tc>
              <w:tc>
                <w:tcPr>
                  <w:tcW w:w="1134" w:type="dxa"/>
                  <w:tcBorders>
                    <w:top w:val="single" w:sz="4" w:space="0" w:color="auto"/>
                    <w:left w:val="single" w:sz="4" w:space="0" w:color="auto"/>
                    <w:bottom w:val="single" w:sz="4" w:space="0" w:color="auto"/>
                    <w:right w:val="single" w:sz="4" w:space="0" w:color="auto"/>
                  </w:tcBorders>
                  <w:shd w:val="clear" w:color="auto" w:fill="D9E1F2"/>
                  <w:noWrap/>
                  <w:hideMark/>
                </w:tcPr>
                <w:p w14:paraId="5738ACE7" w14:textId="77777777" w:rsidR="00F6664A" w:rsidRPr="00C25F07" w:rsidRDefault="00F6664A" w:rsidP="00F6664A">
                  <w:pPr>
                    <w:spacing w:after="0" w:line="240" w:lineRule="auto"/>
                    <w:rPr>
                      <w:rFonts w:ascii="Calibri" w:eastAsia="Times New Roman" w:hAnsi="Calibri" w:cs="Calibri"/>
                      <w:color w:val="000000"/>
                    </w:rPr>
                  </w:pPr>
                  <w:r w:rsidRPr="007D1766">
                    <w:rPr>
                      <w:rFonts w:asciiTheme="minorHAnsi" w:eastAsia="Times New Roman" w:hAnsiTheme="minorHAnsi" w:cstheme="minorHAnsi"/>
                      <w:color w:val="000000"/>
                      <w:sz w:val="18"/>
                      <w:szCs w:val="18"/>
                    </w:rPr>
                    <w:t>Non- regulatory</w:t>
                  </w:r>
                </w:p>
              </w:tc>
              <w:tc>
                <w:tcPr>
                  <w:tcW w:w="3260" w:type="dxa"/>
                  <w:tcBorders>
                    <w:top w:val="single" w:sz="4" w:space="0" w:color="auto"/>
                    <w:left w:val="single" w:sz="4" w:space="0" w:color="auto"/>
                    <w:bottom w:val="single" w:sz="4" w:space="0" w:color="auto"/>
                    <w:right w:val="single" w:sz="4" w:space="0" w:color="auto"/>
                  </w:tcBorders>
                  <w:shd w:val="clear" w:color="auto" w:fill="D9E1F2"/>
                  <w:hideMark/>
                </w:tcPr>
                <w:p w14:paraId="344DFEEC" w14:textId="77777777" w:rsidR="00F6664A" w:rsidRPr="00864DBD" w:rsidRDefault="00F6664A" w:rsidP="00F6664A">
                  <w:pPr>
                    <w:spacing w:after="60"/>
                    <w:rPr>
                      <w:rFonts w:eastAsia="Times New Roman" w:cstheme="minorHAnsi"/>
                      <w:sz w:val="18"/>
                      <w:szCs w:val="18"/>
                    </w:rPr>
                  </w:pPr>
                  <w:r w:rsidRPr="00864DBD">
                    <w:rPr>
                      <w:rFonts w:eastAsia="Times New Roman" w:cstheme="minorHAnsi"/>
                      <w:sz w:val="18"/>
                      <w:szCs w:val="18"/>
                    </w:rPr>
                    <w:t>XRN4897 was initiated to ensure Xoserve complies with its GDPR regulations by ensuring that Consumer Contact Details are end dated and all associated data is deleted when there is a Change of Shipper, and that SAP ISU instructs SAP BW to delete all contact details. If the two systems don’t align, then there is a risk that Contact detail retention rules could be beached.</w:t>
                  </w:r>
                </w:p>
              </w:tc>
              <w:tc>
                <w:tcPr>
                  <w:tcW w:w="1767" w:type="dxa"/>
                  <w:tcBorders>
                    <w:top w:val="single" w:sz="4" w:space="0" w:color="auto"/>
                    <w:left w:val="single" w:sz="4" w:space="0" w:color="auto"/>
                    <w:bottom w:val="single" w:sz="4" w:space="0" w:color="auto"/>
                    <w:right w:val="single" w:sz="4" w:space="0" w:color="auto"/>
                  </w:tcBorders>
                  <w:shd w:val="clear" w:color="auto" w:fill="D9E1F2"/>
                  <w:hideMark/>
                </w:tcPr>
                <w:p w14:paraId="2F3977E1" w14:textId="77777777" w:rsidR="00F6664A" w:rsidRPr="00C25F07" w:rsidRDefault="004C2F4B" w:rsidP="00F6664A">
                  <w:pPr>
                    <w:spacing w:after="0" w:line="240" w:lineRule="auto"/>
                    <w:jc w:val="center"/>
                    <w:rPr>
                      <w:rFonts w:ascii="Calibri" w:eastAsia="Times New Roman" w:hAnsi="Calibri" w:cs="Calibri"/>
                      <w:color w:val="000000"/>
                    </w:rPr>
                  </w:pPr>
                  <w:hyperlink r:id="rId13" w:history="1">
                    <w:r w:rsidR="00F6664A">
                      <w:rPr>
                        <w:rStyle w:val="Hyperlink"/>
                        <w:rFonts w:asciiTheme="minorHAnsi" w:eastAsia="Times New Roman" w:hAnsiTheme="minorHAnsi" w:cstheme="minorHAnsi"/>
                        <w:sz w:val="18"/>
                        <w:szCs w:val="18"/>
                      </w:rPr>
                      <w:t>XRN4897 Change Proposal</w:t>
                    </w:r>
                  </w:hyperlink>
                </w:p>
              </w:tc>
              <w:tc>
                <w:tcPr>
                  <w:tcW w:w="1073" w:type="dxa"/>
                  <w:tcBorders>
                    <w:top w:val="single" w:sz="4" w:space="0" w:color="auto"/>
                    <w:left w:val="single" w:sz="4" w:space="0" w:color="auto"/>
                    <w:bottom w:val="single" w:sz="4" w:space="0" w:color="auto"/>
                    <w:right w:val="single" w:sz="4" w:space="0" w:color="auto"/>
                  </w:tcBorders>
                  <w:shd w:val="clear" w:color="auto" w:fill="D9E1F2"/>
                </w:tcPr>
                <w:p w14:paraId="4AB8CBE7" w14:textId="77777777" w:rsidR="00F6664A" w:rsidRPr="009B7069" w:rsidRDefault="00F6664A" w:rsidP="00F6664A">
                  <w:pPr>
                    <w:spacing w:after="0" w:line="240" w:lineRule="auto"/>
                    <w:jc w:val="center"/>
                    <w:rPr>
                      <w:rFonts w:eastAsia="Times New Roman" w:cs="Arial"/>
                      <w:color w:val="000000"/>
                      <w:sz w:val="20"/>
                      <w:szCs w:val="20"/>
                    </w:rPr>
                  </w:pPr>
                  <w:r w:rsidRPr="009B7069">
                    <w:rPr>
                      <w:rFonts w:eastAsia="Times New Roman" w:cs="Arial"/>
                      <w:color w:val="000000"/>
                      <w:sz w:val="20"/>
                      <w:szCs w:val="20"/>
                    </w:rPr>
                    <w:t>Shipper</w:t>
                  </w:r>
                </w:p>
              </w:tc>
            </w:tr>
            <w:tr w:rsidR="00F6664A" w:rsidRPr="00C25F07" w14:paraId="51C04FDE" w14:textId="77777777" w:rsidTr="00CC2D29">
              <w:trPr>
                <w:cantSplit/>
                <w:trHeight w:val="2827"/>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5E8B810" w14:textId="77777777" w:rsidR="00F6664A" w:rsidRPr="007D1766" w:rsidRDefault="00F6664A" w:rsidP="00F6664A">
                  <w:pPr>
                    <w:spacing w:after="0" w:line="240" w:lineRule="auto"/>
                    <w:jc w:val="cente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4899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BEA08AB" w14:textId="77777777" w:rsidR="00F6664A" w:rsidRPr="003F4928" w:rsidRDefault="00F6664A" w:rsidP="00F6664A">
                  <w:pPr>
                    <w:spacing w:after="0" w:line="240" w:lineRule="auto"/>
                    <w:rPr>
                      <w:rFonts w:asciiTheme="minorHAnsi" w:eastAsia="Times New Roman" w:hAnsiTheme="minorHAnsi" w:cstheme="minorHAnsi"/>
                      <w:color w:val="000000"/>
                      <w:sz w:val="18"/>
                      <w:szCs w:val="18"/>
                    </w:rPr>
                  </w:pPr>
                  <w:r w:rsidRPr="003F4928">
                    <w:rPr>
                      <w:sz w:val="18"/>
                      <w:szCs w:val="18"/>
                    </w:rPr>
                    <w:t>Treatment of Priority Service Register Data and Contact Details on a Change of Supplier Event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C5B4D34" w14:textId="77777777" w:rsidR="00F6664A" w:rsidRPr="007D1766" w:rsidRDefault="00F6664A" w:rsidP="00F6664A">
                  <w:pPr>
                    <w:spacing w:after="0" w:line="240" w:lineRule="auto"/>
                    <w:rPr>
                      <w:rFonts w:asciiTheme="minorHAnsi" w:eastAsia="Times New Roman" w:hAnsiTheme="minorHAnsi" w:cstheme="minorHAnsi"/>
                      <w:color w:val="000000"/>
                      <w:sz w:val="18"/>
                      <w:szCs w:val="18"/>
                    </w:rPr>
                  </w:pPr>
                  <w:r w:rsidRPr="007D1766">
                    <w:rPr>
                      <w:rFonts w:asciiTheme="minorHAnsi" w:eastAsia="Times New Roman" w:hAnsiTheme="minorHAnsi" w:cstheme="minorHAnsi"/>
                      <w:color w:val="000000"/>
                      <w:sz w:val="18"/>
                      <w:szCs w:val="18"/>
                    </w:rPr>
                    <w:t>Non- regulatory</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55ADAFDC" w14:textId="77777777" w:rsidR="00F6664A" w:rsidRPr="003F4928" w:rsidRDefault="00F6664A" w:rsidP="00F6664A">
                  <w:pPr>
                    <w:rPr>
                      <w:rFonts w:eastAsia="Times New Roman" w:cstheme="minorHAnsi"/>
                      <w:sz w:val="18"/>
                      <w:szCs w:val="18"/>
                    </w:rPr>
                  </w:pPr>
                  <w:r w:rsidRPr="003F4928">
                    <w:rPr>
                      <w:rFonts w:eastAsia="Times New Roman" w:cstheme="minorHAnsi"/>
                      <w:sz w:val="18"/>
                      <w:szCs w:val="18"/>
                    </w:rPr>
                    <w:t>The deletion of Customer Contact and Priority Service Register data does not occur when there is a Change of Supplier only (i.e. where this is not happening at the same time as a Change of Shipper event). This Change ensures that this data (Consumer Contact Details and Priority Service Data) is also deleted at a Change of Supplier event whether via confirmation or Supplier sought amendment.</w:t>
                  </w:r>
                </w:p>
                <w:p w14:paraId="03408163" w14:textId="77777777" w:rsidR="00F6664A" w:rsidRPr="003F51E3" w:rsidRDefault="00F6664A" w:rsidP="00F6664A">
                  <w:pPr>
                    <w:spacing w:after="0" w:line="240" w:lineRule="auto"/>
                    <w:rPr>
                      <w:rFonts w:asciiTheme="minorHAnsi" w:eastAsia="Times New Roman" w:hAnsiTheme="minorHAnsi" w:cstheme="minorHAnsi"/>
                      <w:sz w:val="18"/>
                      <w:szCs w:val="18"/>
                    </w:rPr>
                  </w:pPr>
                </w:p>
              </w:tc>
              <w:tc>
                <w:tcPr>
                  <w:tcW w:w="1767" w:type="dxa"/>
                  <w:tcBorders>
                    <w:top w:val="single" w:sz="4" w:space="0" w:color="auto"/>
                    <w:left w:val="single" w:sz="4" w:space="0" w:color="auto"/>
                    <w:bottom w:val="single" w:sz="4" w:space="0" w:color="auto"/>
                    <w:right w:val="single" w:sz="4" w:space="0" w:color="auto"/>
                  </w:tcBorders>
                  <w:shd w:val="clear" w:color="auto" w:fill="FFFFFF" w:themeFill="background1"/>
                </w:tcPr>
                <w:p w14:paraId="5CB06D1C" w14:textId="77777777" w:rsidR="00F6664A" w:rsidRPr="007D1766" w:rsidRDefault="004C2F4B" w:rsidP="00F6664A">
                  <w:pPr>
                    <w:spacing w:after="0" w:line="240" w:lineRule="auto"/>
                    <w:jc w:val="center"/>
                    <w:rPr>
                      <w:rFonts w:asciiTheme="minorHAnsi" w:eastAsia="Times New Roman" w:hAnsiTheme="minorHAnsi" w:cstheme="minorHAnsi"/>
                      <w:color w:val="000000"/>
                      <w:sz w:val="18"/>
                      <w:szCs w:val="18"/>
                    </w:rPr>
                  </w:pPr>
                  <w:hyperlink r:id="rId14" w:history="1">
                    <w:r w:rsidR="00F6664A">
                      <w:rPr>
                        <w:rStyle w:val="Hyperlink"/>
                        <w:rFonts w:asciiTheme="minorHAnsi" w:eastAsia="Times New Roman" w:hAnsiTheme="minorHAnsi" w:cstheme="minorHAnsi"/>
                        <w:sz w:val="18"/>
                        <w:szCs w:val="18"/>
                      </w:rPr>
                      <w:t>XRN4899 Change Proposal</w:t>
                    </w:r>
                  </w:hyperlink>
                </w:p>
              </w:tc>
              <w:tc>
                <w:tcPr>
                  <w:tcW w:w="1073" w:type="dxa"/>
                  <w:tcBorders>
                    <w:top w:val="single" w:sz="4" w:space="0" w:color="auto"/>
                    <w:left w:val="single" w:sz="4" w:space="0" w:color="auto"/>
                    <w:bottom w:val="single" w:sz="4" w:space="0" w:color="auto"/>
                    <w:right w:val="single" w:sz="4" w:space="0" w:color="auto"/>
                  </w:tcBorders>
                </w:tcPr>
                <w:p w14:paraId="7756A336" w14:textId="77777777" w:rsidR="00F6664A" w:rsidRPr="007D1766" w:rsidRDefault="00F6664A" w:rsidP="00F6664A">
                  <w:pPr>
                    <w:spacing w:after="0" w:line="240" w:lineRule="auto"/>
                    <w:jc w:val="cente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Shipper</w:t>
                  </w:r>
                </w:p>
              </w:tc>
            </w:tr>
            <w:tr w:rsidR="00F6664A" w:rsidRPr="00C25F07" w14:paraId="611FD893" w14:textId="77777777" w:rsidTr="00CC2D29">
              <w:trPr>
                <w:trHeight w:val="1967"/>
              </w:trPr>
              <w:tc>
                <w:tcPr>
                  <w:tcW w:w="846" w:type="dxa"/>
                  <w:tcBorders>
                    <w:top w:val="single" w:sz="4" w:space="0" w:color="auto"/>
                    <w:left w:val="single" w:sz="4" w:space="0" w:color="auto"/>
                    <w:bottom w:val="single" w:sz="4" w:space="0" w:color="auto"/>
                    <w:right w:val="single" w:sz="4" w:space="0" w:color="auto"/>
                  </w:tcBorders>
                  <w:shd w:val="clear" w:color="auto" w:fill="D9E1F2"/>
                  <w:hideMark/>
                </w:tcPr>
                <w:p w14:paraId="59C4DE39" w14:textId="77777777" w:rsidR="00F6664A" w:rsidRPr="00C25F07" w:rsidRDefault="00F6664A" w:rsidP="00F6664A">
                  <w:pPr>
                    <w:spacing w:after="0" w:line="240" w:lineRule="auto"/>
                    <w:jc w:val="center"/>
                    <w:rPr>
                      <w:rFonts w:ascii="Calibri" w:eastAsia="Times New Roman" w:hAnsi="Calibri" w:cs="Calibri"/>
                      <w:color w:val="000000"/>
                    </w:rPr>
                  </w:pPr>
                  <w:r>
                    <w:rPr>
                      <w:rFonts w:asciiTheme="minorHAnsi" w:eastAsia="Times New Roman" w:hAnsiTheme="minorHAnsi" w:cstheme="minorHAnsi"/>
                      <w:color w:val="000000"/>
                      <w:sz w:val="18"/>
                      <w:szCs w:val="18"/>
                    </w:rPr>
                    <w:t>5014</w:t>
                  </w:r>
                </w:p>
              </w:tc>
              <w:tc>
                <w:tcPr>
                  <w:tcW w:w="1134" w:type="dxa"/>
                  <w:tcBorders>
                    <w:top w:val="single" w:sz="4" w:space="0" w:color="auto"/>
                    <w:left w:val="single" w:sz="4" w:space="0" w:color="auto"/>
                    <w:bottom w:val="single" w:sz="4" w:space="0" w:color="auto"/>
                    <w:right w:val="single" w:sz="4" w:space="0" w:color="auto"/>
                  </w:tcBorders>
                  <w:shd w:val="clear" w:color="auto" w:fill="D9E1F2"/>
                  <w:hideMark/>
                </w:tcPr>
                <w:p w14:paraId="708E2418" w14:textId="77777777" w:rsidR="00F6664A" w:rsidRPr="00E26D3E" w:rsidRDefault="00F6664A" w:rsidP="00F6664A">
                  <w:pPr>
                    <w:spacing w:after="0" w:line="240" w:lineRule="auto"/>
                    <w:rPr>
                      <w:rFonts w:ascii="Calibri" w:eastAsia="Times New Roman" w:hAnsi="Calibri" w:cs="Calibri"/>
                      <w:color w:val="000000"/>
                      <w:sz w:val="18"/>
                      <w:szCs w:val="18"/>
                    </w:rPr>
                  </w:pPr>
                  <w:r w:rsidRPr="00E26D3E">
                    <w:rPr>
                      <w:sz w:val="18"/>
                      <w:szCs w:val="18"/>
                    </w:rPr>
                    <w:t>Facilitating HyDeploy2 Live Pilot</w:t>
                  </w:r>
                </w:p>
              </w:tc>
              <w:tc>
                <w:tcPr>
                  <w:tcW w:w="1134" w:type="dxa"/>
                  <w:tcBorders>
                    <w:top w:val="single" w:sz="4" w:space="0" w:color="auto"/>
                    <w:left w:val="single" w:sz="4" w:space="0" w:color="auto"/>
                    <w:bottom w:val="single" w:sz="4" w:space="0" w:color="auto"/>
                    <w:right w:val="single" w:sz="4" w:space="0" w:color="auto"/>
                  </w:tcBorders>
                  <w:shd w:val="clear" w:color="auto" w:fill="D9E1F2"/>
                  <w:hideMark/>
                </w:tcPr>
                <w:p w14:paraId="180BA26F" w14:textId="77777777" w:rsidR="00F6664A" w:rsidRPr="00C25F07" w:rsidRDefault="00F6664A" w:rsidP="00F6664A">
                  <w:pPr>
                    <w:spacing w:after="0" w:line="240" w:lineRule="auto"/>
                    <w:rPr>
                      <w:rFonts w:ascii="Calibri" w:eastAsia="Times New Roman" w:hAnsi="Calibri" w:cs="Calibri"/>
                      <w:color w:val="000000"/>
                    </w:rPr>
                  </w:pPr>
                  <w:r w:rsidRPr="007D1766">
                    <w:rPr>
                      <w:rFonts w:asciiTheme="minorHAnsi" w:eastAsia="Times New Roman" w:hAnsiTheme="minorHAnsi" w:cstheme="minorHAnsi"/>
                      <w:color w:val="000000"/>
                      <w:sz w:val="18"/>
                      <w:szCs w:val="18"/>
                    </w:rPr>
                    <w:t>Non- regulatory</w:t>
                  </w:r>
                </w:p>
              </w:tc>
              <w:tc>
                <w:tcPr>
                  <w:tcW w:w="3260" w:type="dxa"/>
                  <w:tcBorders>
                    <w:top w:val="single" w:sz="4" w:space="0" w:color="auto"/>
                    <w:left w:val="single" w:sz="4" w:space="0" w:color="auto"/>
                    <w:bottom w:val="single" w:sz="4" w:space="0" w:color="auto"/>
                    <w:right w:val="single" w:sz="4" w:space="0" w:color="auto"/>
                  </w:tcBorders>
                  <w:shd w:val="clear" w:color="auto" w:fill="D9E1F2"/>
                  <w:hideMark/>
                </w:tcPr>
                <w:p w14:paraId="11633D97" w14:textId="77777777" w:rsidR="00F6664A" w:rsidRPr="00151374" w:rsidRDefault="00F6664A" w:rsidP="00F6664A">
                  <w:pPr>
                    <w:rPr>
                      <w:rFonts w:cs="Arial"/>
                      <w:bCs/>
                      <w:sz w:val="18"/>
                      <w:szCs w:val="18"/>
                    </w:rPr>
                  </w:pPr>
                  <w:r w:rsidRPr="00151374">
                    <w:rPr>
                      <w:rFonts w:cs="Arial"/>
                      <w:bCs/>
                      <w:sz w:val="18"/>
                      <w:szCs w:val="18"/>
                    </w:rPr>
                    <w:t xml:space="preserve">Northern Gas Networks (NGN) and Cadent are working in partnership on the </w:t>
                  </w:r>
                  <w:proofErr w:type="spellStart"/>
                  <w:r w:rsidRPr="00151374">
                    <w:rPr>
                      <w:rFonts w:cs="Arial"/>
                      <w:bCs/>
                      <w:sz w:val="18"/>
                      <w:szCs w:val="18"/>
                    </w:rPr>
                    <w:t>HyDeploy</w:t>
                  </w:r>
                  <w:proofErr w:type="spellEnd"/>
                  <w:r w:rsidRPr="00151374">
                    <w:rPr>
                      <w:rFonts w:cs="Arial"/>
                      <w:bCs/>
                      <w:sz w:val="18"/>
                      <w:szCs w:val="18"/>
                    </w:rPr>
                    <w:t xml:space="preserve"> Project. The project aims to blend up to 20% vol (6% by energy) hydrogen into isolated trial areas on each of their networks. This Innovation Project is entering Phase 2 which will involve two trials on small sections in the NGN network and then </w:t>
                  </w:r>
                  <w:proofErr w:type="spellStart"/>
                  <w:r w:rsidRPr="00151374">
                    <w:rPr>
                      <w:rFonts w:cs="Arial"/>
                      <w:bCs/>
                      <w:sz w:val="18"/>
                      <w:szCs w:val="18"/>
                    </w:rPr>
                    <w:t>Cadent’s</w:t>
                  </w:r>
                  <w:proofErr w:type="spellEnd"/>
                  <w:r w:rsidRPr="00151374">
                    <w:rPr>
                      <w:rFonts w:cs="Arial"/>
                      <w:bCs/>
                      <w:sz w:val="18"/>
                      <w:szCs w:val="18"/>
                    </w:rPr>
                    <w:t xml:space="preserve"> network. </w:t>
                  </w:r>
                </w:p>
                <w:p w14:paraId="273E855A" w14:textId="77777777" w:rsidR="00F6664A" w:rsidRPr="00151374" w:rsidRDefault="00F6664A" w:rsidP="00F6664A">
                  <w:pPr>
                    <w:rPr>
                      <w:rFonts w:cs="Arial"/>
                      <w:bCs/>
                      <w:sz w:val="18"/>
                      <w:szCs w:val="18"/>
                    </w:rPr>
                  </w:pPr>
                  <w:r w:rsidRPr="00151374">
                    <w:rPr>
                      <w:rFonts w:cs="Arial"/>
                      <w:bCs/>
                      <w:sz w:val="18"/>
                      <w:szCs w:val="18"/>
                    </w:rPr>
                    <w:t>XRN5014 introduced an indicator to enable Gas Shippers and Suppliers to have visibility of the Supply Meter Points included within the trial to ensure the impacted properties Annual Quantities (AQs) can be managed and no additional energy is purchased by the shippers at the affected meter points.</w:t>
                  </w:r>
                </w:p>
                <w:p w14:paraId="248E89B7" w14:textId="77777777" w:rsidR="00F6664A" w:rsidRPr="00802485" w:rsidRDefault="00F6664A" w:rsidP="00F6664A">
                  <w:pPr>
                    <w:spacing w:after="0" w:line="240" w:lineRule="auto"/>
                    <w:rPr>
                      <w:rFonts w:ascii="Calibri" w:eastAsia="Times New Roman" w:hAnsi="Calibri" w:cs="Calibri"/>
                    </w:rPr>
                  </w:pPr>
                </w:p>
              </w:tc>
              <w:tc>
                <w:tcPr>
                  <w:tcW w:w="1767" w:type="dxa"/>
                  <w:tcBorders>
                    <w:top w:val="single" w:sz="4" w:space="0" w:color="auto"/>
                    <w:left w:val="single" w:sz="4" w:space="0" w:color="auto"/>
                    <w:bottom w:val="single" w:sz="4" w:space="0" w:color="auto"/>
                    <w:right w:val="single" w:sz="4" w:space="0" w:color="auto"/>
                  </w:tcBorders>
                  <w:shd w:val="clear" w:color="auto" w:fill="D9E1F2"/>
                  <w:hideMark/>
                </w:tcPr>
                <w:p w14:paraId="0B45F7EB" w14:textId="77777777" w:rsidR="00F6664A" w:rsidRPr="00C25F07" w:rsidRDefault="004C2F4B" w:rsidP="00F6664A">
                  <w:pPr>
                    <w:spacing w:after="0" w:line="240" w:lineRule="auto"/>
                    <w:jc w:val="center"/>
                    <w:rPr>
                      <w:rFonts w:ascii="Calibri" w:eastAsia="Times New Roman" w:hAnsi="Calibri" w:cs="Calibri"/>
                      <w:color w:val="000000"/>
                    </w:rPr>
                  </w:pPr>
                  <w:hyperlink r:id="rId15" w:history="1">
                    <w:r w:rsidR="00F6664A">
                      <w:rPr>
                        <w:rStyle w:val="Hyperlink"/>
                        <w:rFonts w:asciiTheme="minorHAnsi" w:eastAsia="Times New Roman" w:hAnsiTheme="minorHAnsi" w:cstheme="minorHAnsi"/>
                        <w:sz w:val="18"/>
                        <w:szCs w:val="18"/>
                      </w:rPr>
                      <w:t>XRN5014 Change Proposal</w:t>
                    </w:r>
                  </w:hyperlink>
                </w:p>
              </w:tc>
              <w:tc>
                <w:tcPr>
                  <w:tcW w:w="1073" w:type="dxa"/>
                  <w:tcBorders>
                    <w:top w:val="single" w:sz="4" w:space="0" w:color="auto"/>
                    <w:left w:val="single" w:sz="4" w:space="0" w:color="auto"/>
                    <w:bottom w:val="single" w:sz="4" w:space="0" w:color="auto"/>
                    <w:right w:val="single" w:sz="4" w:space="0" w:color="auto"/>
                  </w:tcBorders>
                  <w:shd w:val="clear" w:color="auto" w:fill="D9E1F2"/>
                </w:tcPr>
                <w:p w14:paraId="16449BF6" w14:textId="4F64FC0E" w:rsidR="00F6664A" w:rsidRPr="00246FC0" w:rsidRDefault="00246FC0" w:rsidP="00F6664A">
                  <w:pPr>
                    <w:spacing w:after="0" w:line="240" w:lineRule="auto"/>
                    <w:jc w:val="center"/>
                    <w:rPr>
                      <w:rStyle w:val="Hyperlink"/>
                      <w:rFonts w:eastAsia="Times New Roman" w:cs="Arial"/>
                      <w:sz w:val="18"/>
                      <w:szCs w:val="18"/>
                    </w:rPr>
                  </w:pPr>
                  <w:r w:rsidRPr="00246FC0">
                    <w:rPr>
                      <w:color w:val="000000"/>
                      <w:sz w:val="18"/>
                      <w:szCs w:val="18"/>
                    </w:rPr>
                    <w:t>DNO</w:t>
                  </w:r>
                </w:p>
              </w:tc>
            </w:tr>
          </w:tbl>
          <w:p w14:paraId="46430941" w14:textId="1E111624" w:rsidR="00195A39" w:rsidRDefault="00195A39" w:rsidP="00195A39">
            <w:pPr>
              <w:contextualSpacing/>
              <w:rPr>
                <w:rFonts w:eastAsia="Times New Roman" w:cs="Arial"/>
                <w:iCs/>
                <w:color w:val="0070C0"/>
                <w:sz w:val="20"/>
                <w:szCs w:val="20"/>
              </w:rPr>
            </w:pPr>
          </w:p>
          <w:p w14:paraId="721AA320" w14:textId="02F0F246" w:rsidR="00173B67" w:rsidRDefault="00173B67" w:rsidP="00195A39">
            <w:pPr>
              <w:contextualSpacing/>
              <w:rPr>
                <w:rFonts w:eastAsia="Times New Roman" w:cs="Arial"/>
                <w:iCs/>
                <w:color w:val="0070C0"/>
                <w:sz w:val="20"/>
                <w:szCs w:val="20"/>
              </w:rPr>
            </w:pPr>
          </w:p>
          <w:p w14:paraId="708B0D6A" w14:textId="218E9F3C" w:rsidR="00173B67" w:rsidRDefault="00173B67" w:rsidP="00195A39">
            <w:pPr>
              <w:contextualSpacing/>
              <w:rPr>
                <w:rFonts w:eastAsia="Times New Roman" w:cs="Arial"/>
                <w:iCs/>
                <w:color w:val="0070C0"/>
                <w:sz w:val="20"/>
                <w:szCs w:val="20"/>
              </w:rPr>
            </w:pPr>
          </w:p>
          <w:p w14:paraId="777F97C9" w14:textId="74EEF5CC" w:rsidR="00173B67" w:rsidRDefault="00173B67" w:rsidP="00195A39">
            <w:pPr>
              <w:contextualSpacing/>
              <w:rPr>
                <w:rFonts w:eastAsia="Times New Roman" w:cs="Arial"/>
                <w:iCs/>
                <w:color w:val="0070C0"/>
                <w:sz w:val="20"/>
                <w:szCs w:val="20"/>
              </w:rPr>
            </w:pPr>
          </w:p>
          <w:p w14:paraId="646B8C30" w14:textId="74CAE4AC" w:rsidR="00EA73B3" w:rsidRPr="00DB49A4" w:rsidRDefault="00EA73B3" w:rsidP="0A57A144">
            <w:pPr>
              <w:contextualSpacing/>
              <w:rPr>
                <w:rFonts w:eastAsia="Times New Roman" w:cs="Arial"/>
                <w:iCs/>
                <w:color w:val="0070C0"/>
                <w:sz w:val="20"/>
                <w:szCs w:val="20"/>
              </w:rPr>
            </w:pPr>
          </w:p>
        </w:tc>
      </w:tr>
      <w:tr w:rsidR="00EA73B3" w:rsidRPr="00EA73B3" w14:paraId="0C90DDA4" w14:textId="77777777" w:rsidTr="0A57A144">
        <w:tc>
          <w:tcPr>
            <w:tcW w:w="5000" w:type="pct"/>
            <w:gridSpan w:val="2"/>
            <w:tcBorders>
              <w:bottom w:val="single" w:sz="4" w:space="0" w:color="auto"/>
            </w:tcBorders>
            <w:shd w:val="clear" w:color="auto" w:fill="3E5AA8" w:themeFill="accent1"/>
            <w:vAlign w:val="center"/>
          </w:tcPr>
          <w:p w14:paraId="22D62687" w14:textId="77777777" w:rsidR="00EA73B3" w:rsidRPr="00EA73B3" w:rsidRDefault="00EA73B3" w:rsidP="00EA73B3">
            <w:pPr>
              <w:jc w:val="center"/>
              <w:rPr>
                <w:rFonts w:eastAsia="Times New Roman" w:cs="Arial"/>
                <w:b/>
                <w:color w:val="FFFFFF"/>
                <w:sz w:val="20"/>
                <w:szCs w:val="20"/>
              </w:rPr>
            </w:pPr>
            <w:r w:rsidRPr="00EA73B3">
              <w:rPr>
                <w:rFonts w:eastAsia="Arial" w:cs="Arial"/>
                <w:b/>
                <w:color w:val="FFFFFF"/>
                <w:sz w:val="20"/>
                <w:lang w:eastAsia="en-US"/>
              </w:rPr>
              <w:lastRenderedPageBreak/>
              <w:t>Section 2: Confirmed Funding Arrangements</w:t>
            </w:r>
          </w:p>
        </w:tc>
      </w:tr>
      <w:tr w:rsidR="00EA73B3" w:rsidRPr="00EA73B3" w14:paraId="45233572" w14:textId="77777777" w:rsidTr="0A57A144">
        <w:tc>
          <w:tcPr>
            <w:tcW w:w="5000" w:type="pct"/>
            <w:gridSpan w:val="2"/>
            <w:tcBorders>
              <w:bottom w:val="single" w:sz="4" w:space="0" w:color="auto"/>
            </w:tcBorders>
            <w:shd w:val="clear" w:color="auto" w:fill="FFFFFF" w:themeFill="background1"/>
          </w:tcPr>
          <w:tbl>
            <w:tblPr>
              <w:tblStyle w:val="TableGrid1"/>
              <w:tblW w:w="9489" w:type="dxa"/>
              <w:tblLayout w:type="fixed"/>
              <w:tblLook w:val="04A0" w:firstRow="1" w:lastRow="0" w:firstColumn="1" w:lastColumn="0" w:noHBand="0" w:noVBand="1"/>
            </w:tblPr>
            <w:tblGrid>
              <w:gridCol w:w="2547"/>
              <w:gridCol w:w="1417"/>
              <w:gridCol w:w="1729"/>
              <w:gridCol w:w="1532"/>
              <w:gridCol w:w="2264"/>
            </w:tblGrid>
            <w:tr w:rsidR="00EA73B3" w:rsidRPr="00EA73B3" w14:paraId="6E11255F" w14:textId="77777777" w:rsidTr="0021499D">
              <w:tc>
                <w:tcPr>
                  <w:tcW w:w="2547" w:type="dxa"/>
                </w:tcPr>
                <w:p w14:paraId="2C9392D4"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Gas Industry Participant</w:t>
                  </w:r>
                </w:p>
              </w:tc>
              <w:tc>
                <w:tcPr>
                  <w:tcW w:w="1417" w:type="dxa"/>
                </w:tcPr>
                <w:p w14:paraId="347495F9"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BER Share of  Cost</w:t>
                  </w:r>
                </w:p>
              </w:tc>
              <w:tc>
                <w:tcPr>
                  <w:tcW w:w="1729" w:type="dxa"/>
                </w:tcPr>
                <w:p w14:paraId="77AA4BD1"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Actual Share of Cost</w:t>
                  </w:r>
                </w:p>
              </w:tc>
              <w:tc>
                <w:tcPr>
                  <w:tcW w:w="1532" w:type="dxa"/>
                </w:tcPr>
                <w:p w14:paraId="5B2B9360"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BER Cost Value</w:t>
                  </w:r>
                </w:p>
              </w:tc>
              <w:tc>
                <w:tcPr>
                  <w:tcW w:w="2264" w:type="dxa"/>
                </w:tcPr>
                <w:p w14:paraId="31C1ACDB"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Actual Cost Value</w:t>
                  </w:r>
                </w:p>
              </w:tc>
            </w:tr>
            <w:tr w:rsidR="00F02E7B" w:rsidRPr="00EA73B3" w14:paraId="6514B5A6" w14:textId="77777777" w:rsidTr="0021499D">
              <w:tc>
                <w:tcPr>
                  <w:tcW w:w="2547" w:type="dxa"/>
                </w:tcPr>
                <w:p w14:paraId="1467F278" w14:textId="71B50099" w:rsidR="00F02E7B" w:rsidRPr="0A57A144" w:rsidRDefault="00F02E7B" w:rsidP="0A57A144">
                  <w:pPr>
                    <w:rPr>
                      <w:rFonts w:eastAsia="Times New Roman" w:cs="Arial"/>
                      <w:b/>
                      <w:bCs/>
                      <w:sz w:val="20"/>
                      <w:szCs w:val="20"/>
                    </w:rPr>
                  </w:pPr>
                  <w:r>
                    <w:rPr>
                      <w:rFonts w:eastAsia="Times New Roman" w:cs="Arial"/>
                      <w:b/>
                      <w:bCs/>
                      <w:sz w:val="20"/>
                      <w:szCs w:val="20"/>
                    </w:rPr>
                    <w:t>Shippers</w:t>
                  </w:r>
                </w:p>
              </w:tc>
              <w:tc>
                <w:tcPr>
                  <w:tcW w:w="1417" w:type="dxa"/>
                  <w:vAlign w:val="center"/>
                </w:tcPr>
                <w:p w14:paraId="72CD995E" w14:textId="3E4E6C2F" w:rsidR="00F02E7B" w:rsidRDefault="00D523AE" w:rsidP="00D523AE">
                  <w:pPr>
                    <w:jc w:val="center"/>
                    <w:rPr>
                      <w:rFonts w:eastAsia="Times New Roman" w:cs="Arial"/>
                      <w:sz w:val="20"/>
                      <w:szCs w:val="20"/>
                    </w:rPr>
                  </w:pPr>
                  <w:r>
                    <w:rPr>
                      <w:rFonts w:eastAsia="Times New Roman" w:cs="Arial"/>
                      <w:sz w:val="20"/>
                      <w:szCs w:val="20"/>
                    </w:rPr>
                    <w:t>75.32%</w:t>
                  </w:r>
                </w:p>
              </w:tc>
              <w:tc>
                <w:tcPr>
                  <w:tcW w:w="1729" w:type="dxa"/>
                  <w:vAlign w:val="center"/>
                </w:tcPr>
                <w:p w14:paraId="548198B1" w14:textId="7939159E" w:rsidR="00F02E7B" w:rsidRDefault="00D523AE" w:rsidP="0A57A144">
                  <w:pPr>
                    <w:jc w:val="center"/>
                    <w:rPr>
                      <w:rFonts w:eastAsia="Times New Roman" w:cs="Arial"/>
                      <w:sz w:val="20"/>
                      <w:szCs w:val="20"/>
                    </w:rPr>
                  </w:pPr>
                  <w:r>
                    <w:rPr>
                      <w:rFonts w:eastAsia="Times New Roman" w:cs="Arial"/>
                      <w:sz w:val="20"/>
                      <w:szCs w:val="20"/>
                    </w:rPr>
                    <w:t>76.25%</w:t>
                  </w:r>
                </w:p>
              </w:tc>
              <w:tc>
                <w:tcPr>
                  <w:tcW w:w="1532" w:type="dxa"/>
                  <w:vAlign w:val="center"/>
                </w:tcPr>
                <w:p w14:paraId="0ACBADB9" w14:textId="033BDF3F" w:rsidR="00F02E7B" w:rsidRDefault="00912A1A" w:rsidP="0A57A144">
                  <w:pPr>
                    <w:jc w:val="center"/>
                    <w:rPr>
                      <w:rFonts w:eastAsia="Times New Roman" w:cs="Arial"/>
                      <w:sz w:val="20"/>
                      <w:szCs w:val="20"/>
                    </w:rPr>
                  </w:pPr>
                  <w:r>
                    <w:rPr>
                      <w:rFonts w:eastAsia="Times New Roman" w:cs="Arial"/>
                      <w:sz w:val="20"/>
                      <w:szCs w:val="20"/>
                    </w:rPr>
                    <w:t>£485,791.67</w:t>
                  </w:r>
                </w:p>
              </w:tc>
              <w:tc>
                <w:tcPr>
                  <w:tcW w:w="2264" w:type="dxa"/>
                  <w:vAlign w:val="center"/>
                </w:tcPr>
                <w:p w14:paraId="42D44981" w14:textId="5CED6ACE" w:rsidR="00F02E7B" w:rsidRDefault="00912A1A" w:rsidP="00912A1A">
                  <w:pPr>
                    <w:jc w:val="center"/>
                    <w:rPr>
                      <w:rFonts w:eastAsia="Times New Roman" w:cs="Arial"/>
                      <w:sz w:val="20"/>
                      <w:szCs w:val="20"/>
                    </w:rPr>
                  </w:pPr>
                  <w:r>
                    <w:rPr>
                      <w:rFonts w:eastAsia="Times New Roman" w:cs="Arial"/>
                      <w:sz w:val="20"/>
                      <w:szCs w:val="20"/>
                    </w:rPr>
                    <w:t>£481,180.28</w:t>
                  </w:r>
                </w:p>
              </w:tc>
            </w:tr>
            <w:tr w:rsidR="00EA73B3" w:rsidRPr="00EA73B3" w14:paraId="199F5DC6" w14:textId="77777777" w:rsidTr="0021499D">
              <w:tc>
                <w:tcPr>
                  <w:tcW w:w="2547" w:type="dxa"/>
                </w:tcPr>
                <w:p w14:paraId="133FE8C2" w14:textId="77777777" w:rsidR="00EA73B3" w:rsidRPr="00EA73B3" w:rsidRDefault="00EA73B3" w:rsidP="00EA73B3">
                  <w:pPr>
                    <w:rPr>
                      <w:rFonts w:eastAsia="Times New Roman" w:cs="Arial"/>
                      <w:b/>
                      <w:sz w:val="20"/>
                      <w:szCs w:val="20"/>
                    </w:rPr>
                  </w:pPr>
                  <w:r w:rsidRPr="00EA73B3">
                    <w:rPr>
                      <w:rFonts w:eastAsia="Times New Roman" w:cs="Arial"/>
                      <w:b/>
                      <w:sz w:val="20"/>
                      <w:szCs w:val="20"/>
                    </w:rPr>
                    <w:t>IGTs</w:t>
                  </w:r>
                </w:p>
              </w:tc>
              <w:tc>
                <w:tcPr>
                  <w:tcW w:w="1417" w:type="dxa"/>
                  <w:vAlign w:val="center"/>
                </w:tcPr>
                <w:p w14:paraId="15D11F30" w14:textId="098AE6BC" w:rsidR="00EA73B3" w:rsidRPr="00EA73B3" w:rsidRDefault="008A17A7" w:rsidP="00EA73B3">
                  <w:pPr>
                    <w:jc w:val="center"/>
                    <w:rPr>
                      <w:rFonts w:eastAsia="Times New Roman" w:cs="Arial"/>
                      <w:sz w:val="20"/>
                      <w:szCs w:val="20"/>
                    </w:rPr>
                  </w:pPr>
                  <w:r>
                    <w:rPr>
                      <w:rFonts w:eastAsia="Times New Roman" w:cs="Arial"/>
                      <w:sz w:val="20"/>
                      <w:szCs w:val="20"/>
                    </w:rPr>
                    <w:t>-</w:t>
                  </w:r>
                </w:p>
              </w:tc>
              <w:tc>
                <w:tcPr>
                  <w:tcW w:w="1729" w:type="dxa"/>
                  <w:vAlign w:val="center"/>
                </w:tcPr>
                <w:p w14:paraId="12A63D92" w14:textId="30C27737" w:rsidR="00EA73B3" w:rsidRPr="00EA73B3" w:rsidRDefault="008A17A7" w:rsidP="00EA73B3">
                  <w:pPr>
                    <w:jc w:val="center"/>
                    <w:rPr>
                      <w:rFonts w:eastAsia="Times New Roman" w:cs="Arial"/>
                      <w:sz w:val="20"/>
                      <w:szCs w:val="20"/>
                    </w:rPr>
                  </w:pPr>
                  <w:r>
                    <w:rPr>
                      <w:rFonts w:eastAsia="Times New Roman" w:cs="Arial"/>
                      <w:sz w:val="20"/>
                      <w:szCs w:val="20"/>
                    </w:rPr>
                    <w:t>-</w:t>
                  </w:r>
                </w:p>
              </w:tc>
              <w:tc>
                <w:tcPr>
                  <w:tcW w:w="1532" w:type="dxa"/>
                  <w:vAlign w:val="center"/>
                </w:tcPr>
                <w:p w14:paraId="0E94C84F" w14:textId="2F64464F" w:rsidR="00EA73B3" w:rsidRPr="00EA73B3" w:rsidRDefault="008A17A7" w:rsidP="00EA73B3">
                  <w:pPr>
                    <w:jc w:val="center"/>
                    <w:rPr>
                      <w:rFonts w:eastAsia="Times New Roman" w:cs="Arial"/>
                      <w:sz w:val="20"/>
                      <w:szCs w:val="20"/>
                    </w:rPr>
                  </w:pPr>
                  <w:r>
                    <w:rPr>
                      <w:rFonts w:eastAsia="Times New Roman" w:cs="Arial"/>
                      <w:sz w:val="20"/>
                      <w:szCs w:val="20"/>
                    </w:rPr>
                    <w:t>-</w:t>
                  </w:r>
                </w:p>
              </w:tc>
              <w:tc>
                <w:tcPr>
                  <w:tcW w:w="2264" w:type="dxa"/>
                  <w:vAlign w:val="center"/>
                </w:tcPr>
                <w:p w14:paraId="7CD53000" w14:textId="34EA098F" w:rsidR="00EA73B3" w:rsidRPr="00EA73B3" w:rsidRDefault="008A17A7" w:rsidP="00EA73B3">
                  <w:pPr>
                    <w:jc w:val="center"/>
                    <w:rPr>
                      <w:rFonts w:eastAsia="Times New Roman" w:cs="Arial"/>
                      <w:sz w:val="20"/>
                      <w:szCs w:val="20"/>
                    </w:rPr>
                  </w:pPr>
                  <w:r>
                    <w:rPr>
                      <w:rFonts w:eastAsia="Times New Roman" w:cs="Arial"/>
                      <w:sz w:val="20"/>
                      <w:szCs w:val="20"/>
                    </w:rPr>
                    <w:t>-</w:t>
                  </w:r>
                </w:p>
              </w:tc>
            </w:tr>
            <w:tr w:rsidR="00EA73B3" w:rsidRPr="00EA73B3" w14:paraId="634F441F" w14:textId="77777777" w:rsidTr="0021499D">
              <w:tc>
                <w:tcPr>
                  <w:tcW w:w="2547" w:type="dxa"/>
                </w:tcPr>
                <w:p w14:paraId="11DD2C74" w14:textId="77777777" w:rsidR="00EA73B3" w:rsidRPr="00EA73B3" w:rsidRDefault="00EA73B3" w:rsidP="00EA73B3">
                  <w:pPr>
                    <w:rPr>
                      <w:rFonts w:eastAsia="Times New Roman" w:cs="Arial"/>
                      <w:b/>
                      <w:sz w:val="20"/>
                      <w:szCs w:val="20"/>
                    </w:rPr>
                  </w:pPr>
                  <w:r w:rsidRPr="00EA73B3">
                    <w:rPr>
                      <w:rFonts w:eastAsia="Times New Roman" w:cs="Arial"/>
                      <w:b/>
                      <w:sz w:val="20"/>
                      <w:szCs w:val="20"/>
                    </w:rPr>
                    <w:t>DNOs</w:t>
                  </w:r>
                </w:p>
              </w:tc>
              <w:tc>
                <w:tcPr>
                  <w:tcW w:w="1417" w:type="dxa"/>
                  <w:vAlign w:val="center"/>
                </w:tcPr>
                <w:p w14:paraId="6CFF2878" w14:textId="17230C14" w:rsidR="00EA73B3" w:rsidRPr="00EA73B3" w:rsidRDefault="008A17A7" w:rsidP="00EA73B3">
                  <w:pPr>
                    <w:jc w:val="center"/>
                    <w:rPr>
                      <w:rFonts w:eastAsia="Times New Roman" w:cs="Arial"/>
                      <w:sz w:val="20"/>
                      <w:szCs w:val="20"/>
                    </w:rPr>
                  </w:pPr>
                  <w:r>
                    <w:rPr>
                      <w:rFonts w:eastAsia="Times New Roman" w:cs="Arial"/>
                      <w:sz w:val="20"/>
                      <w:szCs w:val="20"/>
                    </w:rPr>
                    <w:t>2</w:t>
                  </w:r>
                  <w:r w:rsidR="00405048">
                    <w:rPr>
                      <w:rFonts w:eastAsia="Times New Roman" w:cs="Arial"/>
                      <w:sz w:val="20"/>
                      <w:szCs w:val="20"/>
                    </w:rPr>
                    <w:t>4.</w:t>
                  </w:r>
                  <w:r w:rsidR="00FE1C60">
                    <w:rPr>
                      <w:rFonts w:eastAsia="Times New Roman" w:cs="Arial"/>
                      <w:sz w:val="20"/>
                      <w:szCs w:val="20"/>
                    </w:rPr>
                    <w:t>6</w:t>
                  </w:r>
                  <w:r w:rsidR="008A6518">
                    <w:rPr>
                      <w:rFonts w:eastAsia="Times New Roman" w:cs="Arial"/>
                      <w:sz w:val="20"/>
                      <w:szCs w:val="20"/>
                    </w:rPr>
                    <w:t>8</w:t>
                  </w:r>
                  <w:r>
                    <w:rPr>
                      <w:rFonts w:eastAsia="Times New Roman" w:cs="Arial"/>
                      <w:sz w:val="20"/>
                      <w:szCs w:val="20"/>
                    </w:rPr>
                    <w:t>%</w:t>
                  </w:r>
                </w:p>
              </w:tc>
              <w:tc>
                <w:tcPr>
                  <w:tcW w:w="1729" w:type="dxa"/>
                  <w:vAlign w:val="center"/>
                </w:tcPr>
                <w:p w14:paraId="13C064A1" w14:textId="3614EE6E" w:rsidR="00EA73B3" w:rsidRPr="00EA73B3" w:rsidRDefault="00FD643C" w:rsidP="00EA73B3">
                  <w:pPr>
                    <w:jc w:val="center"/>
                    <w:rPr>
                      <w:rFonts w:eastAsia="Times New Roman" w:cs="Arial"/>
                      <w:sz w:val="20"/>
                      <w:szCs w:val="20"/>
                    </w:rPr>
                  </w:pPr>
                  <w:r>
                    <w:rPr>
                      <w:rFonts w:eastAsia="Times New Roman" w:cs="Arial"/>
                      <w:sz w:val="20"/>
                      <w:szCs w:val="20"/>
                    </w:rPr>
                    <w:t>2</w:t>
                  </w:r>
                  <w:r w:rsidR="006B1D8B">
                    <w:rPr>
                      <w:rFonts w:eastAsia="Times New Roman" w:cs="Arial"/>
                      <w:sz w:val="20"/>
                      <w:szCs w:val="20"/>
                    </w:rPr>
                    <w:t>3.75</w:t>
                  </w:r>
                  <w:r>
                    <w:rPr>
                      <w:rFonts w:eastAsia="Times New Roman" w:cs="Arial"/>
                      <w:sz w:val="20"/>
                      <w:szCs w:val="20"/>
                    </w:rPr>
                    <w:t>%</w:t>
                  </w:r>
                </w:p>
              </w:tc>
              <w:tc>
                <w:tcPr>
                  <w:tcW w:w="1532" w:type="dxa"/>
                  <w:vAlign w:val="center"/>
                </w:tcPr>
                <w:p w14:paraId="56E130A8" w14:textId="503E729E" w:rsidR="00EA73B3" w:rsidRPr="00EA73B3" w:rsidRDefault="00FD643C" w:rsidP="00EA73B3">
                  <w:pPr>
                    <w:jc w:val="center"/>
                    <w:rPr>
                      <w:rFonts w:eastAsia="Times New Roman" w:cs="Arial"/>
                      <w:sz w:val="20"/>
                      <w:szCs w:val="20"/>
                    </w:rPr>
                  </w:pPr>
                  <w:r>
                    <w:rPr>
                      <w:rFonts w:eastAsia="Times New Roman" w:cs="Arial"/>
                      <w:sz w:val="20"/>
                      <w:szCs w:val="20"/>
                    </w:rPr>
                    <w:t>£159,170.20</w:t>
                  </w:r>
                </w:p>
              </w:tc>
              <w:tc>
                <w:tcPr>
                  <w:tcW w:w="2264" w:type="dxa"/>
                  <w:vAlign w:val="center"/>
                </w:tcPr>
                <w:p w14:paraId="18147167" w14:textId="7D791D01" w:rsidR="00EA73B3" w:rsidRPr="007B7E22" w:rsidRDefault="007B7E22" w:rsidP="00EA73B3">
                  <w:pPr>
                    <w:jc w:val="center"/>
                    <w:rPr>
                      <w:rFonts w:eastAsia="Times New Roman" w:cs="Arial"/>
                      <w:color w:val="FF0000"/>
                      <w:sz w:val="20"/>
                      <w:szCs w:val="20"/>
                    </w:rPr>
                  </w:pPr>
                  <w:r>
                    <w:rPr>
                      <w:rFonts w:eastAsia="Times New Roman" w:cs="Arial"/>
                      <w:sz w:val="20"/>
                      <w:szCs w:val="20"/>
                    </w:rPr>
                    <w:t>£</w:t>
                  </w:r>
                  <w:r w:rsidRPr="001A23A5">
                    <w:rPr>
                      <w:rFonts w:eastAsia="Times New Roman" w:cs="Arial"/>
                      <w:sz w:val="20"/>
                      <w:szCs w:val="20"/>
                    </w:rPr>
                    <w:t>15</w:t>
                  </w:r>
                  <w:r w:rsidR="009B0F0D">
                    <w:rPr>
                      <w:rFonts w:eastAsia="Times New Roman" w:cs="Arial"/>
                      <w:sz w:val="20"/>
                      <w:szCs w:val="20"/>
                    </w:rPr>
                    <w:t>5</w:t>
                  </w:r>
                  <w:r w:rsidRPr="001A23A5">
                    <w:rPr>
                      <w:rFonts w:eastAsia="Times New Roman" w:cs="Arial"/>
                      <w:sz w:val="20"/>
                      <w:szCs w:val="20"/>
                    </w:rPr>
                    <w:t>,</w:t>
                  </w:r>
                  <w:r w:rsidR="00656A35">
                    <w:rPr>
                      <w:rFonts w:eastAsia="Times New Roman" w:cs="Arial"/>
                      <w:sz w:val="20"/>
                      <w:szCs w:val="20"/>
                    </w:rPr>
                    <w:t>1</w:t>
                  </w:r>
                  <w:r w:rsidR="00F84D8A">
                    <w:rPr>
                      <w:rFonts w:eastAsia="Times New Roman" w:cs="Arial"/>
                      <w:sz w:val="20"/>
                      <w:szCs w:val="20"/>
                    </w:rPr>
                    <w:t>21</w:t>
                  </w:r>
                  <w:r w:rsidRPr="001A23A5">
                    <w:rPr>
                      <w:rFonts w:eastAsia="Times New Roman" w:cs="Arial"/>
                      <w:sz w:val="20"/>
                      <w:szCs w:val="20"/>
                    </w:rPr>
                    <w:t>.</w:t>
                  </w:r>
                  <w:r w:rsidR="00F84D8A">
                    <w:rPr>
                      <w:rFonts w:eastAsia="Times New Roman" w:cs="Arial"/>
                      <w:sz w:val="20"/>
                      <w:szCs w:val="20"/>
                    </w:rPr>
                    <w:t>7</w:t>
                  </w:r>
                  <w:r w:rsidR="003710EB">
                    <w:rPr>
                      <w:rFonts w:eastAsia="Times New Roman" w:cs="Arial"/>
                      <w:sz w:val="20"/>
                      <w:szCs w:val="20"/>
                    </w:rPr>
                    <w:t>2</w:t>
                  </w:r>
                </w:p>
              </w:tc>
            </w:tr>
            <w:tr w:rsidR="00EA73B3" w:rsidRPr="00EA73B3" w14:paraId="66A0BF97" w14:textId="77777777" w:rsidTr="0021499D">
              <w:tc>
                <w:tcPr>
                  <w:tcW w:w="2547" w:type="dxa"/>
                </w:tcPr>
                <w:p w14:paraId="72F552F1" w14:textId="77777777" w:rsidR="00EA73B3" w:rsidRPr="00EA73B3" w:rsidRDefault="00EA73B3" w:rsidP="00EA73B3">
                  <w:pPr>
                    <w:rPr>
                      <w:rFonts w:eastAsia="Times New Roman" w:cs="Arial"/>
                      <w:b/>
                      <w:sz w:val="20"/>
                      <w:szCs w:val="20"/>
                    </w:rPr>
                  </w:pPr>
                  <w:r w:rsidRPr="00EA73B3">
                    <w:rPr>
                      <w:rFonts w:eastAsia="Times New Roman" w:cs="Arial"/>
                      <w:b/>
                      <w:sz w:val="20"/>
                      <w:szCs w:val="20"/>
                    </w:rPr>
                    <w:t>Transmission</w:t>
                  </w:r>
                </w:p>
              </w:tc>
              <w:tc>
                <w:tcPr>
                  <w:tcW w:w="1417" w:type="dxa"/>
                  <w:vAlign w:val="center"/>
                </w:tcPr>
                <w:p w14:paraId="487BE727" w14:textId="0DCFCC3B" w:rsidR="00EA73B3" w:rsidRPr="00EA73B3" w:rsidRDefault="001153E7" w:rsidP="00EA73B3">
                  <w:pPr>
                    <w:jc w:val="center"/>
                    <w:rPr>
                      <w:rFonts w:eastAsia="Times New Roman" w:cs="Arial"/>
                      <w:sz w:val="20"/>
                      <w:szCs w:val="20"/>
                    </w:rPr>
                  </w:pPr>
                  <w:r>
                    <w:rPr>
                      <w:rFonts w:eastAsia="Times New Roman" w:cs="Arial"/>
                      <w:sz w:val="20"/>
                      <w:szCs w:val="20"/>
                    </w:rPr>
                    <w:t>-</w:t>
                  </w:r>
                </w:p>
              </w:tc>
              <w:tc>
                <w:tcPr>
                  <w:tcW w:w="1729" w:type="dxa"/>
                  <w:vAlign w:val="center"/>
                </w:tcPr>
                <w:p w14:paraId="545FA9E5" w14:textId="77DAAE53" w:rsidR="00EA73B3" w:rsidRPr="00EA73B3" w:rsidRDefault="001153E7" w:rsidP="00EA73B3">
                  <w:pPr>
                    <w:jc w:val="center"/>
                    <w:rPr>
                      <w:rFonts w:eastAsia="Times New Roman" w:cs="Arial"/>
                      <w:sz w:val="20"/>
                      <w:szCs w:val="20"/>
                    </w:rPr>
                  </w:pPr>
                  <w:r>
                    <w:rPr>
                      <w:rFonts w:eastAsia="Times New Roman" w:cs="Arial"/>
                      <w:sz w:val="20"/>
                      <w:szCs w:val="20"/>
                    </w:rPr>
                    <w:t>-</w:t>
                  </w:r>
                </w:p>
              </w:tc>
              <w:tc>
                <w:tcPr>
                  <w:tcW w:w="1532" w:type="dxa"/>
                  <w:vAlign w:val="center"/>
                </w:tcPr>
                <w:p w14:paraId="75059127" w14:textId="1B5E9D84" w:rsidR="00EA73B3" w:rsidRPr="00EA73B3" w:rsidRDefault="001153E7" w:rsidP="00EA73B3">
                  <w:pPr>
                    <w:jc w:val="center"/>
                    <w:rPr>
                      <w:rFonts w:eastAsia="Times New Roman" w:cs="Arial"/>
                      <w:sz w:val="20"/>
                      <w:szCs w:val="20"/>
                    </w:rPr>
                  </w:pPr>
                  <w:r>
                    <w:rPr>
                      <w:rFonts w:eastAsia="Times New Roman" w:cs="Arial"/>
                      <w:sz w:val="20"/>
                      <w:szCs w:val="20"/>
                    </w:rPr>
                    <w:t>-</w:t>
                  </w:r>
                </w:p>
              </w:tc>
              <w:tc>
                <w:tcPr>
                  <w:tcW w:w="2264" w:type="dxa"/>
                  <w:vAlign w:val="center"/>
                </w:tcPr>
                <w:p w14:paraId="719E72A3" w14:textId="17CD9212" w:rsidR="00EA73B3" w:rsidRPr="00EA73B3" w:rsidRDefault="001153E7" w:rsidP="00EA73B3">
                  <w:pPr>
                    <w:jc w:val="center"/>
                    <w:rPr>
                      <w:rFonts w:eastAsia="Times New Roman" w:cs="Arial"/>
                      <w:sz w:val="20"/>
                      <w:szCs w:val="20"/>
                    </w:rPr>
                  </w:pPr>
                  <w:r>
                    <w:rPr>
                      <w:rFonts w:eastAsia="Times New Roman" w:cs="Arial"/>
                      <w:sz w:val="20"/>
                      <w:szCs w:val="20"/>
                    </w:rPr>
                    <w:t>-</w:t>
                  </w:r>
                </w:p>
              </w:tc>
            </w:tr>
            <w:tr w:rsidR="00EA73B3" w:rsidRPr="00EA73B3" w14:paraId="620BFD5F" w14:textId="77777777" w:rsidTr="0021499D">
              <w:trPr>
                <w:trHeight w:val="53"/>
              </w:trPr>
              <w:tc>
                <w:tcPr>
                  <w:tcW w:w="2547" w:type="dxa"/>
                </w:tcPr>
                <w:p w14:paraId="3FE2DEBE" w14:textId="77777777" w:rsidR="00EA73B3" w:rsidRPr="00EA73B3" w:rsidRDefault="00EA73B3" w:rsidP="00EA73B3">
                  <w:pPr>
                    <w:rPr>
                      <w:rFonts w:eastAsia="Times New Roman" w:cs="Arial"/>
                      <w:b/>
                      <w:sz w:val="20"/>
                      <w:szCs w:val="20"/>
                    </w:rPr>
                  </w:pPr>
                  <w:r w:rsidRPr="00EA73B3">
                    <w:rPr>
                      <w:rFonts w:eastAsia="Times New Roman" w:cs="Arial"/>
                      <w:b/>
                      <w:sz w:val="20"/>
                      <w:szCs w:val="20"/>
                    </w:rPr>
                    <w:t>DN’s &amp; IGT</w:t>
                  </w:r>
                </w:p>
              </w:tc>
              <w:tc>
                <w:tcPr>
                  <w:tcW w:w="1417" w:type="dxa"/>
                  <w:vAlign w:val="center"/>
                </w:tcPr>
                <w:p w14:paraId="7D880586" w14:textId="44696A18" w:rsidR="00EA73B3" w:rsidRPr="00EA73B3" w:rsidRDefault="001153E7" w:rsidP="00EA73B3">
                  <w:pPr>
                    <w:jc w:val="center"/>
                    <w:rPr>
                      <w:rFonts w:eastAsia="Times New Roman" w:cs="Arial"/>
                      <w:sz w:val="20"/>
                      <w:szCs w:val="20"/>
                    </w:rPr>
                  </w:pPr>
                  <w:r>
                    <w:rPr>
                      <w:rFonts w:eastAsia="Times New Roman" w:cs="Arial"/>
                      <w:sz w:val="20"/>
                      <w:szCs w:val="20"/>
                    </w:rPr>
                    <w:t>-</w:t>
                  </w:r>
                </w:p>
              </w:tc>
              <w:tc>
                <w:tcPr>
                  <w:tcW w:w="1729" w:type="dxa"/>
                  <w:vAlign w:val="center"/>
                </w:tcPr>
                <w:p w14:paraId="6648D219" w14:textId="1B180558" w:rsidR="00EA73B3" w:rsidRPr="00EA73B3" w:rsidRDefault="001153E7" w:rsidP="00EA73B3">
                  <w:pPr>
                    <w:jc w:val="center"/>
                    <w:rPr>
                      <w:rFonts w:eastAsia="Times New Roman" w:cs="Arial"/>
                      <w:sz w:val="20"/>
                      <w:szCs w:val="20"/>
                    </w:rPr>
                  </w:pPr>
                  <w:r>
                    <w:rPr>
                      <w:rFonts w:eastAsia="Times New Roman" w:cs="Arial"/>
                      <w:sz w:val="20"/>
                      <w:szCs w:val="20"/>
                    </w:rPr>
                    <w:t>-</w:t>
                  </w:r>
                </w:p>
              </w:tc>
              <w:tc>
                <w:tcPr>
                  <w:tcW w:w="1532" w:type="dxa"/>
                  <w:vAlign w:val="center"/>
                </w:tcPr>
                <w:p w14:paraId="12B102FE" w14:textId="0391C6A8" w:rsidR="00EA73B3" w:rsidRPr="00EA73B3" w:rsidRDefault="001153E7" w:rsidP="00EA73B3">
                  <w:pPr>
                    <w:jc w:val="center"/>
                    <w:rPr>
                      <w:rFonts w:eastAsia="Times New Roman" w:cs="Arial"/>
                      <w:sz w:val="20"/>
                      <w:szCs w:val="20"/>
                    </w:rPr>
                  </w:pPr>
                  <w:r>
                    <w:rPr>
                      <w:rFonts w:eastAsia="Times New Roman" w:cs="Arial"/>
                      <w:sz w:val="20"/>
                      <w:szCs w:val="20"/>
                    </w:rPr>
                    <w:t>-</w:t>
                  </w:r>
                </w:p>
              </w:tc>
              <w:tc>
                <w:tcPr>
                  <w:tcW w:w="2264" w:type="dxa"/>
                  <w:vAlign w:val="center"/>
                </w:tcPr>
                <w:p w14:paraId="2BCC920E" w14:textId="0A7ECBAA" w:rsidR="00EA73B3" w:rsidRPr="00EA73B3" w:rsidRDefault="001153E7" w:rsidP="00EA73B3">
                  <w:pPr>
                    <w:jc w:val="center"/>
                    <w:rPr>
                      <w:rFonts w:eastAsia="Times New Roman" w:cs="Arial"/>
                      <w:sz w:val="20"/>
                      <w:szCs w:val="20"/>
                    </w:rPr>
                  </w:pPr>
                  <w:r>
                    <w:rPr>
                      <w:rFonts w:eastAsia="Times New Roman" w:cs="Arial"/>
                      <w:sz w:val="20"/>
                      <w:szCs w:val="20"/>
                    </w:rPr>
                    <w:t>-</w:t>
                  </w:r>
                </w:p>
              </w:tc>
            </w:tr>
            <w:tr w:rsidR="0021499D" w:rsidRPr="00EA73B3" w14:paraId="73EFBBF4" w14:textId="77777777" w:rsidTr="0021499D">
              <w:trPr>
                <w:trHeight w:val="53"/>
              </w:trPr>
              <w:tc>
                <w:tcPr>
                  <w:tcW w:w="2547" w:type="dxa"/>
                </w:tcPr>
                <w:p w14:paraId="469AA148" w14:textId="51E2C4C1" w:rsidR="0021499D" w:rsidRPr="00EA73B3" w:rsidRDefault="00C05BAF" w:rsidP="00EA73B3">
                  <w:pPr>
                    <w:rPr>
                      <w:rFonts w:eastAsia="Times New Roman" w:cs="Arial"/>
                      <w:b/>
                      <w:sz w:val="20"/>
                      <w:szCs w:val="20"/>
                    </w:rPr>
                  </w:pPr>
                  <w:r>
                    <w:rPr>
                      <w:rFonts w:eastAsia="Times New Roman" w:cs="Arial"/>
                      <w:b/>
                      <w:sz w:val="20"/>
                      <w:szCs w:val="20"/>
                    </w:rPr>
                    <w:t>TOTAL</w:t>
                  </w:r>
                </w:p>
              </w:tc>
              <w:tc>
                <w:tcPr>
                  <w:tcW w:w="1417" w:type="dxa"/>
                  <w:vAlign w:val="center"/>
                </w:tcPr>
                <w:p w14:paraId="352A2AF6" w14:textId="7C513CF5" w:rsidR="0021499D" w:rsidRPr="00EA73B3" w:rsidRDefault="001153E7" w:rsidP="00EA73B3">
                  <w:pPr>
                    <w:jc w:val="center"/>
                    <w:rPr>
                      <w:rFonts w:eastAsia="Times New Roman" w:cs="Arial"/>
                      <w:sz w:val="20"/>
                      <w:szCs w:val="20"/>
                    </w:rPr>
                  </w:pPr>
                  <w:r>
                    <w:rPr>
                      <w:rFonts w:eastAsia="Times New Roman" w:cs="Arial"/>
                      <w:sz w:val="20"/>
                      <w:szCs w:val="20"/>
                    </w:rPr>
                    <w:t>100%</w:t>
                  </w:r>
                </w:p>
              </w:tc>
              <w:tc>
                <w:tcPr>
                  <w:tcW w:w="1729" w:type="dxa"/>
                  <w:vAlign w:val="center"/>
                </w:tcPr>
                <w:p w14:paraId="2DBEF71C" w14:textId="7044A0B2" w:rsidR="0021499D" w:rsidRPr="00EA73B3" w:rsidRDefault="001153E7" w:rsidP="00EA73B3">
                  <w:pPr>
                    <w:jc w:val="center"/>
                    <w:rPr>
                      <w:rFonts w:eastAsia="Times New Roman" w:cs="Arial"/>
                      <w:sz w:val="20"/>
                      <w:szCs w:val="20"/>
                    </w:rPr>
                  </w:pPr>
                  <w:r>
                    <w:rPr>
                      <w:rFonts w:eastAsia="Times New Roman" w:cs="Arial"/>
                      <w:sz w:val="20"/>
                      <w:szCs w:val="20"/>
                    </w:rPr>
                    <w:t>100%</w:t>
                  </w:r>
                </w:p>
              </w:tc>
              <w:tc>
                <w:tcPr>
                  <w:tcW w:w="1532" w:type="dxa"/>
                  <w:vAlign w:val="center"/>
                </w:tcPr>
                <w:p w14:paraId="121ABB8D" w14:textId="6713B4EE" w:rsidR="0021499D" w:rsidRPr="00EA73B3" w:rsidRDefault="00551FE2" w:rsidP="00EA73B3">
                  <w:pPr>
                    <w:jc w:val="center"/>
                    <w:rPr>
                      <w:rFonts w:eastAsia="Times New Roman" w:cs="Arial"/>
                      <w:sz w:val="20"/>
                      <w:szCs w:val="20"/>
                    </w:rPr>
                  </w:pPr>
                  <w:r>
                    <w:rPr>
                      <w:rFonts w:eastAsia="Times New Roman" w:cs="Arial"/>
                      <w:sz w:val="20"/>
                      <w:szCs w:val="20"/>
                    </w:rPr>
                    <w:t>£644,961.87</w:t>
                  </w:r>
                </w:p>
              </w:tc>
              <w:tc>
                <w:tcPr>
                  <w:tcW w:w="2264" w:type="dxa"/>
                  <w:vAlign w:val="center"/>
                </w:tcPr>
                <w:p w14:paraId="2699C38D" w14:textId="734DF16B" w:rsidR="0021499D" w:rsidRPr="00EA73B3" w:rsidRDefault="00A014C0" w:rsidP="00EA73B3">
                  <w:pPr>
                    <w:jc w:val="center"/>
                    <w:rPr>
                      <w:rFonts w:eastAsia="Times New Roman" w:cs="Arial"/>
                      <w:sz w:val="20"/>
                      <w:szCs w:val="20"/>
                    </w:rPr>
                  </w:pPr>
                  <w:r>
                    <w:rPr>
                      <w:rFonts w:eastAsia="Times New Roman" w:cs="Arial"/>
                      <w:sz w:val="20"/>
                      <w:szCs w:val="20"/>
                    </w:rPr>
                    <w:t>£</w:t>
                  </w:r>
                  <w:r w:rsidR="00D642BC">
                    <w:rPr>
                      <w:rFonts w:eastAsia="Times New Roman" w:cs="Arial"/>
                      <w:sz w:val="20"/>
                      <w:szCs w:val="20"/>
                    </w:rPr>
                    <w:t>636</w:t>
                  </w:r>
                  <w:r>
                    <w:rPr>
                      <w:rFonts w:eastAsia="Times New Roman" w:cs="Arial"/>
                      <w:sz w:val="20"/>
                      <w:szCs w:val="20"/>
                    </w:rPr>
                    <w:t>,</w:t>
                  </w:r>
                  <w:r w:rsidR="00107D1A">
                    <w:rPr>
                      <w:rFonts w:eastAsia="Times New Roman" w:cs="Arial"/>
                      <w:sz w:val="20"/>
                      <w:szCs w:val="20"/>
                    </w:rPr>
                    <w:t>302</w:t>
                  </w:r>
                  <w:r w:rsidR="002845CC">
                    <w:rPr>
                      <w:rFonts w:eastAsia="Times New Roman" w:cs="Arial"/>
                      <w:sz w:val="20"/>
                      <w:szCs w:val="20"/>
                    </w:rPr>
                    <w:t>.00</w:t>
                  </w:r>
                </w:p>
              </w:tc>
            </w:tr>
          </w:tbl>
          <w:p w14:paraId="2275E093" w14:textId="77777777" w:rsidR="00C75DC2" w:rsidRDefault="00C75DC2" w:rsidP="00EA73B3">
            <w:pPr>
              <w:contextualSpacing/>
              <w:rPr>
                <w:rFonts w:eastAsia="Times New Roman" w:cs="Arial"/>
                <w:b/>
                <w:sz w:val="20"/>
                <w:szCs w:val="20"/>
              </w:rPr>
            </w:pPr>
          </w:p>
          <w:p w14:paraId="507043F9" w14:textId="7602FB03" w:rsidR="00EA73B3" w:rsidRPr="00AF4A2D" w:rsidRDefault="009404D0" w:rsidP="00EA73B3">
            <w:pPr>
              <w:contextualSpacing/>
              <w:rPr>
                <w:rFonts w:eastAsia="Times New Roman" w:cs="Arial"/>
                <w:sz w:val="20"/>
                <w:szCs w:val="20"/>
              </w:rPr>
            </w:pPr>
            <w:r w:rsidRPr="003D4EA7">
              <w:rPr>
                <w:rFonts w:eastAsia="Times New Roman" w:cs="Arial"/>
                <w:b/>
                <w:sz w:val="20"/>
                <w:szCs w:val="20"/>
              </w:rPr>
              <w:t>Note:</w:t>
            </w:r>
            <w:r w:rsidRPr="00AF4A2D">
              <w:rPr>
                <w:rFonts w:eastAsia="Times New Roman" w:cs="Arial"/>
                <w:sz w:val="20"/>
                <w:szCs w:val="20"/>
              </w:rPr>
              <w:t xml:space="preserve"> the above </w:t>
            </w:r>
            <w:r w:rsidR="00CF4930" w:rsidRPr="00AF4A2D">
              <w:rPr>
                <w:rFonts w:eastAsia="Times New Roman" w:cs="Arial"/>
                <w:sz w:val="20"/>
                <w:szCs w:val="20"/>
              </w:rPr>
              <w:t xml:space="preserve">BER </w:t>
            </w:r>
            <w:r w:rsidR="008E101F">
              <w:rPr>
                <w:rFonts w:eastAsia="Times New Roman" w:cs="Arial"/>
                <w:sz w:val="20"/>
                <w:szCs w:val="20"/>
              </w:rPr>
              <w:t xml:space="preserve">Share of </w:t>
            </w:r>
            <w:r w:rsidR="00CF4930" w:rsidRPr="00AF4A2D">
              <w:rPr>
                <w:rFonts w:eastAsia="Times New Roman" w:cs="Arial"/>
                <w:sz w:val="20"/>
                <w:szCs w:val="20"/>
              </w:rPr>
              <w:t xml:space="preserve">Cost </w:t>
            </w:r>
            <w:r w:rsidR="00194619">
              <w:rPr>
                <w:rFonts w:eastAsia="Times New Roman" w:cs="Arial"/>
                <w:sz w:val="20"/>
                <w:szCs w:val="20"/>
              </w:rPr>
              <w:t xml:space="preserve">and BER Cost Value </w:t>
            </w:r>
            <w:r w:rsidRPr="00AF4A2D">
              <w:rPr>
                <w:rFonts w:eastAsia="Times New Roman" w:cs="Arial"/>
                <w:sz w:val="20"/>
                <w:szCs w:val="20"/>
              </w:rPr>
              <w:t>ha</w:t>
            </w:r>
            <w:r w:rsidR="00194619">
              <w:rPr>
                <w:rFonts w:eastAsia="Times New Roman" w:cs="Arial"/>
                <w:sz w:val="20"/>
                <w:szCs w:val="20"/>
              </w:rPr>
              <w:t>ve</w:t>
            </w:r>
            <w:r w:rsidRPr="00AF4A2D">
              <w:rPr>
                <w:rFonts w:eastAsia="Times New Roman" w:cs="Arial"/>
                <w:sz w:val="20"/>
                <w:szCs w:val="20"/>
              </w:rPr>
              <w:t xml:space="preserve"> been taken from </w:t>
            </w:r>
            <w:r w:rsidR="00194619">
              <w:rPr>
                <w:rFonts w:eastAsia="Times New Roman" w:cs="Arial"/>
                <w:sz w:val="20"/>
                <w:szCs w:val="20"/>
              </w:rPr>
              <w:t>the origina</w:t>
            </w:r>
            <w:r w:rsidR="00093567">
              <w:rPr>
                <w:rFonts w:eastAsia="Times New Roman" w:cs="Arial"/>
                <w:sz w:val="20"/>
                <w:szCs w:val="20"/>
              </w:rPr>
              <w:t xml:space="preserve">l </w:t>
            </w:r>
            <w:r w:rsidRPr="00AF4A2D">
              <w:rPr>
                <w:rFonts w:eastAsia="Times New Roman" w:cs="Arial"/>
                <w:sz w:val="20"/>
                <w:szCs w:val="20"/>
              </w:rPr>
              <w:t>B</w:t>
            </w:r>
            <w:r w:rsidR="002810D9" w:rsidRPr="00AF4A2D">
              <w:rPr>
                <w:rFonts w:eastAsia="Times New Roman" w:cs="Arial"/>
                <w:sz w:val="20"/>
                <w:szCs w:val="20"/>
              </w:rPr>
              <w:t xml:space="preserve">ER plus the additional £34k of funds that were requested for XRN4897/99 </w:t>
            </w:r>
            <w:r w:rsidR="0055602C" w:rsidRPr="00AF4A2D">
              <w:rPr>
                <w:rFonts w:eastAsia="Times New Roman" w:cs="Arial"/>
                <w:sz w:val="20"/>
                <w:szCs w:val="20"/>
              </w:rPr>
              <w:t xml:space="preserve">Historical Cleanse. </w:t>
            </w:r>
            <w:r w:rsidR="00657736">
              <w:rPr>
                <w:rFonts w:eastAsia="Times New Roman" w:cs="Arial"/>
                <w:sz w:val="20"/>
                <w:szCs w:val="20"/>
              </w:rPr>
              <w:t>Th</w:t>
            </w:r>
            <w:r w:rsidR="00121391">
              <w:rPr>
                <w:rFonts w:eastAsia="Times New Roman" w:cs="Arial"/>
                <w:sz w:val="20"/>
                <w:szCs w:val="20"/>
              </w:rPr>
              <w:t xml:space="preserve">e additional funds were approved at the </w:t>
            </w:r>
            <w:r w:rsidR="00657736">
              <w:rPr>
                <w:rFonts w:eastAsia="Times New Roman" w:cs="Arial"/>
                <w:sz w:val="20"/>
                <w:szCs w:val="20"/>
              </w:rPr>
              <w:t>emergency change management committee meeting on the</w:t>
            </w:r>
            <w:r w:rsidR="00D54C99">
              <w:rPr>
                <w:rFonts w:eastAsia="Times New Roman" w:cs="Arial"/>
                <w:sz w:val="20"/>
                <w:szCs w:val="20"/>
              </w:rPr>
              <w:t xml:space="preserve"> 29</w:t>
            </w:r>
            <w:r w:rsidR="00D54C99" w:rsidRPr="00D54C99">
              <w:rPr>
                <w:rFonts w:eastAsia="Times New Roman" w:cs="Arial"/>
                <w:sz w:val="20"/>
                <w:szCs w:val="20"/>
                <w:vertAlign w:val="superscript"/>
              </w:rPr>
              <w:t>th</w:t>
            </w:r>
            <w:r w:rsidR="00D54C99">
              <w:rPr>
                <w:rFonts w:eastAsia="Times New Roman" w:cs="Arial"/>
                <w:sz w:val="20"/>
                <w:szCs w:val="20"/>
              </w:rPr>
              <w:t xml:space="preserve"> January 2021. </w:t>
            </w:r>
            <w:r w:rsidR="001A112E" w:rsidRPr="00AF4A2D">
              <w:rPr>
                <w:rFonts w:eastAsia="Times New Roman" w:cs="Arial"/>
                <w:sz w:val="20"/>
                <w:szCs w:val="20"/>
              </w:rPr>
              <w:t xml:space="preserve"> This increased the BER from </w:t>
            </w:r>
            <w:r w:rsidR="000D4FA1" w:rsidRPr="00AF4A2D">
              <w:rPr>
                <w:rFonts w:eastAsia="Times New Roman" w:cs="Arial"/>
                <w:sz w:val="20"/>
                <w:szCs w:val="20"/>
              </w:rPr>
              <w:t xml:space="preserve">£610,961.87 </w:t>
            </w:r>
            <w:r w:rsidR="003027D4" w:rsidRPr="00AF4A2D">
              <w:rPr>
                <w:rFonts w:eastAsia="Times New Roman" w:cs="Arial"/>
                <w:sz w:val="20"/>
                <w:szCs w:val="20"/>
              </w:rPr>
              <w:t>to £644,961.87</w:t>
            </w:r>
            <w:r w:rsidR="002F4B81">
              <w:rPr>
                <w:rFonts w:eastAsia="Times New Roman" w:cs="Arial"/>
                <w:sz w:val="20"/>
                <w:szCs w:val="20"/>
              </w:rPr>
              <w:t>.</w:t>
            </w:r>
            <w:r w:rsidR="003027D4" w:rsidRPr="00AF4A2D">
              <w:rPr>
                <w:rFonts w:eastAsia="Times New Roman" w:cs="Arial"/>
                <w:sz w:val="20"/>
                <w:szCs w:val="20"/>
              </w:rPr>
              <w:t xml:space="preserve"> </w:t>
            </w:r>
            <w:r w:rsidR="0055602C" w:rsidRPr="00AF4A2D">
              <w:rPr>
                <w:rFonts w:eastAsia="Times New Roman" w:cs="Arial"/>
                <w:sz w:val="20"/>
                <w:szCs w:val="20"/>
              </w:rPr>
              <w:t xml:space="preserve">These additional funds </w:t>
            </w:r>
            <w:r w:rsidR="00B1150B" w:rsidRPr="00AF4A2D">
              <w:rPr>
                <w:rFonts w:eastAsia="Times New Roman" w:cs="Arial"/>
                <w:sz w:val="20"/>
                <w:szCs w:val="20"/>
              </w:rPr>
              <w:t>were allocated against Shippers</w:t>
            </w:r>
            <w:r w:rsidR="0011509C">
              <w:rPr>
                <w:rFonts w:eastAsia="Times New Roman" w:cs="Arial"/>
                <w:sz w:val="20"/>
                <w:szCs w:val="20"/>
              </w:rPr>
              <w:t xml:space="preserve">, </w:t>
            </w:r>
            <w:r w:rsidR="00333AC1">
              <w:rPr>
                <w:rFonts w:eastAsia="Times New Roman" w:cs="Arial"/>
                <w:sz w:val="20"/>
                <w:szCs w:val="20"/>
              </w:rPr>
              <w:t>resulting in the actual share of cost change.</w:t>
            </w:r>
          </w:p>
          <w:p w14:paraId="151B7275" w14:textId="5902B87C" w:rsidR="00BC6D82" w:rsidRPr="00AF4A2D" w:rsidRDefault="00BC6D82" w:rsidP="00EA73B3">
            <w:pPr>
              <w:contextualSpacing/>
              <w:rPr>
                <w:rFonts w:eastAsia="Times New Roman" w:cs="Arial"/>
                <w:sz w:val="20"/>
                <w:szCs w:val="20"/>
              </w:rPr>
            </w:pPr>
          </w:p>
          <w:p w14:paraId="46352922" w14:textId="73744A5D" w:rsidR="008919F7" w:rsidRDefault="008919F7" w:rsidP="008919F7">
            <w:pPr>
              <w:pStyle w:val="ListParagraph"/>
              <w:numPr>
                <w:ilvl w:val="0"/>
                <w:numId w:val="13"/>
              </w:numPr>
              <w:rPr>
                <w:rFonts w:eastAsia="Times New Roman" w:cs="Arial"/>
              </w:rPr>
            </w:pPr>
            <w:r>
              <w:rPr>
                <w:rFonts w:eastAsia="Times New Roman" w:cs="Arial"/>
              </w:rPr>
              <w:t xml:space="preserve">Original BER value </w:t>
            </w:r>
            <w:r w:rsidR="00901F63">
              <w:rPr>
                <w:rFonts w:eastAsia="Times New Roman" w:cs="Arial"/>
              </w:rPr>
              <w:t>£</w:t>
            </w:r>
            <w:r w:rsidR="009808BB">
              <w:rPr>
                <w:rFonts w:eastAsia="Times New Roman" w:cs="Arial"/>
              </w:rPr>
              <w:t>610,961.87</w:t>
            </w:r>
          </w:p>
          <w:p w14:paraId="4F55D79B" w14:textId="46A28BB0" w:rsidR="009808BB" w:rsidRDefault="00AD5402" w:rsidP="008919F7">
            <w:pPr>
              <w:pStyle w:val="ListParagraph"/>
              <w:numPr>
                <w:ilvl w:val="0"/>
                <w:numId w:val="13"/>
              </w:numPr>
              <w:rPr>
                <w:rFonts w:eastAsia="Times New Roman" w:cs="Arial"/>
              </w:rPr>
            </w:pPr>
            <w:r>
              <w:rPr>
                <w:rFonts w:eastAsia="Times New Roman" w:cs="Arial"/>
              </w:rPr>
              <w:t>BER increased £34k to £</w:t>
            </w:r>
            <w:r w:rsidR="001D061B">
              <w:rPr>
                <w:rFonts w:eastAsia="Times New Roman" w:cs="Arial"/>
              </w:rPr>
              <w:t>644,961.87 for XRN4897/99 Historical Cleanse change request</w:t>
            </w:r>
          </w:p>
          <w:p w14:paraId="64D5CC08" w14:textId="59C14E98" w:rsidR="009C617A" w:rsidRDefault="00F85D86" w:rsidP="008919F7">
            <w:pPr>
              <w:pStyle w:val="ListParagraph"/>
              <w:numPr>
                <w:ilvl w:val="0"/>
                <w:numId w:val="13"/>
              </w:numPr>
              <w:rPr>
                <w:rFonts w:eastAsia="Times New Roman" w:cs="Arial"/>
              </w:rPr>
            </w:pPr>
            <w:r>
              <w:rPr>
                <w:rFonts w:eastAsia="Times New Roman" w:cs="Arial"/>
              </w:rPr>
              <w:t>Actual Cost of Nov 20 £636,</w:t>
            </w:r>
            <w:r w:rsidR="00496A87">
              <w:rPr>
                <w:rFonts w:eastAsia="Times New Roman" w:cs="Arial"/>
              </w:rPr>
              <w:t>302</w:t>
            </w:r>
          </w:p>
          <w:p w14:paraId="4C707544" w14:textId="1C09B631" w:rsidR="00D72014" w:rsidRDefault="00D72014" w:rsidP="00D72014">
            <w:pPr>
              <w:rPr>
                <w:rFonts w:eastAsia="Times New Roman" w:cs="Arial"/>
              </w:rPr>
            </w:pPr>
          </w:p>
          <w:p w14:paraId="3B9F40F4" w14:textId="4E9503A9" w:rsidR="00D72014" w:rsidRPr="00D72014" w:rsidRDefault="00D72014" w:rsidP="00D72014">
            <w:pPr>
              <w:rPr>
                <w:rFonts w:eastAsia="Times New Roman" w:cs="Arial"/>
                <w:b/>
                <w:sz w:val="20"/>
                <w:szCs w:val="20"/>
              </w:rPr>
            </w:pPr>
            <w:r w:rsidRPr="00D72014">
              <w:rPr>
                <w:rFonts w:eastAsia="Times New Roman" w:cs="Arial"/>
                <w:b/>
                <w:sz w:val="20"/>
                <w:szCs w:val="20"/>
              </w:rPr>
              <w:t xml:space="preserve">Returned Monies </w:t>
            </w:r>
          </w:p>
          <w:p w14:paraId="45BA5804" w14:textId="77777777" w:rsidR="00D72014" w:rsidRPr="00D72014" w:rsidRDefault="00D72014" w:rsidP="00D72014">
            <w:pPr>
              <w:rPr>
                <w:rFonts w:eastAsia="Times New Roman" w:cs="Arial"/>
              </w:rPr>
            </w:pPr>
          </w:p>
          <w:p w14:paraId="12788E1A" w14:textId="28A2CF47" w:rsidR="008919F7" w:rsidRDefault="00AE6C2F" w:rsidP="00067372">
            <w:pPr>
              <w:pStyle w:val="ListParagraph"/>
              <w:numPr>
                <w:ilvl w:val="0"/>
                <w:numId w:val="13"/>
              </w:numPr>
              <w:rPr>
                <w:rFonts w:eastAsia="Times New Roman" w:cs="Arial"/>
              </w:rPr>
            </w:pPr>
            <w:r>
              <w:rPr>
                <w:rFonts w:eastAsia="Times New Roman" w:cs="Arial"/>
              </w:rPr>
              <w:t>£</w:t>
            </w:r>
            <w:r w:rsidR="00D51BD2">
              <w:rPr>
                <w:rFonts w:eastAsia="Times New Roman" w:cs="Arial"/>
              </w:rPr>
              <w:t>8,</w:t>
            </w:r>
            <w:r w:rsidR="006C4DBC">
              <w:rPr>
                <w:rFonts w:eastAsia="Times New Roman" w:cs="Arial"/>
              </w:rPr>
              <w:t>659.87</w:t>
            </w:r>
            <w:r w:rsidR="00D51BD2">
              <w:rPr>
                <w:rFonts w:eastAsia="Times New Roman" w:cs="Arial"/>
              </w:rPr>
              <w:t xml:space="preserve"> </w:t>
            </w:r>
            <w:r w:rsidR="00AE235B">
              <w:rPr>
                <w:rFonts w:eastAsia="Times New Roman" w:cs="Arial"/>
              </w:rPr>
              <w:t xml:space="preserve">to be returned </w:t>
            </w:r>
            <w:r w:rsidR="007E3607">
              <w:rPr>
                <w:rFonts w:eastAsia="Times New Roman" w:cs="Arial"/>
              </w:rPr>
              <w:t xml:space="preserve">from the </w:t>
            </w:r>
            <w:r w:rsidR="009C5D43">
              <w:rPr>
                <w:rFonts w:eastAsia="Times New Roman" w:cs="Arial"/>
              </w:rPr>
              <w:t xml:space="preserve">increased </w:t>
            </w:r>
            <w:r w:rsidR="007E3607">
              <w:rPr>
                <w:rFonts w:eastAsia="Times New Roman" w:cs="Arial"/>
              </w:rPr>
              <w:t xml:space="preserve">BER </w:t>
            </w:r>
            <w:r w:rsidR="0051446C">
              <w:rPr>
                <w:rFonts w:eastAsia="Times New Roman" w:cs="Arial"/>
              </w:rPr>
              <w:t>- £7,9</w:t>
            </w:r>
            <w:r w:rsidR="00D15EB5">
              <w:rPr>
                <w:rFonts w:eastAsia="Times New Roman" w:cs="Arial"/>
              </w:rPr>
              <w:t>15</w:t>
            </w:r>
            <w:r w:rsidR="00863663">
              <w:rPr>
                <w:rFonts w:eastAsia="Times New Roman" w:cs="Arial"/>
              </w:rPr>
              <w:t>.</w:t>
            </w:r>
            <w:r w:rsidR="00D15EB5">
              <w:rPr>
                <w:rFonts w:eastAsia="Times New Roman" w:cs="Arial"/>
              </w:rPr>
              <w:t>00</w:t>
            </w:r>
            <w:r w:rsidR="00135F47">
              <w:rPr>
                <w:rFonts w:eastAsia="Times New Roman" w:cs="Arial"/>
              </w:rPr>
              <w:t xml:space="preserve">, these funds </w:t>
            </w:r>
            <w:r w:rsidR="001B33A1">
              <w:rPr>
                <w:rFonts w:eastAsia="Times New Roman" w:cs="Arial"/>
              </w:rPr>
              <w:t xml:space="preserve">were ring fenced </w:t>
            </w:r>
            <w:r w:rsidR="0051446C">
              <w:rPr>
                <w:rFonts w:eastAsia="Times New Roman" w:cs="Arial"/>
              </w:rPr>
              <w:t xml:space="preserve">to be returned </w:t>
            </w:r>
            <w:r w:rsidR="0086659B">
              <w:rPr>
                <w:rFonts w:eastAsia="Times New Roman" w:cs="Arial"/>
              </w:rPr>
              <w:t xml:space="preserve">to </w:t>
            </w:r>
            <w:r w:rsidR="00CD7ABE">
              <w:rPr>
                <w:rFonts w:eastAsia="Times New Roman" w:cs="Arial"/>
              </w:rPr>
              <w:t xml:space="preserve">DNOs </w:t>
            </w:r>
            <w:r w:rsidR="00680192">
              <w:rPr>
                <w:rFonts w:eastAsia="Times New Roman" w:cs="Arial"/>
              </w:rPr>
              <w:t>as they were</w:t>
            </w:r>
            <w:r w:rsidR="00024C27">
              <w:rPr>
                <w:rFonts w:eastAsia="Times New Roman" w:cs="Arial"/>
              </w:rPr>
              <w:t xml:space="preserve"> for DNO changes only </w:t>
            </w:r>
            <w:r w:rsidR="00CD7ABE">
              <w:rPr>
                <w:rFonts w:eastAsia="Times New Roman" w:cs="Arial"/>
              </w:rPr>
              <w:t>and</w:t>
            </w:r>
            <w:r w:rsidR="00417723">
              <w:rPr>
                <w:rFonts w:eastAsia="Times New Roman" w:cs="Arial"/>
              </w:rPr>
              <w:t xml:space="preserve"> </w:t>
            </w:r>
            <w:r w:rsidR="002F4584">
              <w:rPr>
                <w:rFonts w:eastAsia="Times New Roman" w:cs="Arial"/>
              </w:rPr>
              <w:t>£</w:t>
            </w:r>
            <w:r w:rsidR="00E54586">
              <w:rPr>
                <w:rFonts w:eastAsia="Times New Roman" w:cs="Arial"/>
              </w:rPr>
              <w:t>7</w:t>
            </w:r>
            <w:r w:rsidR="006C4DBC">
              <w:rPr>
                <w:rFonts w:eastAsia="Times New Roman" w:cs="Arial"/>
              </w:rPr>
              <w:t>44</w:t>
            </w:r>
            <w:r w:rsidR="00744618">
              <w:rPr>
                <w:rFonts w:eastAsia="Times New Roman" w:cs="Arial"/>
              </w:rPr>
              <w:t>.</w:t>
            </w:r>
            <w:r w:rsidR="006C4DBC">
              <w:rPr>
                <w:rFonts w:eastAsia="Times New Roman" w:cs="Arial"/>
              </w:rPr>
              <w:t>87</w:t>
            </w:r>
            <w:r w:rsidR="002F4584">
              <w:rPr>
                <w:rFonts w:eastAsia="Times New Roman" w:cs="Arial"/>
              </w:rPr>
              <w:t xml:space="preserve"> to Shippers</w:t>
            </w:r>
          </w:p>
          <w:p w14:paraId="4BE6799F" w14:textId="01C83A0F" w:rsidR="00067372" w:rsidRPr="00067372" w:rsidRDefault="00067372" w:rsidP="009D7454">
            <w:pPr>
              <w:pStyle w:val="ListParagraph"/>
              <w:rPr>
                <w:rFonts w:eastAsia="Times New Roman" w:cs="Arial"/>
              </w:rPr>
            </w:pPr>
          </w:p>
          <w:p w14:paraId="586C5FE9" w14:textId="0A4CB941" w:rsidR="00BC6D82" w:rsidRPr="00AF4A2D" w:rsidRDefault="00BC6D82" w:rsidP="00EA73B3">
            <w:pPr>
              <w:contextualSpacing/>
              <w:rPr>
                <w:rFonts w:eastAsia="Times New Roman" w:cs="Arial"/>
                <w:sz w:val="20"/>
                <w:szCs w:val="20"/>
              </w:rPr>
            </w:pPr>
          </w:p>
          <w:p w14:paraId="02920847" w14:textId="1DA55023" w:rsidR="00C11A65" w:rsidRDefault="00C11A65" w:rsidP="00EA73B3">
            <w:pPr>
              <w:contextualSpacing/>
              <w:rPr>
                <w:rFonts w:eastAsia="Times New Roman" w:cs="Arial"/>
                <w:b/>
                <w:sz w:val="20"/>
                <w:szCs w:val="20"/>
              </w:rPr>
            </w:pPr>
          </w:p>
          <w:p w14:paraId="6A000EB4" w14:textId="196D0DB2" w:rsidR="00C11A65" w:rsidRDefault="00137FC3" w:rsidP="00EA73B3">
            <w:pPr>
              <w:contextualSpacing/>
              <w:rPr>
                <w:rFonts w:eastAsia="Times New Roman" w:cs="Arial"/>
                <w:sz w:val="20"/>
                <w:szCs w:val="20"/>
                <w:u w:val="single"/>
              </w:rPr>
            </w:pPr>
            <w:r>
              <w:rPr>
                <w:rFonts w:eastAsia="Times New Roman" w:cs="Arial"/>
                <w:sz w:val="20"/>
                <w:szCs w:val="20"/>
                <w:u w:val="single"/>
              </w:rPr>
              <w:t>Maintain the Business</w:t>
            </w:r>
            <w:r w:rsidR="00C11A65" w:rsidRPr="00621745">
              <w:rPr>
                <w:rFonts w:eastAsia="Times New Roman" w:cs="Arial"/>
                <w:sz w:val="20"/>
                <w:szCs w:val="20"/>
                <w:u w:val="single"/>
              </w:rPr>
              <w:t xml:space="preserve"> </w:t>
            </w:r>
            <w:r w:rsidR="00BF5796">
              <w:rPr>
                <w:rFonts w:eastAsia="Times New Roman" w:cs="Arial"/>
                <w:sz w:val="20"/>
                <w:szCs w:val="20"/>
                <w:u w:val="single"/>
              </w:rPr>
              <w:t>(MTB) c</w:t>
            </w:r>
            <w:r w:rsidR="00631119" w:rsidRPr="00621745">
              <w:rPr>
                <w:rFonts w:eastAsia="Times New Roman" w:cs="Arial"/>
                <w:sz w:val="20"/>
                <w:szCs w:val="20"/>
                <w:u w:val="single"/>
              </w:rPr>
              <w:t xml:space="preserve">osts </w:t>
            </w:r>
            <w:r w:rsidR="00BF5796">
              <w:rPr>
                <w:rFonts w:eastAsia="Times New Roman" w:cs="Arial"/>
                <w:sz w:val="20"/>
                <w:szCs w:val="20"/>
                <w:u w:val="single"/>
              </w:rPr>
              <w:t>i</w:t>
            </w:r>
            <w:r w:rsidR="00631119" w:rsidRPr="00621745">
              <w:rPr>
                <w:rFonts w:eastAsia="Times New Roman" w:cs="Arial"/>
                <w:sz w:val="20"/>
                <w:szCs w:val="20"/>
                <w:u w:val="single"/>
              </w:rPr>
              <w:t xml:space="preserve">ncurred </w:t>
            </w:r>
            <w:r w:rsidR="00513277" w:rsidRPr="00621745">
              <w:rPr>
                <w:rFonts w:eastAsia="Times New Roman" w:cs="Arial"/>
                <w:sz w:val="20"/>
                <w:szCs w:val="20"/>
                <w:u w:val="single"/>
              </w:rPr>
              <w:t xml:space="preserve">as </w:t>
            </w:r>
            <w:r w:rsidR="00BF5796">
              <w:rPr>
                <w:rFonts w:eastAsia="Times New Roman" w:cs="Arial"/>
                <w:sz w:val="20"/>
                <w:szCs w:val="20"/>
                <w:u w:val="single"/>
              </w:rPr>
              <w:t>p</w:t>
            </w:r>
            <w:r w:rsidR="00513277" w:rsidRPr="00621745">
              <w:rPr>
                <w:rFonts w:eastAsia="Times New Roman" w:cs="Arial"/>
                <w:sz w:val="20"/>
                <w:szCs w:val="20"/>
                <w:u w:val="single"/>
              </w:rPr>
              <w:t xml:space="preserve">art of Nov 20 </w:t>
            </w:r>
            <w:r w:rsidR="00BF5796">
              <w:rPr>
                <w:rFonts w:eastAsia="Times New Roman" w:cs="Arial"/>
                <w:sz w:val="20"/>
                <w:szCs w:val="20"/>
                <w:u w:val="single"/>
              </w:rPr>
              <w:t>release</w:t>
            </w:r>
          </w:p>
          <w:p w14:paraId="6B5F48C6" w14:textId="4177C7D8" w:rsidR="00EA5EC1" w:rsidRDefault="00EA5EC1" w:rsidP="00EA73B3">
            <w:pPr>
              <w:contextualSpacing/>
              <w:rPr>
                <w:rFonts w:eastAsia="Times New Roman" w:cs="Arial"/>
                <w:sz w:val="20"/>
                <w:szCs w:val="20"/>
                <w:u w:val="single"/>
              </w:rPr>
            </w:pPr>
          </w:p>
          <w:p w14:paraId="2B3A834F" w14:textId="7E3F9B95" w:rsidR="00EA5EC1" w:rsidRPr="00CC634E" w:rsidRDefault="00EA5EC1" w:rsidP="00EA73B3">
            <w:pPr>
              <w:contextualSpacing/>
              <w:rPr>
                <w:rFonts w:eastAsia="Times New Roman" w:cs="Arial"/>
                <w:b/>
                <w:sz w:val="20"/>
                <w:szCs w:val="20"/>
              </w:rPr>
            </w:pPr>
            <w:r>
              <w:rPr>
                <w:rFonts w:eastAsia="Times New Roman" w:cs="Arial"/>
                <w:sz w:val="20"/>
                <w:szCs w:val="20"/>
              </w:rPr>
              <w:t xml:space="preserve">UK Link </w:t>
            </w:r>
            <w:r w:rsidR="00162619">
              <w:rPr>
                <w:rFonts w:eastAsia="Times New Roman" w:cs="Arial"/>
                <w:sz w:val="20"/>
                <w:szCs w:val="20"/>
              </w:rPr>
              <w:t xml:space="preserve">Tech Ops </w:t>
            </w:r>
            <w:r w:rsidR="00BF5796">
              <w:rPr>
                <w:rFonts w:eastAsia="Times New Roman" w:cs="Arial"/>
                <w:sz w:val="20"/>
                <w:szCs w:val="20"/>
              </w:rPr>
              <w:t>M</w:t>
            </w:r>
            <w:r w:rsidR="002A200C">
              <w:rPr>
                <w:rFonts w:eastAsia="Times New Roman" w:cs="Arial"/>
                <w:sz w:val="20"/>
                <w:szCs w:val="20"/>
              </w:rPr>
              <w:t xml:space="preserve">TB </w:t>
            </w:r>
            <w:r w:rsidR="00162619">
              <w:rPr>
                <w:rFonts w:eastAsia="Times New Roman" w:cs="Arial"/>
                <w:sz w:val="20"/>
                <w:szCs w:val="20"/>
              </w:rPr>
              <w:t xml:space="preserve">Support </w:t>
            </w:r>
            <w:r w:rsidR="00D3195F">
              <w:rPr>
                <w:rFonts w:eastAsia="Times New Roman" w:cs="Arial"/>
                <w:sz w:val="20"/>
                <w:szCs w:val="20"/>
              </w:rPr>
              <w:t xml:space="preserve">costs for Nov 20 </w:t>
            </w:r>
            <w:r w:rsidR="00834F37">
              <w:rPr>
                <w:rFonts w:eastAsia="Times New Roman" w:cs="Arial"/>
                <w:sz w:val="20"/>
                <w:szCs w:val="20"/>
              </w:rPr>
              <w:t>release</w:t>
            </w:r>
            <w:r w:rsidR="00D73FDF">
              <w:rPr>
                <w:rFonts w:eastAsia="Times New Roman" w:cs="Arial"/>
                <w:sz w:val="20"/>
                <w:szCs w:val="20"/>
              </w:rPr>
              <w:t xml:space="preserve"> up to Dec 2022 are </w:t>
            </w:r>
            <w:r w:rsidR="00234CC4">
              <w:rPr>
                <w:rFonts w:eastAsia="Times New Roman" w:cs="Arial"/>
                <w:sz w:val="20"/>
                <w:szCs w:val="20"/>
              </w:rPr>
              <w:t>£38,192</w:t>
            </w:r>
          </w:p>
          <w:p w14:paraId="115F1C67" w14:textId="08D1629B" w:rsidR="00FB71D3" w:rsidRDefault="00FB71D3" w:rsidP="00EA73B3">
            <w:pPr>
              <w:contextualSpacing/>
              <w:rPr>
                <w:rFonts w:eastAsia="Times New Roman" w:cs="Arial"/>
                <w:sz w:val="20"/>
                <w:szCs w:val="20"/>
              </w:rPr>
            </w:pPr>
          </w:p>
          <w:tbl>
            <w:tblPr>
              <w:tblStyle w:val="TableGrid1"/>
              <w:tblpPr w:leftFromText="180" w:rightFromText="180" w:vertAnchor="text" w:horzAnchor="margin" w:tblpY="-116"/>
              <w:tblOverlap w:val="never"/>
              <w:tblW w:w="9395" w:type="dxa"/>
              <w:tblLayout w:type="fixed"/>
              <w:tblLook w:val="04A0" w:firstRow="1" w:lastRow="0" w:firstColumn="1" w:lastColumn="0" w:noHBand="0" w:noVBand="1"/>
            </w:tblPr>
            <w:tblGrid>
              <w:gridCol w:w="960"/>
              <w:gridCol w:w="2296"/>
              <w:gridCol w:w="3374"/>
              <w:gridCol w:w="2765"/>
            </w:tblGrid>
            <w:tr w:rsidR="00E822F7" w:rsidRPr="00E45748" w14:paraId="79D88C88" w14:textId="77777777" w:rsidTr="003C4788">
              <w:trPr>
                <w:trHeight w:val="274"/>
              </w:trPr>
              <w:tc>
                <w:tcPr>
                  <w:tcW w:w="960" w:type="dxa"/>
                  <w:hideMark/>
                </w:tcPr>
                <w:p w14:paraId="7A1DDBD9" w14:textId="77777777" w:rsidR="00E822F7" w:rsidRPr="00E45748" w:rsidRDefault="00E822F7" w:rsidP="00BF7307">
                  <w:pPr>
                    <w:jc w:val="center"/>
                    <w:rPr>
                      <w:rFonts w:eastAsia="Times New Roman" w:cs="Arial"/>
                      <w:b/>
                      <w:bCs/>
                      <w:color w:val="000000"/>
                      <w:sz w:val="20"/>
                      <w:szCs w:val="20"/>
                    </w:rPr>
                  </w:pPr>
                  <w:r>
                    <w:rPr>
                      <w:rFonts w:cs="Arial"/>
                      <w:b/>
                      <w:bCs/>
                      <w:color w:val="000000"/>
                      <w:sz w:val="20"/>
                      <w:szCs w:val="20"/>
                    </w:rPr>
                    <w:t>Period</w:t>
                  </w:r>
                </w:p>
              </w:tc>
              <w:tc>
                <w:tcPr>
                  <w:tcW w:w="2296" w:type="dxa"/>
                </w:tcPr>
                <w:p w14:paraId="3E16B8E6" w14:textId="6385F594" w:rsidR="00E822F7" w:rsidRDefault="00E822F7" w:rsidP="00BF7307">
                  <w:pPr>
                    <w:jc w:val="center"/>
                    <w:rPr>
                      <w:rFonts w:cs="Arial"/>
                      <w:b/>
                      <w:bCs/>
                      <w:color w:val="000000"/>
                      <w:sz w:val="20"/>
                      <w:szCs w:val="20"/>
                    </w:rPr>
                  </w:pPr>
                  <w:r>
                    <w:rPr>
                      <w:rFonts w:cs="Arial"/>
                      <w:b/>
                      <w:bCs/>
                      <w:color w:val="000000"/>
                      <w:sz w:val="20"/>
                      <w:szCs w:val="20"/>
                    </w:rPr>
                    <w:t>Duration</w:t>
                  </w:r>
                </w:p>
              </w:tc>
              <w:tc>
                <w:tcPr>
                  <w:tcW w:w="3374" w:type="dxa"/>
                  <w:hideMark/>
                </w:tcPr>
                <w:p w14:paraId="66880891" w14:textId="18BA4C88" w:rsidR="00E822F7" w:rsidRPr="00E45748" w:rsidRDefault="00E822F7" w:rsidP="00BF7307">
                  <w:pPr>
                    <w:jc w:val="center"/>
                    <w:rPr>
                      <w:rFonts w:eastAsia="Times New Roman" w:cs="Arial"/>
                      <w:b/>
                      <w:bCs/>
                      <w:color w:val="000000"/>
                      <w:sz w:val="20"/>
                      <w:szCs w:val="20"/>
                    </w:rPr>
                  </w:pPr>
                  <w:r>
                    <w:rPr>
                      <w:rFonts w:cs="Arial"/>
                      <w:b/>
                      <w:bCs/>
                      <w:color w:val="000000"/>
                      <w:sz w:val="20"/>
                      <w:szCs w:val="20"/>
                    </w:rPr>
                    <w:t>Xoserve Service Area</w:t>
                  </w:r>
                </w:p>
              </w:tc>
              <w:tc>
                <w:tcPr>
                  <w:tcW w:w="2765" w:type="dxa"/>
                  <w:hideMark/>
                </w:tcPr>
                <w:p w14:paraId="0BBDA2E2" w14:textId="7B7B0FBC" w:rsidR="00E822F7" w:rsidRPr="00E45748" w:rsidRDefault="003C4788" w:rsidP="00BF7307">
                  <w:pPr>
                    <w:jc w:val="center"/>
                    <w:rPr>
                      <w:rFonts w:eastAsia="Times New Roman" w:cs="Arial"/>
                      <w:b/>
                      <w:bCs/>
                      <w:color w:val="000000"/>
                      <w:sz w:val="20"/>
                      <w:szCs w:val="20"/>
                    </w:rPr>
                  </w:pPr>
                  <w:r>
                    <w:rPr>
                      <w:rFonts w:eastAsia="Times New Roman" w:cs="Arial"/>
                      <w:b/>
                      <w:bCs/>
                      <w:color w:val="000000"/>
                      <w:sz w:val="20"/>
                      <w:szCs w:val="20"/>
                    </w:rPr>
                    <w:t>Cost</w:t>
                  </w:r>
                </w:p>
              </w:tc>
            </w:tr>
            <w:tr w:rsidR="00E822F7" w:rsidRPr="00E45748" w14:paraId="30F50BEE" w14:textId="77777777" w:rsidTr="00B5694C">
              <w:trPr>
                <w:trHeight w:val="690"/>
              </w:trPr>
              <w:tc>
                <w:tcPr>
                  <w:tcW w:w="960" w:type="dxa"/>
                  <w:vAlign w:val="center"/>
                  <w:hideMark/>
                </w:tcPr>
                <w:p w14:paraId="03943200" w14:textId="12F53A0B" w:rsidR="00E822F7" w:rsidRPr="00E45748" w:rsidRDefault="00611649" w:rsidP="00611649">
                  <w:pPr>
                    <w:rPr>
                      <w:rFonts w:eastAsia="Times New Roman" w:cs="Arial"/>
                      <w:color w:val="000000"/>
                      <w:sz w:val="18"/>
                      <w:szCs w:val="18"/>
                    </w:rPr>
                  </w:pPr>
                  <w:r>
                    <w:rPr>
                      <w:rFonts w:cs="Arial"/>
                      <w:color w:val="000000"/>
                      <w:sz w:val="18"/>
                      <w:szCs w:val="18"/>
                    </w:rPr>
                    <w:t>Y</w:t>
                  </w:r>
                  <w:r w:rsidR="00E822F7">
                    <w:rPr>
                      <w:rFonts w:cs="Arial"/>
                      <w:color w:val="000000"/>
                      <w:sz w:val="18"/>
                      <w:szCs w:val="18"/>
                    </w:rPr>
                    <w:t>ear 2</w:t>
                  </w:r>
                </w:p>
              </w:tc>
              <w:tc>
                <w:tcPr>
                  <w:tcW w:w="2296" w:type="dxa"/>
                </w:tcPr>
                <w:p w14:paraId="44079CB7" w14:textId="77777777" w:rsidR="00611649" w:rsidRDefault="00611649" w:rsidP="00365BF3">
                  <w:pPr>
                    <w:jc w:val="center"/>
                    <w:rPr>
                      <w:rFonts w:cs="Arial"/>
                      <w:color w:val="000000"/>
                      <w:sz w:val="18"/>
                      <w:szCs w:val="18"/>
                    </w:rPr>
                  </w:pPr>
                </w:p>
                <w:p w14:paraId="747FA9AF" w14:textId="66991307" w:rsidR="00E822F7" w:rsidRDefault="003C4788" w:rsidP="00365BF3">
                  <w:pPr>
                    <w:jc w:val="center"/>
                    <w:rPr>
                      <w:rFonts w:cs="Arial"/>
                      <w:color w:val="000000"/>
                      <w:sz w:val="18"/>
                      <w:szCs w:val="18"/>
                    </w:rPr>
                  </w:pPr>
                  <w:r>
                    <w:rPr>
                      <w:rFonts w:cs="Arial"/>
                      <w:color w:val="000000"/>
                      <w:sz w:val="18"/>
                      <w:szCs w:val="18"/>
                    </w:rPr>
                    <w:t>A</w:t>
                  </w:r>
                  <w:r w:rsidR="00E822F7">
                    <w:rPr>
                      <w:rFonts w:cs="Arial"/>
                      <w:color w:val="000000"/>
                      <w:sz w:val="18"/>
                      <w:szCs w:val="18"/>
                    </w:rPr>
                    <w:t>pril 2021 – March 2022</w:t>
                  </w:r>
                </w:p>
              </w:tc>
              <w:tc>
                <w:tcPr>
                  <w:tcW w:w="3374" w:type="dxa"/>
                  <w:vAlign w:val="center"/>
                  <w:hideMark/>
                </w:tcPr>
                <w:p w14:paraId="5576FB4E" w14:textId="6D4002CC" w:rsidR="00E822F7" w:rsidRPr="00DD55C4" w:rsidRDefault="00F00E9C" w:rsidP="00365BF3">
                  <w:pPr>
                    <w:jc w:val="center"/>
                    <w:rPr>
                      <w:rFonts w:cs="Arial"/>
                      <w:color w:val="000000"/>
                      <w:sz w:val="18"/>
                      <w:szCs w:val="18"/>
                    </w:rPr>
                  </w:pPr>
                  <w:r>
                    <w:rPr>
                      <w:rFonts w:cs="Arial"/>
                      <w:color w:val="000000"/>
                      <w:sz w:val="18"/>
                      <w:szCs w:val="18"/>
                    </w:rPr>
                    <w:t xml:space="preserve">UK Link Tech Ops </w:t>
                  </w:r>
                  <w:r w:rsidR="00BF5796">
                    <w:rPr>
                      <w:rFonts w:cs="Arial"/>
                      <w:color w:val="000000"/>
                      <w:sz w:val="18"/>
                      <w:szCs w:val="18"/>
                    </w:rPr>
                    <w:t>M</w:t>
                  </w:r>
                  <w:r>
                    <w:rPr>
                      <w:rFonts w:cs="Arial"/>
                      <w:color w:val="000000"/>
                      <w:sz w:val="18"/>
                      <w:szCs w:val="18"/>
                    </w:rPr>
                    <w:t>TB Support</w:t>
                  </w:r>
                </w:p>
              </w:tc>
              <w:tc>
                <w:tcPr>
                  <w:tcW w:w="2765" w:type="dxa"/>
                  <w:vAlign w:val="center"/>
                  <w:hideMark/>
                </w:tcPr>
                <w:p w14:paraId="5093C038" w14:textId="40C735E6" w:rsidR="00E822F7" w:rsidRPr="00E45748" w:rsidRDefault="008D7A93" w:rsidP="008D7A93">
                  <w:pPr>
                    <w:jc w:val="center"/>
                    <w:rPr>
                      <w:rFonts w:eastAsia="Times New Roman" w:cs="Arial"/>
                      <w:color w:val="000000"/>
                      <w:sz w:val="18"/>
                      <w:szCs w:val="18"/>
                    </w:rPr>
                  </w:pPr>
                  <w:r>
                    <w:rPr>
                      <w:rFonts w:eastAsia="Times New Roman" w:cs="Arial"/>
                      <w:color w:val="000000"/>
                      <w:sz w:val="18"/>
                      <w:szCs w:val="18"/>
                    </w:rPr>
                    <w:t>£29,480</w:t>
                  </w:r>
                </w:p>
              </w:tc>
            </w:tr>
            <w:tr w:rsidR="00E822F7" w:rsidRPr="00E45748" w14:paraId="6774BFDE" w14:textId="77777777" w:rsidTr="00B5694C">
              <w:trPr>
                <w:trHeight w:val="290"/>
              </w:trPr>
              <w:tc>
                <w:tcPr>
                  <w:tcW w:w="960" w:type="dxa"/>
                  <w:vAlign w:val="center"/>
                  <w:hideMark/>
                </w:tcPr>
                <w:p w14:paraId="43D7748A" w14:textId="0C3B72EA" w:rsidR="00E822F7" w:rsidRPr="00E45748" w:rsidRDefault="00E822F7" w:rsidP="00611649">
                  <w:pPr>
                    <w:rPr>
                      <w:rFonts w:eastAsia="Times New Roman" w:cs="Arial"/>
                      <w:color w:val="000000"/>
                      <w:sz w:val="18"/>
                      <w:szCs w:val="18"/>
                    </w:rPr>
                  </w:pPr>
                  <w:r>
                    <w:rPr>
                      <w:rFonts w:cs="Arial"/>
                      <w:color w:val="000000"/>
                      <w:sz w:val="18"/>
                      <w:szCs w:val="18"/>
                    </w:rPr>
                    <w:t>Year 3</w:t>
                  </w:r>
                </w:p>
              </w:tc>
              <w:tc>
                <w:tcPr>
                  <w:tcW w:w="2296" w:type="dxa"/>
                </w:tcPr>
                <w:p w14:paraId="193B28D1" w14:textId="0CA6ECD8" w:rsidR="00E822F7" w:rsidRPr="004038F0" w:rsidRDefault="00E822F7" w:rsidP="00365BF3">
                  <w:pPr>
                    <w:jc w:val="center"/>
                    <w:rPr>
                      <w:rFonts w:cs="Arial"/>
                      <w:color w:val="000000"/>
                      <w:sz w:val="18"/>
                      <w:szCs w:val="18"/>
                    </w:rPr>
                  </w:pPr>
                  <w:r>
                    <w:rPr>
                      <w:rFonts w:cs="Arial"/>
                      <w:color w:val="000000"/>
                      <w:sz w:val="18"/>
                      <w:szCs w:val="18"/>
                    </w:rPr>
                    <w:t>April 2022 – Dec 202</w:t>
                  </w:r>
                  <w:r w:rsidR="00EE01C4">
                    <w:rPr>
                      <w:rFonts w:cs="Arial"/>
                      <w:color w:val="000000"/>
                      <w:sz w:val="18"/>
                      <w:szCs w:val="18"/>
                    </w:rPr>
                    <w:t>2</w:t>
                  </w:r>
                </w:p>
              </w:tc>
              <w:tc>
                <w:tcPr>
                  <w:tcW w:w="3374" w:type="dxa"/>
                  <w:vAlign w:val="center"/>
                  <w:hideMark/>
                </w:tcPr>
                <w:p w14:paraId="3B9EAC1F" w14:textId="75942A91" w:rsidR="00E822F7" w:rsidRPr="00DD55C4" w:rsidRDefault="00F00E9C" w:rsidP="00365BF3">
                  <w:pPr>
                    <w:jc w:val="center"/>
                    <w:rPr>
                      <w:rFonts w:cs="Arial"/>
                      <w:color w:val="000000"/>
                      <w:sz w:val="18"/>
                      <w:szCs w:val="18"/>
                    </w:rPr>
                  </w:pPr>
                  <w:r>
                    <w:rPr>
                      <w:rFonts w:cs="Arial"/>
                      <w:color w:val="000000"/>
                      <w:sz w:val="18"/>
                      <w:szCs w:val="18"/>
                    </w:rPr>
                    <w:t xml:space="preserve">UK Link Tech Ops </w:t>
                  </w:r>
                  <w:r w:rsidR="00BF5796">
                    <w:rPr>
                      <w:rFonts w:cs="Arial"/>
                      <w:color w:val="000000"/>
                      <w:sz w:val="18"/>
                      <w:szCs w:val="18"/>
                    </w:rPr>
                    <w:t>M</w:t>
                  </w:r>
                  <w:r>
                    <w:rPr>
                      <w:rFonts w:cs="Arial"/>
                      <w:color w:val="000000"/>
                      <w:sz w:val="18"/>
                      <w:szCs w:val="18"/>
                    </w:rPr>
                    <w:t>TB Support</w:t>
                  </w:r>
                </w:p>
              </w:tc>
              <w:tc>
                <w:tcPr>
                  <w:tcW w:w="2765" w:type="dxa"/>
                  <w:hideMark/>
                </w:tcPr>
                <w:p w14:paraId="513E00DF" w14:textId="42FD021F" w:rsidR="00E822F7" w:rsidRPr="00E45748" w:rsidRDefault="00C71AD2" w:rsidP="00BF7307">
                  <w:pPr>
                    <w:jc w:val="center"/>
                    <w:rPr>
                      <w:rFonts w:eastAsia="Times New Roman" w:cs="Arial"/>
                      <w:color w:val="000000"/>
                      <w:sz w:val="18"/>
                      <w:szCs w:val="18"/>
                    </w:rPr>
                  </w:pPr>
                  <w:r>
                    <w:rPr>
                      <w:rFonts w:eastAsia="Times New Roman" w:cs="Arial"/>
                      <w:color w:val="000000"/>
                      <w:sz w:val="18"/>
                      <w:szCs w:val="18"/>
                    </w:rPr>
                    <w:t>£8,712</w:t>
                  </w:r>
                </w:p>
              </w:tc>
            </w:tr>
          </w:tbl>
          <w:p w14:paraId="1672974D" w14:textId="18DEF0FB" w:rsidR="009404D0" w:rsidRPr="009404D0" w:rsidRDefault="009404D0" w:rsidP="00EA73B3">
            <w:pPr>
              <w:contextualSpacing/>
              <w:rPr>
                <w:rFonts w:eastAsia="Times New Roman" w:cs="Arial"/>
                <w:b/>
                <w:sz w:val="20"/>
                <w:szCs w:val="20"/>
              </w:rPr>
            </w:pPr>
          </w:p>
        </w:tc>
      </w:tr>
      <w:tr w:rsidR="00EA73B3" w:rsidRPr="00EA73B3" w14:paraId="3A67F60A" w14:textId="77777777" w:rsidTr="0A57A144">
        <w:tc>
          <w:tcPr>
            <w:tcW w:w="5000" w:type="pct"/>
            <w:gridSpan w:val="2"/>
            <w:tcBorders>
              <w:bottom w:val="single" w:sz="4" w:space="0" w:color="auto"/>
            </w:tcBorders>
            <w:shd w:val="clear" w:color="auto" w:fill="3E5AA8" w:themeFill="accent1"/>
            <w:vAlign w:val="center"/>
          </w:tcPr>
          <w:p w14:paraId="72C63EE6" w14:textId="77777777" w:rsidR="00EA73B3" w:rsidRPr="00EA73B3" w:rsidRDefault="00EA73B3" w:rsidP="00EA73B3">
            <w:pPr>
              <w:jc w:val="center"/>
              <w:rPr>
                <w:rFonts w:eastAsia="Times New Roman" w:cs="Arial"/>
                <w:b/>
                <w:color w:val="0070C0"/>
              </w:rPr>
            </w:pPr>
            <w:r w:rsidRPr="00EA73B3">
              <w:rPr>
                <w:rFonts w:eastAsia="Arial" w:cs="Arial"/>
                <w:b/>
                <w:color w:val="FFFFFF"/>
                <w:sz w:val="20"/>
                <w:lang w:eastAsia="en-US"/>
              </w:rPr>
              <w:t>Section 3: Provide a summary of any agreed scope changes</w:t>
            </w:r>
          </w:p>
        </w:tc>
      </w:tr>
      <w:tr w:rsidR="00EA73B3" w:rsidRPr="00EA73B3" w14:paraId="373C6975" w14:textId="77777777" w:rsidTr="0A57A144">
        <w:tc>
          <w:tcPr>
            <w:tcW w:w="5000" w:type="pct"/>
            <w:gridSpan w:val="2"/>
            <w:tcBorders>
              <w:bottom w:val="single" w:sz="4" w:space="0" w:color="auto"/>
            </w:tcBorders>
            <w:shd w:val="clear" w:color="auto" w:fill="FFFFFF" w:themeFill="background1"/>
            <w:vAlign w:val="center"/>
          </w:tcPr>
          <w:p w14:paraId="7B50030D" w14:textId="77777777" w:rsidR="00B278CD" w:rsidRDefault="0012123F" w:rsidP="0A57A144">
            <w:pPr>
              <w:spacing w:line="276" w:lineRule="auto"/>
              <w:contextualSpacing/>
              <w:rPr>
                <w:rFonts w:eastAsia="Times New Roman" w:cs="Arial"/>
                <w:sz w:val="20"/>
                <w:szCs w:val="20"/>
              </w:rPr>
            </w:pPr>
            <w:r>
              <w:rPr>
                <w:rFonts w:eastAsia="Times New Roman" w:cs="Arial"/>
                <w:sz w:val="20"/>
                <w:szCs w:val="20"/>
              </w:rPr>
              <w:t>During the delivery of XRN5110, the following change</w:t>
            </w:r>
            <w:r w:rsidR="00F53F15">
              <w:rPr>
                <w:rFonts w:eastAsia="Times New Roman" w:cs="Arial"/>
                <w:sz w:val="20"/>
                <w:szCs w:val="20"/>
              </w:rPr>
              <w:t xml:space="preserve">s of scope were </w:t>
            </w:r>
            <w:r w:rsidR="00B278CD">
              <w:rPr>
                <w:rFonts w:eastAsia="Times New Roman" w:cs="Arial"/>
                <w:sz w:val="20"/>
                <w:szCs w:val="20"/>
              </w:rPr>
              <w:t>raised:</w:t>
            </w:r>
          </w:p>
          <w:p w14:paraId="4596FD3F" w14:textId="77777777" w:rsidR="00B278CD" w:rsidRDefault="00B278CD" w:rsidP="0A57A144">
            <w:pPr>
              <w:spacing w:line="276" w:lineRule="auto"/>
              <w:contextualSpacing/>
              <w:rPr>
                <w:rFonts w:eastAsia="Times New Roman" w:cs="Arial"/>
                <w:sz w:val="20"/>
                <w:szCs w:val="20"/>
              </w:rPr>
            </w:pPr>
          </w:p>
          <w:p w14:paraId="0961F255" w14:textId="77777777" w:rsidR="00D53323" w:rsidRDefault="00B278CD" w:rsidP="00CA49A8">
            <w:pPr>
              <w:pStyle w:val="ListParagraph"/>
              <w:numPr>
                <w:ilvl w:val="0"/>
                <w:numId w:val="13"/>
              </w:numPr>
              <w:rPr>
                <w:rFonts w:eastAsia="Times New Roman" w:cs="Arial"/>
              </w:rPr>
            </w:pPr>
            <w:r>
              <w:rPr>
                <w:rFonts w:eastAsia="Times New Roman" w:cs="Arial"/>
              </w:rPr>
              <w:t xml:space="preserve">A </w:t>
            </w:r>
            <w:r w:rsidR="0012123F" w:rsidRPr="00B278CD">
              <w:rPr>
                <w:rFonts w:eastAsia="Times New Roman" w:cs="Arial"/>
              </w:rPr>
              <w:t xml:space="preserve"> change request was raised against XRN4897/99 to cover the Historical Cleanse exercise.</w:t>
            </w:r>
          </w:p>
          <w:p w14:paraId="3D554D0D" w14:textId="761A9987" w:rsidR="0012123F" w:rsidRPr="00B9045F" w:rsidRDefault="0012123F" w:rsidP="00D53323">
            <w:pPr>
              <w:rPr>
                <w:rFonts w:eastAsia="Times New Roman" w:cs="Arial"/>
                <w:sz w:val="20"/>
                <w:szCs w:val="20"/>
              </w:rPr>
            </w:pPr>
            <w:r w:rsidRPr="00B9045F">
              <w:rPr>
                <w:rFonts w:eastAsia="Times New Roman" w:cs="Arial"/>
                <w:sz w:val="20"/>
                <w:szCs w:val="20"/>
              </w:rPr>
              <w:t>The change request was</w:t>
            </w:r>
            <w:r w:rsidR="001F2A28">
              <w:rPr>
                <w:rFonts w:eastAsia="Times New Roman" w:cs="Arial"/>
                <w:sz w:val="20"/>
                <w:szCs w:val="20"/>
              </w:rPr>
              <w:t xml:space="preserve"> identified during PIS when </w:t>
            </w:r>
            <w:r w:rsidR="00AE289A" w:rsidRPr="00B9045F">
              <w:rPr>
                <w:rFonts w:eastAsia="Times New Roman" w:cs="Arial"/>
                <w:sz w:val="20"/>
                <w:szCs w:val="20"/>
              </w:rPr>
              <w:t xml:space="preserve">it was discovered </w:t>
            </w:r>
            <w:r w:rsidR="00B9045F">
              <w:rPr>
                <w:rFonts w:eastAsia="Times New Roman" w:cs="Arial"/>
                <w:sz w:val="20"/>
                <w:szCs w:val="20"/>
              </w:rPr>
              <w:t>that some contact d</w:t>
            </w:r>
            <w:r w:rsidR="00EC4D7E">
              <w:rPr>
                <w:rFonts w:eastAsia="Times New Roman" w:cs="Arial"/>
                <w:sz w:val="20"/>
                <w:szCs w:val="20"/>
              </w:rPr>
              <w:t xml:space="preserve">ata </w:t>
            </w:r>
            <w:r w:rsidR="00977925">
              <w:rPr>
                <w:rFonts w:eastAsia="Times New Roman" w:cs="Arial"/>
                <w:sz w:val="20"/>
                <w:szCs w:val="20"/>
              </w:rPr>
              <w:t xml:space="preserve">that should have been cleansed was being retained and data </w:t>
            </w:r>
            <w:r w:rsidR="009F34C0">
              <w:rPr>
                <w:rFonts w:eastAsia="Times New Roman" w:cs="Arial"/>
                <w:sz w:val="20"/>
                <w:szCs w:val="20"/>
              </w:rPr>
              <w:t xml:space="preserve">that should have been retained was being cleansed. </w:t>
            </w:r>
            <w:r w:rsidR="00D4721C">
              <w:rPr>
                <w:rFonts w:eastAsia="Times New Roman" w:cs="Arial"/>
                <w:sz w:val="20"/>
                <w:szCs w:val="20"/>
              </w:rPr>
              <w:t xml:space="preserve">The cost of the change was £57k and an additional </w:t>
            </w:r>
            <w:r w:rsidR="00D726EB">
              <w:rPr>
                <w:rFonts w:eastAsia="Times New Roman" w:cs="Arial"/>
                <w:sz w:val="20"/>
                <w:szCs w:val="20"/>
              </w:rPr>
              <w:t>£34k from the ChMC</w:t>
            </w:r>
            <w:r w:rsidR="008B471A">
              <w:rPr>
                <w:rFonts w:eastAsia="Times New Roman" w:cs="Arial"/>
                <w:sz w:val="20"/>
                <w:szCs w:val="20"/>
              </w:rPr>
              <w:t xml:space="preserve"> </w:t>
            </w:r>
            <w:r w:rsidR="0008779E">
              <w:rPr>
                <w:rFonts w:eastAsia="Times New Roman" w:cs="Arial"/>
                <w:sz w:val="20"/>
                <w:szCs w:val="20"/>
              </w:rPr>
              <w:t xml:space="preserve">was required </w:t>
            </w:r>
            <w:r w:rsidR="00D726EB">
              <w:rPr>
                <w:rFonts w:eastAsia="Times New Roman" w:cs="Arial"/>
                <w:sz w:val="20"/>
                <w:szCs w:val="20"/>
              </w:rPr>
              <w:t>to cover the shortfall</w:t>
            </w:r>
            <w:r w:rsidR="008B471A">
              <w:rPr>
                <w:rFonts w:eastAsia="Times New Roman" w:cs="Arial"/>
                <w:sz w:val="20"/>
                <w:szCs w:val="20"/>
              </w:rPr>
              <w:t xml:space="preserve">. The additional funds were </w:t>
            </w:r>
            <w:r w:rsidR="00A577EC">
              <w:rPr>
                <w:rFonts w:eastAsia="Times New Roman" w:cs="Arial"/>
                <w:sz w:val="20"/>
                <w:szCs w:val="20"/>
              </w:rPr>
              <w:t xml:space="preserve">approved by </w:t>
            </w:r>
            <w:r w:rsidR="001C286B">
              <w:rPr>
                <w:rFonts w:eastAsia="Times New Roman" w:cs="Arial"/>
                <w:sz w:val="20"/>
                <w:szCs w:val="20"/>
              </w:rPr>
              <w:t>Emergen</w:t>
            </w:r>
            <w:r w:rsidR="00BB1CC0">
              <w:rPr>
                <w:rFonts w:eastAsia="Times New Roman" w:cs="Arial"/>
                <w:sz w:val="20"/>
                <w:szCs w:val="20"/>
              </w:rPr>
              <w:t xml:space="preserve">cy </w:t>
            </w:r>
            <w:r w:rsidR="00A577EC">
              <w:rPr>
                <w:rFonts w:eastAsia="Times New Roman" w:cs="Arial"/>
                <w:sz w:val="20"/>
                <w:szCs w:val="20"/>
              </w:rPr>
              <w:t>ChMC on 29</w:t>
            </w:r>
            <w:r w:rsidR="00C95E3B" w:rsidRPr="00C95E3B">
              <w:rPr>
                <w:rFonts w:eastAsia="Times New Roman" w:cs="Arial"/>
                <w:sz w:val="20"/>
                <w:szCs w:val="20"/>
                <w:vertAlign w:val="superscript"/>
              </w:rPr>
              <w:t>th</w:t>
            </w:r>
            <w:r w:rsidR="00C95E3B">
              <w:rPr>
                <w:rFonts w:eastAsia="Times New Roman" w:cs="Arial"/>
                <w:sz w:val="20"/>
                <w:szCs w:val="20"/>
              </w:rPr>
              <w:t xml:space="preserve"> </w:t>
            </w:r>
            <w:r w:rsidR="00A577EC">
              <w:rPr>
                <w:rFonts w:eastAsia="Times New Roman" w:cs="Arial"/>
                <w:sz w:val="20"/>
                <w:szCs w:val="20"/>
              </w:rPr>
              <w:t>January 2021</w:t>
            </w:r>
            <w:r w:rsidR="0008779E">
              <w:rPr>
                <w:rFonts w:eastAsia="Times New Roman" w:cs="Arial"/>
                <w:sz w:val="20"/>
                <w:szCs w:val="20"/>
              </w:rPr>
              <w:t>, and were specifically allocated against Shippers</w:t>
            </w:r>
          </w:p>
          <w:p w14:paraId="340214FD" w14:textId="77777777" w:rsidR="0012123F" w:rsidRDefault="0012123F" w:rsidP="0A57A144">
            <w:pPr>
              <w:spacing w:line="276" w:lineRule="auto"/>
              <w:contextualSpacing/>
              <w:rPr>
                <w:rFonts w:eastAsia="Times New Roman" w:cs="Arial"/>
                <w:sz w:val="20"/>
                <w:szCs w:val="20"/>
              </w:rPr>
            </w:pPr>
          </w:p>
          <w:p w14:paraId="2E7CC722" w14:textId="083FE4B2" w:rsidR="00EA73B3" w:rsidRDefault="00173B67" w:rsidP="0A57A144">
            <w:pPr>
              <w:spacing w:line="276" w:lineRule="auto"/>
              <w:contextualSpacing/>
              <w:rPr>
                <w:rFonts w:eastAsia="Times New Roman" w:cs="Arial"/>
                <w:sz w:val="20"/>
                <w:szCs w:val="20"/>
              </w:rPr>
            </w:pPr>
            <w:r>
              <w:rPr>
                <w:rFonts w:eastAsia="Times New Roman" w:cs="Arial"/>
                <w:sz w:val="20"/>
                <w:szCs w:val="20"/>
              </w:rPr>
              <w:t>During the delivery of XRN5110 the following</w:t>
            </w:r>
            <w:r w:rsidR="00BD27C5">
              <w:rPr>
                <w:rFonts w:eastAsia="Times New Roman" w:cs="Arial"/>
                <w:sz w:val="20"/>
                <w:szCs w:val="20"/>
              </w:rPr>
              <w:t xml:space="preserve"> </w:t>
            </w:r>
            <w:r>
              <w:rPr>
                <w:rFonts w:eastAsia="Times New Roman" w:cs="Arial"/>
                <w:sz w:val="20"/>
                <w:szCs w:val="20"/>
              </w:rPr>
              <w:t>changes were de-</w:t>
            </w:r>
            <w:r w:rsidR="00CC7F7E">
              <w:rPr>
                <w:rFonts w:eastAsia="Times New Roman" w:cs="Arial"/>
                <w:sz w:val="20"/>
                <w:szCs w:val="20"/>
              </w:rPr>
              <w:t>scoped</w:t>
            </w:r>
            <w:r w:rsidR="004D6E05">
              <w:rPr>
                <w:rFonts w:eastAsia="Times New Roman" w:cs="Arial"/>
                <w:sz w:val="20"/>
                <w:szCs w:val="20"/>
              </w:rPr>
              <w:t>:</w:t>
            </w:r>
          </w:p>
          <w:p w14:paraId="308833C2" w14:textId="74365950" w:rsidR="00173B67" w:rsidRDefault="00173B67" w:rsidP="0A57A144">
            <w:pPr>
              <w:spacing w:line="276" w:lineRule="auto"/>
              <w:contextualSpacing/>
              <w:rPr>
                <w:rFonts w:eastAsia="Times New Roman" w:cs="Arial"/>
                <w:sz w:val="20"/>
                <w:szCs w:val="20"/>
              </w:rPr>
            </w:pPr>
          </w:p>
          <w:p w14:paraId="640D48F9" w14:textId="41589B00" w:rsidR="00173B67" w:rsidRDefault="00173B67" w:rsidP="00194E46">
            <w:pPr>
              <w:pStyle w:val="ListParagraph"/>
              <w:numPr>
                <w:ilvl w:val="0"/>
                <w:numId w:val="13"/>
              </w:numPr>
              <w:rPr>
                <w:rFonts w:eastAsia="Times New Roman" w:cs="Arial"/>
              </w:rPr>
            </w:pPr>
            <w:r>
              <w:rPr>
                <w:rFonts w:eastAsia="Times New Roman" w:cs="Arial"/>
              </w:rPr>
              <w:t>XRN4931 Submission of a Space in Mandatory Data on Multiple SPA Files</w:t>
            </w:r>
          </w:p>
          <w:p w14:paraId="7F3F2ED4" w14:textId="490A7AE0" w:rsidR="0012123F" w:rsidRDefault="0012123F" w:rsidP="00194E46">
            <w:pPr>
              <w:pStyle w:val="ListParagraph"/>
              <w:numPr>
                <w:ilvl w:val="0"/>
                <w:numId w:val="13"/>
              </w:numPr>
              <w:rPr>
                <w:rFonts w:eastAsia="Times New Roman" w:cs="Arial"/>
              </w:rPr>
            </w:pPr>
            <w:r>
              <w:rPr>
                <w:rFonts w:eastAsia="Times New Roman" w:cs="Arial"/>
              </w:rPr>
              <w:t>XRN4941 MOD 692 – Auto Updates to Read Frequency</w:t>
            </w:r>
          </w:p>
          <w:p w14:paraId="3218CA67" w14:textId="00D92139" w:rsidR="0012123F" w:rsidRDefault="0012123F" w:rsidP="00194E46">
            <w:pPr>
              <w:pStyle w:val="ListParagraph"/>
              <w:numPr>
                <w:ilvl w:val="0"/>
                <w:numId w:val="13"/>
              </w:numPr>
              <w:rPr>
                <w:rFonts w:eastAsia="Times New Roman" w:cs="Arial"/>
              </w:rPr>
            </w:pPr>
            <w:r>
              <w:rPr>
                <w:rFonts w:eastAsia="Times New Roman" w:cs="Arial"/>
              </w:rPr>
              <w:t>XRN4992 Supplier of Last Resort Charge Types</w:t>
            </w:r>
          </w:p>
          <w:p w14:paraId="24DC436D" w14:textId="657D0891" w:rsidR="0012123F" w:rsidRDefault="0012123F" w:rsidP="0012123F">
            <w:pPr>
              <w:rPr>
                <w:rFonts w:eastAsia="Times New Roman" w:cs="Arial"/>
                <w:sz w:val="20"/>
                <w:szCs w:val="20"/>
              </w:rPr>
            </w:pPr>
          </w:p>
          <w:p w14:paraId="08BE7F4B" w14:textId="651834C2" w:rsidR="007421C0" w:rsidRPr="007421C0" w:rsidRDefault="007421C0" w:rsidP="0012123F">
            <w:pPr>
              <w:rPr>
                <w:rFonts w:eastAsia="Times New Roman" w:cs="Arial"/>
                <w:sz w:val="20"/>
                <w:szCs w:val="20"/>
              </w:rPr>
            </w:pPr>
            <w:r>
              <w:rPr>
                <w:rFonts w:eastAsia="Times New Roman" w:cs="Arial"/>
                <w:sz w:val="20"/>
                <w:szCs w:val="20"/>
              </w:rPr>
              <w:t>XRN</w:t>
            </w:r>
            <w:r w:rsidR="006116A8">
              <w:rPr>
                <w:rFonts w:eastAsia="Times New Roman" w:cs="Arial"/>
                <w:sz w:val="20"/>
                <w:szCs w:val="20"/>
              </w:rPr>
              <w:t>4931 was descoped in October 20</w:t>
            </w:r>
            <w:r w:rsidR="00BB1CC0">
              <w:rPr>
                <w:rFonts w:eastAsia="Times New Roman" w:cs="Arial"/>
                <w:sz w:val="20"/>
                <w:szCs w:val="20"/>
              </w:rPr>
              <w:t>20</w:t>
            </w:r>
            <w:r w:rsidR="006116A8">
              <w:rPr>
                <w:rFonts w:eastAsia="Times New Roman" w:cs="Arial"/>
                <w:sz w:val="20"/>
                <w:szCs w:val="20"/>
              </w:rPr>
              <w:t xml:space="preserve"> and XRN4941 and XRN</w:t>
            </w:r>
            <w:r w:rsidR="00684789">
              <w:rPr>
                <w:rFonts w:eastAsia="Times New Roman" w:cs="Arial"/>
                <w:sz w:val="20"/>
                <w:szCs w:val="20"/>
              </w:rPr>
              <w:t xml:space="preserve">4992 </w:t>
            </w:r>
            <w:r w:rsidR="00E0417A">
              <w:rPr>
                <w:rFonts w:eastAsia="Times New Roman" w:cs="Arial"/>
                <w:sz w:val="20"/>
                <w:szCs w:val="20"/>
              </w:rPr>
              <w:t>were de-scoped during Design</w:t>
            </w:r>
          </w:p>
          <w:p w14:paraId="259A6FB0" w14:textId="77777777" w:rsidR="007421C0" w:rsidRDefault="007421C0" w:rsidP="0012123F">
            <w:pPr>
              <w:rPr>
                <w:rFonts w:eastAsia="Times New Roman" w:cs="Arial"/>
              </w:rPr>
            </w:pPr>
          </w:p>
          <w:p w14:paraId="5D2BCCD7" w14:textId="31AE6E40" w:rsidR="0012123F" w:rsidRPr="00870BA1" w:rsidRDefault="00316050" w:rsidP="0012123F">
            <w:pPr>
              <w:rPr>
                <w:rFonts w:eastAsia="Times New Roman" w:cs="Arial"/>
                <w:sz w:val="20"/>
                <w:szCs w:val="20"/>
              </w:rPr>
            </w:pPr>
            <w:r>
              <w:rPr>
                <w:rFonts w:eastAsia="Times New Roman" w:cs="Arial"/>
                <w:sz w:val="20"/>
                <w:szCs w:val="20"/>
              </w:rPr>
              <w:t xml:space="preserve">During the delivery of </w:t>
            </w:r>
            <w:r w:rsidR="00C913DC">
              <w:rPr>
                <w:rFonts w:eastAsia="Times New Roman" w:cs="Arial"/>
                <w:sz w:val="20"/>
                <w:szCs w:val="20"/>
              </w:rPr>
              <w:t xml:space="preserve">XRN5110 the </w:t>
            </w:r>
            <w:r w:rsidR="0012123F" w:rsidRPr="00870BA1">
              <w:rPr>
                <w:rFonts w:eastAsia="Times New Roman" w:cs="Arial"/>
                <w:sz w:val="20"/>
                <w:szCs w:val="20"/>
              </w:rPr>
              <w:t>following change was moved to CSSC:</w:t>
            </w:r>
          </w:p>
          <w:p w14:paraId="30952F5F" w14:textId="77777777" w:rsidR="0012123F" w:rsidRDefault="0012123F" w:rsidP="0012123F">
            <w:pPr>
              <w:rPr>
                <w:rFonts w:eastAsia="Times New Roman" w:cs="Arial"/>
              </w:rPr>
            </w:pPr>
          </w:p>
          <w:p w14:paraId="0A7F13C2" w14:textId="4B5CB693" w:rsidR="0012123F" w:rsidRPr="0012123F" w:rsidRDefault="0012123F" w:rsidP="00C913DC">
            <w:pPr>
              <w:pStyle w:val="ListParagraph"/>
              <w:numPr>
                <w:ilvl w:val="0"/>
                <w:numId w:val="15"/>
              </w:numPr>
              <w:rPr>
                <w:rFonts w:eastAsia="Times New Roman" w:cs="Arial"/>
              </w:rPr>
            </w:pPr>
            <w:r>
              <w:rPr>
                <w:rFonts w:eastAsia="Times New Roman" w:cs="Arial"/>
              </w:rPr>
              <w:t>XRN4870c MAP ID</w:t>
            </w:r>
          </w:p>
          <w:p w14:paraId="418D06A9" w14:textId="77777777" w:rsidR="00173B67" w:rsidRDefault="00173B67" w:rsidP="0A57A144">
            <w:pPr>
              <w:spacing w:line="276" w:lineRule="auto"/>
              <w:contextualSpacing/>
              <w:rPr>
                <w:rFonts w:eastAsia="Times New Roman" w:cs="Arial"/>
                <w:sz w:val="20"/>
                <w:szCs w:val="20"/>
              </w:rPr>
            </w:pPr>
          </w:p>
          <w:p w14:paraId="4156BA78" w14:textId="5E98BE87" w:rsidR="00C5317A" w:rsidRPr="00EA73B3" w:rsidRDefault="00C5317A" w:rsidP="0A57A144">
            <w:pPr>
              <w:spacing w:line="276" w:lineRule="auto"/>
              <w:contextualSpacing/>
              <w:rPr>
                <w:rFonts w:eastAsia="Times New Roman" w:cs="Arial"/>
                <w:sz w:val="20"/>
                <w:szCs w:val="20"/>
              </w:rPr>
            </w:pPr>
          </w:p>
        </w:tc>
      </w:tr>
      <w:tr w:rsidR="00EA73B3" w:rsidRPr="00EA73B3" w14:paraId="44DCE113" w14:textId="77777777" w:rsidTr="0A57A144">
        <w:tc>
          <w:tcPr>
            <w:tcW w:w="5000" w:type="pct"/>
            <w:gridSpan w:val="2"/>
            <w:shd w:val="clear" w:color="auto" w:fill="3E5AA8" w:themeFill="accent1"/>
            <w:vAlign w:val="center"/>
          </w:tcPr>
          <w:p w14:paraId="23A67B82" w14:textId="77777777" w:rsidR="00EA73B3" w:rsidRPr="00EA73B3" w:rsidRDefault="00EA73B3" w:rsidP="00EA73B3">
            <w:pPr>
              <w:jc w:val="center"/>
              <w:rPr>
                <w:rFonts w:eastAsia="Times New Roman" w:cs="Arial"/>
                <w:b/>
                <w:color w:val="FFFFFF"/>
                <w:szCs w:val="16"/>
              </w:rPr>
            </w:pPr>
            <w:r w:rsidRPr="00EA73B3">
              <w:rPr>
                <w:rFonts w:eastAsia="Arial" w:cs="Arial"/>
                <w:b/>
                <w:color w:val="FFFFFF"/>
                <w:sz w:val="20"/>
                <w:lang w:eastAsia="en-US"/>
              </w:rPr>
              <w:t>Section 4: Detail any changes to the Xoserve Service Description</w:t>
            </w:r>
          </w:p>
        </w:tc>
      </w:tr>
      <w:tr w:rsidR="00EA73B3" w:rsidRPr="00EA73B3" w14:paraId="7B78493D" w14:textId="77777777" w:rsidTr="0A57A144">
        <w:tc>
          <w:tcPr>
            <w:tcW w:w="5000" w:type="pct"/>
            <w:gridSpan w:val="2"/>
            <w:shd w:val="clear" w:color="auto" w:fill="auto"/>
          </w:tcPr>
          <w:p w14:paraId="603AB352" w14:textId="77777777" w:rsidR="00EA73B3" w:rsidRDefault="001717DB" w:rsidP="00195A39">
            <w:pPr>
              <w:rPr>
                <w:rFonts w:eastAsia="Times New Roman" w:cs="Arial"/>
                <w:sz w:val="20"/>
                <w:szCs w:val="16"/>
              </w:rPr>
            </w:pPr>
            <w:r>
              <w:rPr>
                <w:rFonts w:eastAsia="Times New Roman" w:cs="Arial"/>
                <w:sz w:val="20"/>
                <w:szCs w:val="16"/>
              </w:rPr>
              <w:t xml:space="preserve">There are not changes to the </w:t>
            </w:r>
            <w:r w:rsidR="001D7626">
              <w:rPr>
                <w:rFonts w:eastAsia="Times New Roman" w:cs="Arial"/>
                <w:sz w:val="20"/>
                <w:szCs w:val="16"/>
              </w:rPr>
              <w:t xml:space="preserve">Xoserve </w:t>
            </w:r>
            <w:r w:rsidR="006C514B">
              <w:rPr>
                <w:rFonts w:eastAsia="Times New Roman" w:cs="Arial"/>
                <w:sz w:val="20"/>
                <w:szCs w:val="16"/>
              </w:rPr>
              <w:t xml:space="preserve">Service </w:t>
            </w:r>
            <w:r w:rsidR="00DD7096">
              <w:rPr>
                <w:rFonts w:eastAsia="Times New Roman" w:cs="Arial"/>
                <w:sz w:val="20"/>
                <w:szCs w:val="16"/>
              </w:rPr>
              <w:t xml:space="preserve">Description </w:t>
            </w:r>
            <w:r w:rsidR="0095727B">
              <w:rPr>
                <w:rFonts w:eastAsia="Times New Roman" w:cs="Arial"/>
                <w:sz w:val="20"/>
                <w:szCs w:val="16"/>
              </w:rPr>
              <w:t xml:space="preserve">as part of the Nov 20 </w:t>
            </w:r>
            <w:r w:rsidR="00EC13E8">
              <w:rPr>
                <w:rFonts w:eastAsia="Times New Roman" w:cs="Arial"/>
                <w:sz w:val="20"/>
                <w:szCs w:val="16"/>
              </w:rPr>
              <w:t>release</w:t>
            </w:r>
          </w:p>
          <w:p w14:paraId="20D2C75C" w14:textId="77777777" w:rsidR="00415C72" w:rsidRDefault="00415C72" w:rsidP="00195A39">
            <w:pPr>
              <w:rPr>
                <w:rFonts w:eastAsia="Times New Roman" w:cs="Arial"/>
                <w:sz w:val="20"/>
                <w:szCs w:val="16"/>
              </w:rPr>
            </w:pPr>
          </w:p>
          <w:p w14:paraId="46992048" w14:textId="46FE320C" w:rsidR="00415C72" w:rsidRPr="001717DB" w:rsidRDefault="00415C72" w:rsidP="00195A39">
            <w:pPr>
              <w:rPr>
                <w:rFonts w:eastAsia="Times New Roman" w:cs="Arial"/>
                <w:sz w:val="20"/>
                <w:szCs w:val="16"/>
              </w:rPr>
            </w:pPr>
          </w:p>
        </w:tc>
      </w:tr>
      <w:tr w:rsidR="00EA73B3" w:rsidRPr="00EA73B3" w14:paraId="6EF7276F" w14:textId="77777777" w:rsidTr="0A57A144">
        <w:tc>
          <w:tcPr>
            <w:tcW w:w="5000" w:type="pct"/>
            <w:gridSpan w:val="2"/>
            <w:shd w:val="clear" w:color="auto" w:fill="3E5AA8" w:themeFill="accent1"/>
            <w:vAlign w:val="center"/>
          </w:tcPr>
          <w:p w14:paraId="509E9641" w14:textId="77777777" w:rsidR="00EA73B3" w:rsidRPr="00EA73B3" w:rsidRDefault="00EA73B3" w:rsidP="00EA73B3">
            <w:pPr>
              <w:jc w:val="center"/>
              <w:rPr>
                <w:rFonts w:eastAsia="Times New Roman" w:cs="Arial"/>
                <w:b/>
                <w:color w:val="FFFFFF"/>
                <w:szCs w:val="16"/>
              </w:rPr>
            </w:pPr>
            <w:r w:rsidRPr="00EA73B3">
              <w:rPr>
                <w:rFonts w:eastAsia="Arial" w:cs="Arial"/>
                <w:b/>
                <w:color w:val="FFFFFF"/>
                <w:sz w:val="20"/>
                <w:lang w:eastAsia="en-US"/>
              </w:rPr>
              <w:t>Section 5: Provide details of any revisions to the text of the UK Link Manual</w:t>
            </w:r>
          </w:p>
        </w:tc>
      </w:tr>
      <w:tr w:rsidR="00EA73B3" w:rsidRPr="00EA73B3" w14:paraId="083A4EDD" w14:textId="77777777" w:rsidTr="0A57A144">
        <w:tc>
          <w:tcPr>
            <w:tcW w:w="5000" w:type="pct"/>
            <w:gridSpan w:val="2"/>
            <w:shd w:val="clear" w:color="auto" w:fill="auto"/>
          </w:tcPr>
          <w:p w14:paraId="3FA7DCD2" w14:textId="77777777" w:rsidR="00EA73B3" w:rsidRDefault="008436D9" w:rsidP="00BE6A27">
            <w:pPr>
              <w:pStyle w:val="ListParagraph"/>
              <w:ind w:left="0"/>
              <w:rPr>
                <w:rFonts w:cs="Arial"/>
              </w:rPr>
            </w:pPr>
            <w:r>
              <w:rPr>
                <w:rFonts w:cs="Arial"/>
              </w:rPr>
              <w:t>As part of the delivery of XRN4897/</w:t>
            </w:r>
            <w:r w:rsidR="004E2EBA">
              <w:rPr>
                <w:rFonts w:cs="Arial"/>
              </w:rPr>
              <w:t xml:space="preserve">XRN4899 </w:t>
            </w:r>
            <w:r w:rsidR="00293C16">
              <w:rPr>
                <w:rFonts w:cs="Arial"/>
              </w:rPr>
              <w:t>amendments were required to</w:t>
            </w:r>
            <w:r w:rsidR="00864B35">
              <w:rPr>
                <w:rFonts w:cs="Arial"/>
              </w:rPr>
              <w:t xml:space="preserve"> Section 2</w:t>
            </w:r>
            <w:r w:rsidR="000201D4">
              <w:rPr>
                <w:rFonts w:cs="Arial"/>
              </w:rPr>
              <w:t xml:space="preserve"> -</w:t>
            </w:r>
            <w:r w:rsidR="00864B35">
              <w:rPr>
                <w:rFonts w:cs="Arial"/>
              </w:rPr>
              <w:t xml:space="preserve"> </w:t>
            </w:r>
            <w:r w:rsidR="007F4F7F">
              <w:rPr>
                <w:rFonts w:cs="Arial"/>
              </w:rPr>
              <w:t xml:space="preserve">Retention Schedule </w:t>
            </w:r>
            <w:r w:rsidR="001A74B3">
              <w:rPr>
                <w:rFonts w:cs="Arial"/>
              </w:rPr>
              <w:t xml:space="preserve">of the </w:t>
            </w:r>
            <w:r w:rsidR="00425FD5">
              <w:rPr>
                <w:rFonts w:cs="Arial"/>
              </w:rPr>
              <w:t xml:space="preserve">CDSP </w:t>
            </w:r>
            <w:r w:rsidR="00362582">
              <w:rPr>
                <w:rFonts w:cs="Arial"/>
              </w:rPr>
              <w:t xml:space="preserve">Retention Policy </w:t>
            </w:r>
            <w:r w:rsidR="00820426">
              <w:rPr>
                <w:rFonts w:cs="Arial"/>
              </w:rPr>
              <w:t>document</w:t>
            </w:r>
            <w:r w:rsidR="00F5698B">
              <w:rPr>
                <w:rFonts w:cs="Arial"/>
              </w:rPr>
              <w:t xml:space="preserve">, </w:t>
            </w:r>
            <w:r w:rsidR="00F5698B" w:rsidRPr="00A250AC">
              <w:rPr>
                <w:rFonts w:cs="Arial"/>
                <w:b/>
              </w:rPr>
              <w:t>UKL</w:t>
            </w:r>
            <w:r w:rsidR="003F0021" w:rsidRPr="00A250AC">
              <w:rPr>
                <w:rFonts w:cs="Arial"/>
                <w:b/>
              </w:rPr>
              <w:t>CD2</w:t>
            </w:r>
            <w:r w:rsidR="0027097A" w:rsidRPr="00A250AC">
              <w:rPr>
                <w:rFonts w:cs="Arial"/>
                <w:b/>
              </w:rPr>
              <w:t>-</w:t>
            </w:r>
            <w:r w:rsidR="0005124B" w:rsidRPr="00A250AC">
              <w:rPr>
                <w:rFonts w:cs="Arial"/>
                <w:b/>
              </w:rPr>
              <w:t>CDSP</w:t>
            </w:r>
            <w:r w:rsidR="00A250AC" w:rsidRPr="00A250AC">
              <w:rPr>
                <w:rFonts w:cs="Arial"/>
                <w:b/>
              </w:rPr>
              <w:t xml:space="preserve"> Retention Policy</w:t>
            </w:r>
            <w:r w:rsidR="00B53EAC">
              <w:rPr>
                <w:rFonts w:cs="Arial"/>
              </w:rPr>
              <w:t xml:space="preserve">. </w:t>
            </w:r>
            <w:r w:rsidR="00DC5CFC">
              <w:rPr>
                <w:rFonts w:cs="Arial"/>
              </w:rPr>
              <w:t xml:space="preserve">Changes were made to </w:t>
            </w:r>
            <w:r w:rsidR="00082526">
              <w:rPr>
                <w:rFonts w:cs="Arial"/>
              </w:rPr>
              <w:t xml:space="preserve">Contact Details </w:t>
            </w:r>
            <w:r w:rsidR="00D51808">
              <w:rPr>
                <w:rFonts w:cs="Arial"/>
              </w:rPr>
              <w:t>description</w:t>
            </w:r>
            <w:r w:rsidR="00EB45A1">
              <w:rPr>
                <w:rFonts w:cs="Arial"/>
              </w:rPr>
              <w:t>.</w:t>
            </w:r>
          </w:p>
          <w:p w14:paraId="17F187CC" w14:textId="77777777" w:rsidR="00415C72" w:rsidRDefault="00415C72" w:rsidP="00BE6A27">
            <w:pPr>
              <w:pStyle w:val="ListParagraph"/>
              <w:ind w:left="0"/>
              <w:rPr>
                <w:rFonts w:cs="Arial"/>
              </w:rPr>
            </w:pPr>
          </w:p>
          <w:p w14:paraId="1AB0B5C7" w14:textId="25CF2CAC" w:rsidR="00415C72" w:rsidRPr="00BE6A27" w:rsidRDefault="00415C72" w:rsidP="00BE6A27">
            <w:pPr>
              <w:pStyle w:val="ListParagraph"/>
              <w:ind w:left="0"/>
              <w:rPr>
                <w:rFonts w:cs="Arial"/>
              </w:rPr>
            </w:pPr>
          </w:p>
        </w:tc>
      </w:tr>
      <w:tr w:rsidR="00EA73B3" w:rsidRPr="00EA73B3" w14:paraId="7D853ABD" w14:textId="77777777" w:rsidTr="0A57A144">
        <w:tc>
          <w:tcPr>
            <w:tcW w:w="5000" w:type="pct"/>
            <w:gridSpan w:val="2"/>
            <w:shd w:val="clear" w:color="auto" w:fill="3E5AA8" w:themeFill="accent1"/>
            <w:vAlign w:val="center"/>
          </w:tcPr>
          <w:p w14:paraId="3FF03745" w14:textId="77777777" w:rsidR="00EA73B3" w:rsidRPr="00EA73B3" w:rsidRDefault="00EA73B3" w:rsidP="00EA73B3">
            <w:pPr>
              <w:jc w:val="center"/>
              <w:rPr>
                <w:rFonts w:eastAsia="Times New Roman" w:cs="Arial"/>
                <w:b/>
                <w:color w:val="0070C0"/>
              </w:rPr>
            </w:pPr>
            <w:r w:rsidRPr="00EA73B3">
              <w:rPr>
                <w:rFonts w:eastAsia="Arial" w:cs="Arial"/>
                <w:b/>
                <w:color w:val="FFFFFF"/>
                <w:sz w:val="20"/>
                <w:lang w:eastAsia="en-US"/>
              </w:rPr>
              <w:t>Section 6: Lessons Learnt</w:t>
            </w:r>
          </w:p>
        </w:tc>
      </w:tr>
      <w:tr w:rsidR="00EA73B3" w:rsidRPr="00EA73B3" w14:paraId="495C3462" w14:textId="77777777" w:rsidTr="0A57A144">
        <w:tc>
          <w:tcPr>
            <w:tcW w:w="5000" w:type="pct"/>
            <w:gridSpan w:val="2"/>
            <w:shd w:val="clear" w:color="auto" w:fill="auto"/>
          </w:tcPr>
          <w:p w14:paraId="668B465A" w14:textId="6AA6F6BC" w:rsidR="00CD32CB" w:rsidRPr="00DB55CC" w:rsidRDefault="00E2349B" w:rsidP="00DB55CC">
            <w:pPr>
              <w:pStyle w:val="ListParagraph"/>
              <w:numPr>
                <w:ilvl w:val="0"/>
                <w:numId w:val="12"/>
              </w:numPr>
              <w:rPr>
                <w:rFonts w:eastAsia="Times New Roman" w:cs="Times New Roman"/>
              </w:rPr>
            </w:pPr>
            <w:r>
              <w:rPr>
                <w:rFonts w:eastAsia="Times New Roman" w:cs="Times New Roman"/>
              </w:rPr>
              <w:t xml:space="preserve">Customers to be consulted when decisions are made to de-scope or add changes to the overall delivery of the release. XRN4931 </w:t>
            </w:r>
            <w:r>
              <w:rPr>
                <w:rFonts w:eastAsia="Times New Roman" w:cs="Arial"/>
              </w:rPr>
              <w:t xml:space="preserve">Submission of a Space in Mandatory Data on Multiple SPA Files was descoped following internal discussions </w:t>
            </w:r>
            <w:r w:rsidR="000870DF">
              <w:rPr>
                <w:rFonts w:eastAsia="Times New Roman" w:cs="Arial"/>
              </w:rPr>
              <w:t xml:space="preserve">before it was presented to </w:t>
            </w:r>
            <w:r w:rsidR="001B1A06">
              <w:rPr>
                <w:rFonts w:eastAsia="Times New Roman" w:cs="Arial"/>
              </w:rPr>
              <w:t>ChMC</w:t>
            </w:r>
            <w:bookmarkStart w:id="0" w:name="_GoBack"/>
            <w:bookmarkEnd w:id="0"/>
          </w:p>
          <w:p w14:paraId="7F689FC4" w14:textId="77777777" w:rsidR="005A5337" w:rsidRDefault="005A5337" w:rsidP="005A5337">
            <w:pPr>
              <w:pStyle w:val="ListParagraph"/>
              <w:rPr>
                <w:rFonts w:eastAsia="Times New Roman" w:cs="Times New Roman"/>
              </w:rPr>
            </w:pPr>
          </w:p>
          <w:p w14:paraId="28D57C1E" w14:textId="230969AF" w:rsidR="005A5337" w:rsidRDefault="00630C28" w:rsidP="00D13583">
            <w:pPr>
              <w:pStyle w:val="ListParagraph"/>
              <w:numPr>
                <w:ilvl w:val="0"/>
                <w:numId w:val="12"/>
              </w:numPr>
              <w:rPr>
                <w:rFonts w:eastAsia="Times New Roman" w:cs="Times New Roman"/>
              </w:rPr>
            </w:pPr>
            <w:r>
              <w:rPr>
                <w:rFonts w:eastAsia="Times New Roman" w:cs="Times New Roman"/>
              </w:rPr>
              <w:t xml:space="preserve">Change Packs – </w:t>
            </w:r>
            <w:r w:rsidR="00813EE2">
              <w:rPr>
                <w:rFonts w:eastAsia="Times New Roman" w:cs="Times New Roman"/>
              </w:rPr>
              <w:t xml:space="preserve">The Delivery Team to </w:t>
            </w:r>
            <w:r w:rsidR="00A20DDE">
              <w:rPr>
                <w:rFonts w:eastAsia="Times New Roman" w:cs="Times New Roman"/>
              </w:rPr>
              <w:t xml:space="preserve">ensure </w:t>
            </w:r>
            <w:r w:rsidR="00813EE2">
              <w:rPr>
                <w:rFonts w:eastAsia="Times New Roman" w:cs="Times New Roman"/>
              </w:rPr>
              <w:t xml:space="preserve">best practices </w:t>
            </w:r>
            <w:r w:rsidR="00A20DDE">
              <w:rPr>
                <w:rFonts w:eastAsia="Times New Roman" w:cs="Times New Roman"/>
              </w:rPr>
              <w:t xml:space="preserve">are being followed </w:t>
            </w:r>
            <w:r w:rsidR="0057749C">
              <w:rPr>
                <w:rFonts w:eastAsia="Times New Roman" w:cs="Times New Roman"/>
              </w:rPr>
              <w:t>when detailed change packs are produced</w:t>
            </w:r>
          </w:p>
          <w:p w14:paraId="67AB1C65" w14:textId="6BC6130B" w:rsidR="00EA73B3" w:rsidRPr="00C32AFB" w:rsidRDefault="00E474C7" w:rsidP="00C32AFB">
            <w:pPr>
              <w:rPr>
                <w:rFonts w:eastAsia="Times New Roman" w:cs="Times New Roman"/>
              </w:rPr>
            </w:pPr>
            <w:r w:rsidRPr="00C32AFB">
              <w:rPr>
                <w:rFonts w:eastAsia="Times New Roman" w:cs="Times New Roman"/>
              </w:rPr>
              <w:t xml:space="preserve"> </w:t>
            </w:r>
          </w:p>
          <w:p w14:paraId="7077B2A9" w14:textId="542E8991" w:rsidR="00A15002" w:rsidRPr="00F54977" w:rsidRDefault="00A15002" w:rsidP="00D13583">
            <w:pPr>
              <w:pStyle w:val="ListParagraph"/>
              <w:numPr>
                <w:ilvl w:val="0"/>
                <w:numId w:val="12"/>
              </w:numPr>
              <w:rPr>
                <w:rFonts w:eastAsia="Times New Roman" w:cs="Times New Roman"/>
              </w:rPr>
            </w:pPr>
            <w:r w:rsidRPr="00F54977">
              <w:rPr>
                <w:rFonts w:eastAsia="Times New Roman" w:cs="Times New Roman"/>
              </w:rPr>
              <w:t xml:space="preserve">Risk based </w:t>
            </w:r>
            <w:r w:rsidR="006E6EE8" w:rsidRPr="00F54977">
              <w:rPr>
                <w:rFonts w:eastAsia="Times New Roman" w:cs="Times New Roman"/>
              </w:rPr>
              <w:t xml:space="preserve">approach </w:t>
            </w:r>
            <w:r w:rsidR="00182E3C">
              <w:rPr>
                <w:rFonts w:eastAsia="Times New Roman" w:cs="Times New Roman"/>
              </w:rPr>
              <w:t xml:space="preserve">to testing </w:t>
            </w:r>
            <w:r w:rsidR="006515F8">
              <w:rPr>
                <w:rFonts w:eastAsia="Times New Roman" w:cs="Times New Roman"/>
              </w:rPr>
              <w:t>to be reviewed internally</w:t>
            </w:r>
            <w:r w:rsidR="006E6EE8" w:rsidRPr="00F54977">
              <w:rPr>
                <w:rFonts w:eastAsia="Times New Roman" w:cs="Times New Roman"/>
              </w:rPr>
              <w:t xml:space="preserve"> </w:t>
            </w:r>
          </w:p>
          <w:p w14:paraId="3B0DEF36" w14:textId="77777777" w:rsidR="00A15002" w:rsidRPr="00A15002" w:rsidRDefault="00A15002" w:rsidP="00A15002">
            <w:pPr>
              <w:pStyle w:val="ListParagraph"/>
              <w:rPr>
                <w:rFonts w:eastAsia="Times New Roman" w:cs="Times New Roman"/>
                <w:color w:val="FF0000"/>
              </w:rPr>
            </w:pPr>
          </w:p>
          <w:p w14:paraId="0E324282" w14:textId="70E174B0" w:rsidR="00B5133D" w:rsidRPr="00FA7C44" w:rsidRDefault="00B5133D" w:rsidP="003D7273">
            <w:pPr>
              <w:pStyle w:val="ListParagraph"/>
              <w:rPr>
                <w:rFonts w:eastAsia="Times New Roman" w:cs="Times New Roman"/>
                <w:color w:val="FF0000"/>
              </w:rPr>
            </w:pPr>
          </w:p>
          <w:p w14:paraId="3008CA5B" w14:textId="77777777" w:rsidR="00C32AFB" w:rsidRPr="00C32AFB" w:rsidRDefault="00C32AFB" w:rsidP="00C32AFB">
            <w:pPr>
              <w:rPr>
                <w:rFonts w:eastAsia="Times New Roman" w:cs="Times New Roman"/>
              </w:rPr>
            </w:pPr>
          </w:p>
          <w:p w14:paraId="06DCF6E4" w14:textId="4924F0B8" w:rsidR="00EA73B3" w:rsidRPr="00EA73B3" w:rsidRDefault="00EA73B3" w:rsidP="0A57A144">
            <w:pPr>
              <w:spacing w:after="200" w:line="276" w:lineRule="auto"/>
              <w:rPr>
                <w:rFonts w:eastAsia="Times New Roman" w:cs="Times New Roman"/>
                <w:i/>
                <w:iCs/>
                <w:color w:val="0070C0"/>
                <w:sz w:val="20"/>
                <w:szCs w:val="20"/>
              </w:rPr>
            </w:pPr>
          </w:p>
          <w:p w14:paraId="7B2B5B58" w14:textId="03C3C603" w:rsidR="00EA73B3" w:rsidRPr="00EA73B3" w:rsidRDefault="0A57A144" w:rsidP="0A57A144">
            <w:pPr>
              <w:spacing w:after="200" w:line="276" w:lineRule="auto"/>
              <w:rPr>
                <w:rFonts w:eastAsia="Times New Roman" w:cs="Arial"/>
              </w:rPr>
            </w:pPr>
            <w:r w:rsidRPr="0A57A144">
              <w:rPr>
                <w:rFonts w:eastAsia="Times New Roman" w:cs="Times New Roman"/>
                <w:i/>
                <w:iCs/>
                <w:color w:val="0070C0"/>
                <w:sz w:val="20"/>
                <w:szCs w:val="20"/>
              </w:rPr>
              <w:t xml:space="preserve"> </w:t>
            </w:r>
          </w:p>
        </w:tc>
      </w:tr>
    </w:tbl>
    <w:p w14:paraId="4CC1E547" w14:textId="77777777" w:rsidR="001C2268" w:rsidRDefault="001C2268" w:rsidP="00EA73B3">
      <w:pPr>
        <w:rPr>
          <w:rFonts w:eastAsia="Arial" w:cs="Arial"/>
          <w:b/>
        </w:rPr>
      </w:pPr>
    </w:p>
    <w:p w14:paraId="54F4265B" w14:textId="3E896289" w:rsidR="00EA73B3" w:rsidRDefault="00EA73B3" w:rsidP="00EA73B3">
      <w:pPr>
        <w:rPr>
          <w:rFonts w:eastAsia="Arial" w:cs="Arial"/>
          <w:b/>
        </w:rPr>
      </w:pPr>
      <w:r w:rsidRPr="00EA73B3">
        <w:rPr>
          <w:rFonts w:eastAsia="Arial" w:cs="Arial"/>
          <w:b/>
        </w:rPr>
        <w:t xml:space="preserve">Please send completed form to: </w:t>
      </w:r>
      <w:hyperlink r:id="rId16" w:history="1">
        <w:r w:rsidRPr="00EA73B3">
          <w:rPr>
            <w:rFonts w:eastAsia="Arial" w:cs="Arial"/>
            <w:b/>
            <w:color w:val="D2232A"/>
            <w:u w:val="single"/>
          </w:rPr>
          <w:t>box.xoserve.portfoliooffice@xoserve.com</w:t>
        </w:r>
      </w:hyperlink>
    </w:p>
    <w:p w14:paraId="3796074C" w14:textId="77777777" w:rsidR="001C2268" w:rsidRPr="001C2268" w:rsidRDefault="001C2268" w:rsidP="001C2268">
      <w:pPr>
        <w:pStyle w:val="NoSpacing"/>
        <w:rPr>
          <w:rFonts w:eastAsia="Arial"/>
        </w:rPr>
      </w:pPr>
    </w:p>
    <w:p w14:paraId="0AF2244E" w14:textId="77777777" w:rsidR="00EA73B3" w:rsidRPr="00EA73B3" w:rsidRDefault="00EA73B3" w:rsidP="00EA73B3">
      <w:pPr>
        <w:rPr>
          <w:rFonts w:eastAsia="Arial" w:cs="Times New Roman"/>
          <w:b/>
          <w:sz w:val="20"/>
          <w:szCs w:val="20"/>
        </w:rPr>
      </w:pPr>
      <w:r w:rsidRPr="00EA73B3">
        <w:rPr>
          <w:rFonts w:eastAsia="Arial" w:cs="Times New Roman"/>
          <w:b/>
          <w:sz w:val="20"/>
          <w:szCs w:val="20"/>
        </w:rPr>
        <w:t>Document Version History</w:t>
      </w:r>
    </w:p>
    <w:tbl>
      <w:tblPr>
        <w:tblStyle w:val="TableGrid1"/>
        <w:tblW w:w="5522" w:type="pct"/>
        <w:tblInd w:w="-459" w:type="dxa"/>
        <w:tblLook w:val="04A0" w:firstRow="1" w:lastRow="0" w:firstColumn="1" w:lastColumn="0" w:noHBand="0" w:noVBand="1"/>
      </w:tblPr>
      <w:tblGrid>
        <w:gridCol w:w="1797"/>
        <w:gridCol w:w="1663"/>
        <w:gridCol w:w="1107"/>
        <w:gridCol w:w="1519"/>
        <w:gridCol w:w="3871"/>
      </w:tblGrid>
      <w:tr w:rsidR="00EA73B3" w:rsidRPr="00EA73B3" w14:paraId="3208E80C" w14:textId="77777777" w:rsidTr="0A57A144">
        <w:trPr>
          <w:trHeight w:val="611"/>
        </w:trPr>
        <w:tc>
          <w:tcPr>
            <w:tcW w:w="902" w:type="pct"/>
            <w:shd w:val="clear" w:color="auto" w:fill="D6DCF0" w:themeFill="accent1" w:themeFillTint="33"/>
            <w:vAlign w:val="center"/>
          </w:tcPr>
          <w:p w14:paraId="0667806F"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Version</w:t>
            </w:r>
          </w:p>
        </w:tc>
        <w:tc>
          <w:tcPr>
            <w:tcW w:w="835" w:type="pct"/>
            <w:shd w:val="clear" w:color="auto" w:fill="D6DCF0" w:themeFill="accent1" w:themeFillTint="33"/>
            <w:vAlign w:val="center"/>
          </w:tcPr>
          <w:p w14:paraId="4BB6D7BD"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Status</w:t>
            </w:r>
          </w:p>
        </w:tc>
        <w:tc>
          <w:tcPr>
            <w:tcW w:w="556" w:type="pct"/>
            <w:shd w:val="clear" w:color="auto" w:fill="D6DCF0" w:themeFill="accent1" w:themeFillTint="33"/>
            <w:vAlign w:val="center"/>
          </w:tcPr>
          <w:p w14:paraId="407F4BCC"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Date</w:t>
            </w:r>
          </w:p>
        </w:tc>
        <w:tc>
          <w:tcPr>
            <w:tcW w:w="763" w:type="pct"/>
            <w:shd w:val="clear" w:color="auto" w:fill="D6DCF0" w:themeFill="accent1" w:themeFillTint="33"/>
            <w:vAlign w:val="center"/>
          </w:tcPr>
          <w:p w14:paraId="6E8BB7C2"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Author(s)</w:t>
            </w:r>
          </w:p>
        </w:tc>
        <w:tc>
          <w:tcPr>
            <w:tcW w:w="1944" w:type="pct"/>
            <w:shd w:val="clear" w:color="auto" w:fill="D6DCF0" w:themeFill="accent1" w:themeFillTint="33"/>
            <w:vAlign w:val="center"/>
          </w:tcPr>
          <w:p w14:paraId="011587D7"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Summary of Changes</w:t>
            </w:r>
          </w:p>
        </w:tc>
      </w:tr>
      <w:tr w:rsidR="00EA73B3" w:rsidRPr="00EA73B3" w14:paraId="622CB1EF" w14:textId="77777777" w:rsidTr="0A57A144">
        <w:tc>
          <w:tcPr>
            <w:tcW w:w="902" w:type="pct"/>
          </w:tcPr>
          <w:p w14:paraId="1ABADCE5" w14:textId="4D6F023A" w:rsidR="00EA73B3" w:rsidRPr="00EA73B3" w:rsidRDefault="0A57A144" w:rsidP="0A57A144">
            <w:pPr>
              <w:jc w:val="center"/>
              <w:rPr>
                <w:rFonts w:eastAsia="Times New Roman" w:cs="Arial"/>
                <w:sz w:val="20"/>
                <w:szCs w:val="20"/>
              </w:rPr>
            </w:pPr>
            <w:r w:rsidRPr="0A57A144">
              <w:rPr>
                <w:rFonts w:eastAsia="Times New Roman" w:cs="Arial"/>
                <w:sz w:val="20"/>
                <w:szCs w:val="20"/>
              </w:rPr>
              <w:t>0.1</w:t>
            </w:r>
          </w:p>
        </w:tc>
        <w:tc>
          <w:tcPr>
            <w:tcW w:w="835" w:type="pct"/>
          </w:tcPr>
          <w:p w14:paraId="0DB8F594" w14:textId="4B8E3245" w:rsidR="00EA73B3" w:rsidRPr="00EA73B3" w:rsidRDefault="000B6E49" w:rsidP="0A57A144">
            <w:pPr>
              <w:jc w:val="center"/>
              <w:rPr>
                <w:rFonts w:eastAsia="Times New Roman" w:cs="Arial"/>
                <w:sz w:val="20"/>
                <w:szCs w:val="20"/>
              </w:rPr>
            </w:pPr>
            <w:r>
              <w:rPr>
                <w:rFonts w:eastAsia="Times New Roman" w:cs="Arial"/>
                <w:sz w:val="20"/>
                <w:szCs w:val="20"/>
              </w:rPr>
              <w:t>Draft</w:t>
            </w:r>
          </w:p>
        </w:tc>
        <w:tc>
          <w:tcPr>
            <w:tcW w:w="556" w:type="pct"/>
          </w:tcPr>
          <w:p w14:paraId="0BB1E953" w14:textId="14E922A3" w:rsidR="00EA73B3" w:rsidRPr="00EA73B3" w:rsidRDefault="007E7453" w:rsidP="0A57A144">
            <w:pPr>
              <w:jc w:val="center"/>
              <w:rPr>
                <w:rFonts w:eastAsia="Times New Roman" w:cs="Arial"/>
                <w:sz w:val="20"/>
                <w:szCs w:val="20"/>
              </w:rPr>
            </w:pPr>
            <w:r>
              <w:rPr>
                <w:rFonts w:eastAsia="Times New Roman" w:cs="Arial"/>
                <w:sz w:val="20"/>
                <w:szCs w:val="20"/>
              </w:rPr>
              <w:t>17/06/21</w:t>
            </w:r>
          </w:p>
        </w:tc>
        <w:tc>
          <w:tcPr>
            <w:tcW w:w="763" w:type="pct"/>
          </w:tcPr>
          <w:p w14:paraId="4350D9F9" w14:textId="6E2A258A" w:rsidR="00EA73B3" w:rsidRPr="00EA73B3" w:rsidRDefault="007E7453" w:rsidP="0A57A144">
            <w:pPr>
              <w:jc w:val="center"/>
              <w:rPr>
                <w:rFonts w:eastAsia="Times New Roman" w:cs="Arial"/>
                <w:sz w:val="20"/>
                <w:szCs w:val="20"/>
              </w:rPr>
            </w:pPr>
            <w:r>
              <w:rPr>
                <w:rFonts w:eastAsia="Times New Roman" w:cs="Arial"/>
                <w:sz w:val="20"/>
                <w:szCs w:val="20"/>
              </w:rPr>
              <w:t>Ed Healy</w:t>
            </w:r>
          </w:p>
        </w:tc>
        <w:tc>
          <w:tcPr>
            <w:tcW w:w="1944" w:type="pct"/>
          </w:tcPr>
          <w:p w14:paraId="0FC70C39" w14:textId="3E47C78E" w:rsidR="00EA73B3" w:rsidRPr="00EA73B3" w:rsidRDefault="00EA73B3" w:rsidP="0A57A144">
            <w:pPr>
              <w:jc w:val="center"/>
              <w:rPr>
                <w:rFonts w:eastAsia="Times New Roman" w:cs="Arial"/>
                <w:sz w:val="20"/>
                <w:szCs w:val="20"/>
              </w:rPr>
            </w:pPr>
          </w:p>
        </w:tc>
      </w:tr>
    </w:tbl>
    <w:p w14:paraId="67B305BF" w14:textId="77777777" w:rsidR="00EA73B3" w:rsidRPr="00EA73B3" w:rsidRDefault="00EA73B3" w:rsidP="00EA73B3">
      <w:pPr>
        <w:rPr>
          <w:rFonts w:eastAsia="Arial" w:cs="Times New Roman"/>
          <w:sz w:val="20"/>
          <w:szCs w:val="20"/>
        </w:rPr>
      </w:pPr>
    </w:p>
    <w:p w14:paraId="59F06E1D" w14:textId="77777777" w:rsidR="00EA73B3" w:rsidRPr="00EA73B3" w:rsidRDefault="00EA73B3" w:rsidP="00EA73B3">
      <w:pPr>
        <w:rPr>
          <w:rFonts w:eastAsia="Arial" w:cs="Times New Roman"/>
          <w:b/>
          <w:sz w:val="20"/>
          <w:szCs w:val="20"/>
        </w:rPr>
      </w:pPr>
      <w:r w:rsidRPr="00EA73B3">
        <w:rPr>
          <w:rFonts w:eastAsia="Arial" w:cs="Times New Roman"/>
          <w:b/>
          <w:sz w:val="20"/>
          <w:szCs w:val="20"/>
        </w:rPr>
        <w:t>Template Version History</w:t>
      </w:r>
    </w:p>
    <w:tbl>
      <w:tblPr>
        <w:tblStyle w:val="TableGrid1"/>
        <w:tblW w:w="5522" w:type="pct"/>
        <w:tblInd w:w="-459" w:type="dxa"/>
        <w:tblLook w:val="04A0" w:firstRow="1" w:lastRow="0" w:firstColumn="1" w:lastColumn="0" w:noHBand="0" w:noVBand="1"/>
      </w:tblPr>
      <w:tblGrid>
        <w:gridCol w:w="1797"/>
        <w:gridCol w:w="1663"/>
        <w:gridCol w:w="1107"/>
        <w:gridCol w:w="1519"/>
        <w:gridCol w:w="3871"/>
      </w:tblGrid>
      <w:tr w:rsidR="00EA73B3" w:rsidRPr="00EA73B3" w14:paraId="448EF1F8" w14:textId="77777777" w:rsidTr="0001729A">
        <w:trPr>
          <w:trHeight w:val="611"/>
        </w:trPr>
        <w:tc>
          <w:tcPr>
            <w:tcW w:w="902" w:type="pct"/>
            <w:tcBorders>
              <w:bottom w:val="single" w:sz="4" w:space="0" w:color="auto"/>
            </w:tcBorders>
            <w:shd w:val="clear" w:color="auto" w:fill="D6DCF0" w:themeFill="accent1" w:themeFillTint="33"/>
            <w:vAlign w:val="center"/>
          </w:tcPr>
          <w:p w14:paraId="77BD46CB"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Version</w:t>
            </w:r>
          </w:p>
        </w:tc>
        <w:tc>
          <w:tcPr>
            <w:tcW w:w="835" w:type="pct"/>
            <w:tcBorders>
              <w:bottom w:val="single" w:sz="4" w:space="0" w:color="auto"/>
            </w:tcBorders>
            <w:shd w:val="clear" w:color="auto" w:fill="D6DCF0" w:themeFill="accent1" w:themeFillTint="33"/>
            <w:vAlign w:val="center"/>
          </w:tcPr>
          <w:p w14:paraId="3351C80B"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Status</w:t>
            </w:r>
          </w:p>
        </w:tc>
        <w:tc>
          <w:tcPr>
            <w:tcW w:w="556" w:type="pct"/>
            <w:tcBorders>
              <w:bottom w:val="single" w:sz="4" w:space="0" w:color="auto"/>
            </w:tcBorders>
            <w:shd w:val="clear" w:color="auto" w:fill="D6DCF0" w:themeFill="accent1" w:themeFillTint="33"/>
            <w:vAlign w:val="center"/>
          </w:tcPr>
          <w:p w14:paraId="63740FDB"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Date</w:t>
            </w:r>
          </w:p>
        </w:tc>
        <w:tc>
          <w:tcPr>
            <w:tcW w:w="763" w:type="pct"/>
            <w:tcBorders>
              <w:bottom w:val="single" w:sz="4" w:space="0" w:color="auto"/>
            </w:tcBorders>
            <w:shd w:val="clear" w:color="auto" w:fill="D6DCF0" w:themeFill="accent1" w:themeFillTint="33"/>
            <w:vAlign w:val="center"/>
          </w:tcPr>
          <w:p w14:paraId="769137CC"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Author(s)</w:t>
            </w:r>
          </w:p>
        </w:tc>
        <w:tc>
          <w:tcPr>
            <w:tcW w:w="1944" w:type="pct"/>
            <w:tcBorders>
              <w:bottom w:val="single" w:sz="4" w:space="0" w:color="auto"/>
            </w:tcBorders>
            <w:shd w:val="clear" w:color="auto" w:fill="D6DCF0" w:themeFill="accent1" w:themeFillTint="33"/>
            <w:vAlign w:val="center"/>
          </w:tcPr>
          <w:p w14:paraId="3C1674E3"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Summary of Changes</w:t>
            </w:r>
          </w:p>
        </w:tc>
      </w:tr>
      <w:tr w:rsidR="00EA73B3" w:rsidRPr="00EA73B3" w14:paraId="1A840032" w14:textId="77777777" w:rsidTr="0001729A">
        <w:trPr>
          <w:trHeight w:val="611"/>
        </w:trPr>
        <w:tc>
          <w:tcPr>
            <w:tcW w:w="902" w:type="pct"/>
            <w:shd w:val="clear" w:color="auto" w:fill="FFFFFF" w:themeFill="background1"/>
            <w:vAlign w:val="center"/>
          </w:tcPr>
          <w:p w14:paraId="3AE59834" w14:textId="77777777" w:rsidR="00EA73B3" w:rsidRPr="00EA73B3" w:rsidRDefault="00EA73B3" w:rsidP="00EA73B3">
            <w:pPr>
              <w:jc w:val="center"/>
              <w:rPr>
                <w:rFonts w:eastAsia="Times New Roman" w:cs="Arial"/>
                <w:sz w:val="20"/>
              </w:rPr>
            </w:pPr>
            <w:r w:rsidRPr="00EA73B3">
              <w:rPr>
                <w:rFonts w:eastAsia="Times New Roman" w:cs="Arial"/>
                <w:sz w:val="20"/>
              </w:rPr>
              <w:t>2.0</w:t>
            </w:r>
          </w:p>
        </w:tc>
        <w:tc>
          <w:tcPr>
            <w:tcW w:w="835" w:type="pct"/>
            <w:shd w:val="clear" w:color="auto" w:fill="FFFFFF" w:themeFill="background1"/>
            <w:vAlign w:val="center"/>
          </w:tcPr>
          <w:p w14:paraId="150CC5F4" w14:textId="77777777" w:rsidR="00EA73B3" w:rsidRPr="00EA73B3" w:rsidRDefault="00EA73B3" w:rsidP="00EA73B3">
            <w:pPr>
              <w:jc w:val="center"/>
              <w:rPr>
                <w:rFonts w:eastAsia="Times New Roman" w:cs="Arial"/>
                <w:sz w:val="20"/>
              </w:rPr>
            </w:pPr>
            <w:r w:rsidRPr="00EA73B3">
              <w:rPr>
                <w:rFonts w:eastAsia="Times New Roman" w:cs="Arial"/>
                <w:sz w:val="20"/>
              </w:rPr>
              <w:t>Approved</w:t>
            </w:r>
          </w:p>
        </w:tc>
        <w:tc>
          <w:tcPr>
            <w:tcW w:w="556" w:type="pct"/>
            <w:shd w:val="clear" w:color="auto" w:fill="FFFFFF" w:themeFill="background1"/>
            <w:vAlign w:val="center"/>
          </w:tcPr>
          <w:p w14:paraId="2612EAEC" w14:textId="77777777" w:rsidR="00EA73B3" w:rsidRPr="00EA73B3" w:rsidRDefault="00EA73B3" w:rsidP="00EA73B3">
            <w:pPr>
              <w:jc w:val="center"/>
              <w:rPr>
                <w:rFonts w:eastAsia="Times New Roman" w:cs="Arial"/>
                <w:sz w:val="20"/>
              </w:rPr>
            </w:pPr>
            <w:r w:rsidRPr="00EA73B3">
              <w:rPr>
                <w:rFonts w:eastAsia="Times New Roman" w:cs="Arial"/>
                <w:sz w:val="20"/>
              </w:rPr>
              <w:t>17/07/18</w:t>
            </w:r>
          </w:p>
        </w:tc>
        <w:tc>
          <w:tcPr>
            <w:tcW w:w="763" w:type="pct"/>
            <w:shd w:val="clear" w:color="auto" w:fill="FFFFFF" w:themeFill="background1"/>
            <w:vAlign w:val="center"/>
          </w:tcPr>
          <w:p w14:paraId="3ECB2BF0" w14:textId="77777777" w:rsidR="00EA73B3" w:rsidRPr="00EA73B3" w:rsidRDefault="00EA73B3" w:rsidP="00EA73B3">
            <w:pPr>
              <w:jc w:val="center"/>
              <w:rPr>
                <w:rFonts w:eastAsia="Times New Roman" w:cs="Arial"/>
                <w:sz w:val="20"/>
              </w:rPr>
            </w:pPr>
            <w:r w:rsidRPr="00EA73B3">
              <w:rPr>
                <w:rFonts w:eastAsia="Times New Roman" w:cs="Arial"/>
                <w:sz w:val="20"/>
              </w:rPr>
              <w:t>Rebecca Perkins</w:t>
            </w:r>
          </w:p>
        </w:tc>
        <w:tc>
          <w:tcPr>
            <w:tcW w:w="1944" w:type="pct"/>
            <w:shd w:val="clear" w:color="auto" w:fill="FFFFFF" w:themeFill="background1"/>
            <w:vAlign w:val="center"/>
          </w:tcPr>
          <w:p w14:paraId="1361659D" w14:textId="77777777" w:rsidR="00EA73B3" w:rsidRPr="00EA73B3" w:rsidRDefault="00EA73B3" w:rsidP="00EA73B3">
            <w:pPr>
              <w:rPr>
                <w:rFonts w:eastAsia="Times New Roman" w:cs="Arial"/>
                <w:sz w:val="20"/>
              </w:rPr>
            </w:pPr>
            <w:r w:rsidRPr="00EA73B3">
              <w:rPr>
                <w:rFonts w:eastAsia="Times New Roman" w:cs="Arial"/>
                <w:sz w:val="20"/>
              </w:rPr>
              <w:t>Template approved at ChMC on 11</w:t>
            </w:r>
            <w:r w:rsidRPr="00EA73B3">
              <w:rPr>
                <w:rFonts w:eastAsia="Times New Roman" w:cs="Arial"/>
                <w:sz w:val="20"/>
                <w:vertAlign w:val="superscript"/>
              </w:rPr>
              <w:t>th</w:t>
            </w:r>
            <w:r w:rsidRPr="00EA73B3">
              <w:rPr>
                <w:rFonts w:eastAsia="Times New Roman" w:cs="Arial"/>
                <w:sz w:val="20"/>
              </w:rPr>
              <w:t xml:space="preserve"> July</w:t>
            </w:r>
          </w:p>
        </w:tc>
      </w:tr>
      <w:tr w:rsidR="00EA73B3" w:rsidRPr="00EA73B3" w14:paraId="19151F85" w14:textId="77777777" w:rsidTr="0001729A">
        <w:trPr>
          <w:trHeight w:val="611"/>
        </w:trPr>
        <w:tc>
          <w:tcPr>
            <w:tcW w:w="902" w:type="pct"/>
            <w:shd w:val="clear" w:color="auto" w:fill="FFFFFF" w:themeFill="background1"/>
            <w:vAlign w:val="center"/>
          </w:tcPr>
          <w:p w14:paraId="0EFC9A7B" w14:textId="3F88E08F" w:rsidR="00EA73B3" w:rsidRPr="00EA73B3" w:rsidRDefault="007E7C5B" w:rsidP="00EA73B3">
            <w:pPr>
              <w:jc w:val="center"/>
              <w:rPr>
                <w:rFonts w:eastAsia="Times New Roman" w:cs="Arial"/>
                <w:sz w:val="20"/>
              </w:rPr>
            </w:pPr>
            <w:r>
              <w:rPr>
                <w:rFonts w:eastAsia="Times New Roman" w:cs="Arial"/>
                <w:sz w:val="20"/>
              </w:rPr>
              <w:t>3.0</w:t>
            </w:r>
          </w:p>
        </w:tc>
        <w:tc>
          <w:tcPr>
            <w:tcW w:w="835" w:type="pct"/>
            <w:shd w:val="clear" w:color="auto" w:fill="FFFFFF" w:themeFill="background1"/>
            <w:vAlign w:val="center"/>
          </w:tcPr>
          <w:p w14:paraId="0BBF25B2" w14:textId="4CE44B67" w:rsidR="00EA73B3" w:rsidRPr="00EA73B3" w:rsidRDefault="007E7C5B" w:rsidP="007E7C5B">
            <w:pPr>
              <w:jc w:val="center"/>
              <w:rPr>
                <w:rFonts w:eastAsia="Times New Roman" w:cs="Arial"/>
                <w:sz w:val="20"/>
              </w:rPr>
            </w:pPr>
            <w:r>
              <w:rPr>
                <w:rFonts w:eastAsia="Times New Roman" w:cs="Arial"/>
                <w:sz w:val="20"/>
              </w:rPr>
              <w:t>Approved</w:t>
            </w:r>
          </w:p>
        </w:tc>
        <w:tc>
          <w:tcPr>
            <w:tcW w:w="556" w:type="pct"/>
            <w:shd w:val="clear" w:color="auto" w:fill="FFFFFF" w:themeFill="background1"/>
            <w:vAlign w:val="center"/>
          </w:tcPr>
          <w:p w14:paraId="3F15DC4E" w14:textId="09A98BC7" w:rsidR="00EA73B3" w:rsidRPr="00EA73B3" w:rsidRDefault="00EA73B3" w:rsidP="00EA73B3">
            <w:pPr>
              <w:jc w:val="center"/>
              <w:rPr>
                <w:rFonts w:eastAsia="Times New Roman" w:cs="Arial"/>
                <w:sz w:val="20"/>
              </w:rPr>
            </w:pPr>
            <w:r>
              <w:rPr>
                <w:rFonts w:eastAsia="Times New Roman" w:cs="Arial"/>
                <w:sz w:val="20"/>
              </w:rPr>
              <w:t>19/12/18</w:t>
            </w:r>
          </w:p>
        </w:tc>
        <w:tc>
          <w:tcPr>
            <w:tcW w:w="763" w:type="pct"/>
            <w:shd w:val="clear" w:color="auto" w:fill="FFFFFF" w:themeFill="background1"/>
            <w:vAlign w:val="center"/>
          </w:tcPr>
          <w:p w14:paraId="44B1707B" w14:textId="486416E7" w:rsidR="00EA73B3" w:rsidRPr="00EA73B3" w:rsidRDefault="00EA73B3" w:rsidP="00EA73B3">
            <w:pPr>
              <w:jc w:val="center"/>
              <w:rPr>
                <w:rFonts w:eastAsia="Times New Roman" w:cs="Arial"/>
                <w:sz w:val="20"/>
              </w:rPr>
            </w:pPr>
            <w:r>
              <w:rPr>
                <w:rFonts w:eastAsia="Times New Roman" w:cs="Arial"/>
                <w:sz w:val="20"/>
              </w:rPr>
              <w:t>Heather Spensley</w:t>
            </w:r>
          </w:p>
        </w:tc>
        <w:tc>
          <w:tcPr>
            <w:tcW w:w="1944" w:type="pct"/>
            <w:shd w:val="clear" w:color="auto" w:fill="FFFFFF" w:themeFill="background1"/>
            <w:vAlign w:val="center"/>
          </w:tcPr>
          <w:p w14:paraId="6634F7D9" w14:textId="2F130DD4" w:rsidR="00EA73B3" w:rsidRPr="00EA73B3" w:rsidRDefault="00EA73B3" w:rsidP="00EA73B3">
            <w:pPr>
              <w:rPr>
                <w:rFonts w:eastAsia="Times New Roman" w:cs="Arial"/>
                <w:sz w:val="20"/>
              </w:rPr>
            </w:pPr>
            <w:r>
              <w:rPr>
                <w:rFonts w:eastAsia="Times New Roman" w:cs="Arial"/>
                <w:sz w:val="20"/>
              </w:rPr>
              <w:t>Moved onto Xoserve’s new Word template in line with new branding</w:t>
            </w:r>
          </w:p>
        </w:tc>
      </w:tr>
    </w:tbl>
    <w:p w14:paraId="7651F714" w14:textId="77777777" w:rsidR="00D66C7E" w:rsidRPr="00EA73B3" w:rsidRDefault="00D66C7E" w:rsidP="00EA73B3"/>
    <w:sectPr w:rsidR="00D66C7E" w:rsidRPr="00EA73B3">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27876" w14:textId="77777777" w:rsidR="00B44D64" w:rsidRDefault="00B44D64" w:rsidP="00324744">
      <w:pPr>
        <w:spacing w:after="0" w:line="240" w:lineRule="auto"/>
      </w:pPr>
      <w:r>
        <w:separator/>
      </w:r>
    </w:p>
  </w:endnote>
  <w:endnote w:type="continuationSeparator" w:id="0">
    <w:p w14:paraId="5F388E82" w14:textId="77777777" w:rsidR="00B44D64" w:rsidRDefault="00B44D64"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79F8C" w14:textId="77777777" w:rsidR="00BD0A45" w:rsidRDefault="00BD0A45">
    <w:pPr>
      <w:pStyle w:val="Footer"/>
    </w:pPr>
    <w:r>
      <w:rPr>
        <w:noProof/>
      </w:rPr>
      <mc:AlternateContent>
        <mc:Choice Requires="wps">
          <w:drawing>
            <wp:anchor distT="0" distB="0" distL="114300" distR="114300" simplePos="0" relativeHeight="251661312" behindDoc="0" locked="0" layoutInCell="1" allowOverlap="1" wp14:anchorId="67279F8F" wp14:editId="67279F90">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13EFF5"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631D8" w14:textId="77777777" w:rsidR="00B44D64" w:rsidRDefault="00B44D64" w:rsidP="00324744">
      <w:pPr>
        <w:spacing w:after="0" w:line="240" w:lineRule="auto"/>
      </w:pPr>
      <w:r>
        <w:separator/>
      </w:r>
    </w:p>
  </w:footnote>
  <w:footnote w:type="continuationSeparator" w:id="0">
    <w:p w14:paraId="3E4585BB" w14:textId="77777777" w:rsidR="00B44D64" w:rsidRDefault="00B44D64" w:rsidP="0032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79F8B" w14:textId="77777777" w:rsidR="00324744" w:rsidRDefault="00324744">
    <w:pPr>
      <w:pStyle w:val="Header"/>
    </w:pPr>
    <w:r>
      <w:rPr>
        <w:noProof/>
      </w:rPr>
      <mc:AlternateContent>
        <mc:Choice Requires="wps">
          <w:drawing>
            <wp:anchor distT="0" distB="0" distL="114300" distR="114300" simplePos="0" relativeHeight="251659264" behindDoc="0" locked="0" layoutInCell="1" allowOverlap="1" wp14:anchorId="67279F8D" wp14:editId="67279F8E">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D10A8E"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A63C4"/>
    <w:multiLevelType w:val="hybridMultilevel"/>
    <w:tmpl w:val="3160B7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79721FA"/>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198E2295"/>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25D21F38"/>
    <w:multiLevelType w:val="hybridMultilevel"/>
    <w:tmpl w:val="7DBC1B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F92EAC"/>
    <w:multiLevelType w:val="hybridMultilevel"/>
    <w:tmpl w:val="96A85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A37B1C"/>
    <w:multiLevelType w:val="hybridMultilevel"/>
    <w:tmpl w:val="61627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EF5C97"/>
    <w:multiLevelType w:val="hybridMultilevel"/>
    <w:tmpl w:val="1500E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56701"/>
    <w:multiLevelType w:val="hybridMultilevel"/>
    <w:tmpl w:val="5B4CC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1D3245"/>
    <w:multiLevelType w:val="hybridMultilevel"/>
    <w:tmpl w:val="1E5C16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F7623C"/>
    <w:multiLevelType w:val="hybridMultilevel"/>
    <w:tmpl w:val="02E67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7F2B4F"/>
    <w:multiLevelType w:val="hybridMultilevel"/>
    <w:tmpl w:val="456A7ADA"/>
    <w:name w:val="Style411"/>
    <w:styleLink w:val="Style411"/>
    <w:lvl w:ilvl="0" w:tplc="5A689952">
      <w:start w:val="1"/>
      <w:numFmt w:val="bullet"/>
      <w:lvlText w:val=""/>
      <w:lvlJc w:val="left"/>
      <w:pPr>
        <w:ind w:left="720" w:hanging="360"/>
      </w:pPr>
      <w:rPr>
        <w:rFonts w:ascii="Symbol" w:hAnsi="Symbol"/>
      </w:rPr>
    </w:lvl>
    <w:lvl w:ilvl="1" w:tplc="8AE04A60">
      <w:start w:val="1"/>
      <w:numFmt w:val="bullet"/>
      <w:lvlText w:val="o"/>
      <w:lvlJc w:val="left"/>
      <w:pPr>
        <w:ind w:left="1440" w:hanging="360"/>
      </w:pPr>
      <w:rPr>
        <w:rFonts w:ascii="Courier New" w:hAnsi="Courier New" w:cs="Courier New"/>
      </w:rPr>
    </w:lvl>
    <w:lvl w:ilvl="2" w:tplc="CD94286A">
      <w:start w:val="1"/>
      <w:numFmt w:val="bullet"/>
      <w:lvlText w:val=""/>
      <w:lvlJc w:val="left"/>
      <w:pPr>
        <w:ind w:left="2160" w:hanging="360"/>
      </w:pPr>
      <w:rPr>
        <w:rFonts w:ascii="Wingdings" w:hAnsi="Wingdings"/>
      </w:rPr>
    </w:lvl>
    <w:lvl w:ilvl="3" w:tplc="BAAE33A8">
      <w:start w:val="1"/>
      <w:numFmt w:val="bullet"/>
      <w:lvlText w:val=""/>
      <w:lvlJc w:val="left"/>
      <w:pPr>
        <w:ind w:left="2880" w:hanging="360"/>
      </w:pPr>
      <w:rPr>
        <w:rFonts w:ascii="Symbol" w:hAnsi="Symbol"/>
      </w:rPr>
    </w:lvl>
    <w:lvl w:ilvl="4" w:tplc="3ED6ECB4">
      <w:start w:val="1"/>
      <w:numFmt w:val="bullet"/>
      <w:lvlText w:val="o"/>
      <w:lvlJc w:val="left"/>
      <w:pPr>
        <w:ind w:left="3600" w:hanging="360"/>
      </w:pPr>
      <w:rPr>
        <w:rFonts w:ascii="Courier New" w:hAnsi="Courier New" w:cs="Courier New"/>
      </w:rPr>
    </w:lvl>
    <w:lvl w:ilvl="5" w:tplc="62945DF2">
      <w:start w:val="1"/>
      <w:numFmt w:val="bullet"/>
      <w:lvlText w:val=""/>
      <w:lvlJc w:val="left"/>
      <w:pPr>
        <w:ind w:left="4320" w:hanging="360"/>
      </w:pPr>
      <w:rPr>
        <w:rFonts w:ascii="Wingdings" w:hAnsi="Wingdings"/>
      </w:rPr>
    </w:lvl>
    <w:lvl w:ilvl="6" w:tplc="7B0E294A">
      <w:start w:val="1"/>
      <w:numFmt w:val="bullet"/>
      <w:lvlText w:val=""/>
      <w:lvlJc w:val="left"/>
      <w:pPr>
        <w:ind w:left="5040" w:hanging="360"/>
      </w:pPr>
      <w:rPr>
        <w:rFonts w:ascii="Symbol" w:hAnsi="Symbol"/>
      </w:rPr>
    </w:lvl>
    <w:lvl w:ilvl="7" w:tplc="419EDC2A">
      <w:start w:val="1"/>
      <w:numFmt w:val="bullet"/>
      <w:lvlText w:val="o"/>
      <w:lvlJc w:val="left"/>
      <w:pPr>
        <w:ind w:left="5760" w:hanging="360"/>
      </w:pPr>
      <w:rPr>
        <w:rFonts w:ascii="Courier New" w:hAnsi="Courier New" w:cs="Courier New"/>
      </w:rPr>
    </w:lvl>
    <w:lvl w:ilvl="8" w:tplc="F078D966">
      <w:start w:val="1"/>
      <w:numFmt w:val="bullet"/>
      <w:lvlText w:val=""/>
      <w:lvlJc w:val="left"/>
      <w:pPr>
        <w:ind w:left="6480" w:hanging="360"/>
      </w:pPr>
      <w:rPr>
        <w:rFonts w:ascii="Wingdings" w:hAnsi="Wingdings"/>
      </w:rPr>
    </w:lvl>
  </w:abstractNum>
  <w:abstractNum w:abstractNumId="11" w15:restartNumberingAfterBreak="0">
    <w:nsid w:val="51696283"/>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2" w15:restartNumberingAfterBreak="0">
    <w:nsid w:val="53C86465"/>
    <w:multiLevelType w:val="hybridMultilevel"/>
    <w:tmpl w:val="E9B2CFE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260B1A"/>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4" w15:restartNumberingAfterBreak="0">
    <w:nsid w:val="7CA92A79"/>
    <w:multiLevelType w:val="hybridMultilevel"/>
    <w:tmpl w:val="F246FFCC"/>
    <w:name w:val="Style41"/>
    <w:styleLink w:val="Style41"/>
    <w:lvl w:ilvl="0" w:tplc="08090001">
      <w:start w:val="1"/>
      <w:numFmt w:val="bullet"/>
      <w:lvlText w:val=""/>
      <w:lvlJc w:val="left"/>
      <w:pPr>
        <w:ind w:left="720" w:hanging="360"/>
      </w:pPr>
      <w:rPr>
        <w:rFonts w:ascii="Symbol" w:hAnsi="Symbol" w:hint="default"/>
      </w:rPr>
    </w:lvl>
    <w:lvl w:ilvl="1" w:tplc="0BE0001A">
      <w:start w:val="1"/>
      <w:numFmt w:val="lowerLetter"/>
      <w:lvlText w:val="%2."/>
      <w:lvlJc w:val="left"/>
      <w:pPr>
        <w:ind w:left="1440" w:hanging="360"/>
      </w:pPr>
    </w:lvl>
    <w:lvl w:ilvl="2" w:tplc="276E2C02">
      <w:start w:val="1"/>
      <w:numFmt w:val="lowerRoman"/>
      <w:lvlText w:val="%3."/>
      <w:lvlJc w:val="right"/>
      <w:pPr>
        <w:ind w:left="2160" w:hanging="180"/>
      </w:pPr>
    </w:lvl>
    <w:lvl w:ilvl="3" w:tplc="99864048">
      <w:start w:val="1"/>
      <w:numFmt w:val="decimal"/>
      <w:lvlText w:val="%4."/>
      <w:lvlJc w:val="left"/>
      <w:pPr>
        <w:ind w:left="2880" w:hanging="360"/>
      </w:pPr>
    </w:lvl>
    <w:lvl w:ilvl="4" w:tplc="9B244D5C">
      <w:start w:val="1"/>
      <w:numFmt w:val="lowerLetter"/>
      <w:lvlText w:val="%5."/>
      <w:lvlJc w:val="left"/>
      <w:pPr>
        <w:ind w:left="3600" w:hanging="360"/>
      </w:pPr>
    </w:lvl>
    <w:lvl w:ilvl="5" w:tplc="4F12EAAE">
      <w:start w:val="1"/>
      <w:numFmt w:val="lowerRoman"/>
      <w:lvlText w:val="%6."/>
      <w:lvlJc w:val="right"/>
      <w:pPr>
        <w:ind w:left="4320" w:hanging="180"/>
      </w:pPr>
    </w:lvl>
    <w:lvl w:ilvl="6" w:tplc="ABDEF396">
      <w:start w:val="1"/>
      <w:numFmt w:val="decimal"/>
      <w:lvlText w:val="%7."/>
      <w:lvlJc w:val="left"/>
      <w:pPr>
        <w:ind w:left="5040" w:hanging="360"/>
      </w:pPr>
    </w:lvl>
    <w:lvl w:ilvl="7" w:tplc="7F148600">
      <w:start w:val="1"/>
      <w:numFmt w:val="lowerLetter"/>
      <w:lvlText w:val="%8."/>
      <w:lvlJc w:val="left"/>
      <w:pPr>
        <w:ind w:left="5760" w:hanging="360"/>
      </w:pPr>
    </w:lvl>
    <w:lvl w:ilvl="8" w:tplc="4408634A">
      <w:start w:val="1"/>
      <w:numFmt w:val="lowerRoman"/>
      <w:lvlText w:val="%9."/>
      <w:lvlJc w:val="right"/>
      <w:pPr>
        <w:ind w:left="6480" w:hanging="180"/>
      </w:pPr>
    </w:lvl>
  </w:abstractNum>
  <w:num w:numId="1">
    <w:abstractNumId w:val="12"/>
  </w:num>
  <w:num w:numId="2">
    <w:abstractNumId w:val="4"/>
  </w:num>
  <w:num w:numId="3">
    <w:abstractNumId w:val="1"/>
  </w:num>
  <w:num w:numId="4">
    <w:abstractNumId w:val="14"/>
  </w:num>
  <w:num w:numId="5">
    <w:abstractNumId w:val="10"/>
  </w:num>
  <w:num w:numId="6">
    <w:abstractNumId w:val="11"/>
  </w:num>
  <w:num w:numId="7">
    <w:abstractNumId w:val="2"/>
  </w:num>
  <w:num w:numId="8">
    <w:abstractNumId w:val="13"/>
  </w:num>
  <w:num w:numId="9">
    <w:abstractNumId w:val="9"/>
  </w:num>
  <w:num w:numId="10">
    <w:abstractNumId w:val="3"/>
  </w:num>
  <w:num w:numId="11">
    <w:abstractNumId w:val="8"/>
  </w:num>
  <w:num w:numId="12">
    <w:abstractNumId w:val="5"/>
  </w:num>
  <w:num w:numId="13">
    <w:abstractNumId w:val="6"/>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4D7A"/>
    <w:rsid w:val="000115D2"/>
    <w:rsid w:val="00013516"/>
    <w:rsid w:val="00015FCA"/>
    <w:rsid w:val="00016A62"/>
    <w:rsid w:val="000179CB"/>
    <w:rsid w:val="000201D4"/>
    <w:rsid w:val="00024C27"/>
    <w:rsid w:val="00033ED3"/>
    <w:rsid w:val="00035C55"/>
    <w:rsid w:val="00037DF7"/>
    <w:rsid w:val="0005124B"/>
    <w:rsid w:val="0005281B"/>
    <w:rsid w:val="00063DF7"/>
    <w:rsid w:val="00067372"/>
    <w:rsid w:val="00074DCC"/>
    <w:rsid w:val="00076A44"/>
    <w:rsid w:val="00077DAB"/>
    <w:rsid w:val="00082526"/>
    <w:rsid w:val="00082AFB"/>
    <w:rsid w:val="000870DF"/>
    <w:rsid w:val="0008779E"/>
    <w:rsid w:val="00093567"/>
    <w:rsid w:val="000A1AD1"/>
    <w:rsid w:val="000B458D"/>
    <w:rsid w:val="000B6719"/>
    <w:rsid w:val="000B6E49"/>
    <w:rsid w:val="000B7EF3"/>
    <w:rsid w:val="000C469F"/>
    <w:rsid w:val="000C76F9"/>
    <w:rsid w:val="000D4FA1"/>
    <w:rsid w:val="00107D1A"/>
    <w:rsid w:val="0011509C"/>
    <w:rsid w:val="001153E7"/>
    <w:rsid w:val="0011757B"/>
    <w:rsid w:val="00120832"/>
    <w:rsid w:val="0012123F"/>
    <w:rsid w:val="00121391"/>
    <w:rsid w:val="00123FA7"/>
    <w:rsid w:val="00125B61"/>
    <w:rsid w:val="00135F47"/>
    <w:rsid w:val="00137FC3"/>
    <w:rsid w:val="00144E00"/>
    <w:rsid w:val="00151374"/>
    <w:rsid w:val="00152283"/>
    <w:rsid w:val="001530C6"/>
    <w:rsid w:val="00162619"/>
    <w:rsid w:val="00166222"/>
    <w:rsid w:val="001662B8"/>
    <w:rsid w:val="001717DB"/>
    <w:rsid w:val="00172974"/>
    <w:rsid w:val="00173B67"/>
    <w:rsid w:val="00175C16"/>
    <w:rsid w:val="00182E3C"/>
    <w:rsid w:val="001837AB"/>
    <w:rsid w:val="00194619"/>
    <w:rsid w:val="00194E46"/>
    <w:rsid w:val="00195A39"/>
    <w:rsid w:val="001A112E"/>
    <w:rsid w:val="001A1C12"/>
    <w:rsid w:val="001A23A5"/>
    <w:rsid w:val="001A3441"/>
    <w:rsid w:val="001A74B3"/>
    <w:rsid w:val="001B1A06"/>
    <w:rsid w:val="001B33A1"/>
    <w:rsid w:val="001C2268"/>
    <w:rsid w:val="001C2795"/>
    <w:rsid w:val="001C286B"/>
    <w:rsid w:val="001D061B"/>
    <w:rsid w:val="001D7626"/>
    <w:rsid w:val="001E1B83"/>
    <w:rsid w:val="001F2A28"/>
    <w:rsid w:val="0021498C"/>
    <w:rsid w:val="0021499D"/>
    <w:rsid w:val="00226D34"/>
    <w:rsid w:val="0022762E"/>
    <w:rsid w:val="00234CC4"/>
    <w:rsid w:val="00246FC0"/>
    <w:rsid w:val="0025520A"/>
    <w:rsid w:val="0027097A"/>
    <w:rsid w:val="002810D9"/>
    <w:rsid w:val="002845CC"/>
    <w:rsid w:val="002851E4"/>
    <w:rsid w:val="002873B9"/>
    <w:rsid w:val="00293C16"/>
    <w:rsid w:val="002A200C"/>
    <w:rsid w:val="002A61E5"/>
    <w:rsid w:val="002C0324"/>
    <w:rsid w:val="002C694A"/>
    <w:rsid w:val="002D12FF"/>
    <w:rsid w:val="002D3B91"/>
    <w:rsid w:val="002F4584"/>
    <w:rsid w:val="002F4B81"/>
    <w:rsid w:val="003027D4"/>
    <w:rsid w:val="003101D3"/>
    <w:rsid w:val="00316050"/>
    <w:rsid w:val="00324744"/>
    <w:rsid w:val="00333AC1"/>
    <w:rsid w:val="00354462"/>
    <w:rsid w:val="00354E51"/>
    <w:rsid w:val="00362582"/>
    <w:rsid w:val="00365BF3"/>
    <w:rsid w:val="003710EB"/>
    <w:rsid w:val="00385A50"/>
    <w:rsid w:val="003C1A2C"/>
    <w:rsid w:val="003C3A7F"/>
    <w:rsid w:val="003C4788"/>
    <w:rsid w:val="003D4EA7"/>
    <w:rsid w:val="003D4EB1"/>
    <w:rsid w:val="003D7273"/>
    <w:rsid w:val="003F0021"/>
    <w:rsid w:val="003F4928"/>
    <w:rsid w:val="00405048"/>
    <w:rsid w:val="004133CA"/>
    <w:rsid w:val="00415C72"/>
    <w:rsid w:val="00417723"/>
    <w:rsid w:val="00425FD5"/>
    <w:rsid w:val="00426807"/>
    <w:rsid w:val="00430307"/>
    <w:rsid w:val="004352B1"/>
    <w:rsid w:val="00457EF4"/>
    <w:rsid w:val="004715CE"/>
    <w:rsid w:val="00481BFE"/>
    <w:rsid w:val="00496A87"/>
    <w:rsid w:val="004C2F4B"/>
    <w:rsid w:val="004C54DF"/>
    <w:rsid w:val="004C7797"/>
    <w:rsid w:val="004D6E05"/>
    <w:rsid w:val="004E2EBA"/>
    <w:rsid w:val="004E50F1"/>
    <w:rsid w:val="004E5D7A"/>
    <w:rsid w:val="004F0EC6"/>
    <w:rsid w:val="004F3362"/>
    <w:rsid w:val="00513277"/>
    <w:rsid w:val="0051446C"/>
    <w:rsid w:val="00517F6F"/>
    <w:rsid w:val="00524620"/>
    <w:rsid w:val="00532E44"/>
    <w:rsid w:val="005351BB"/>
    <w:rsid w:val="00551B85"/>
    <w:rsid w:val="00551FE2"/>
    <w:rsid w:val="0055298E"/>
    <w:rsid w:val="0055602C"/>
    <w:rsid w:val="00577174"/>
    <w:rsid w:val="0057749C"/>
    <w:rsid w:val="005868BC"/>
    <w:rsid w:val="005A04C4"/>
    <w:rsid w:val="005A32C2"/>
    <w:rsid w:val="005A4D40"/>
    <w:rsid w:val="005A5337"/>
    <w:rsid w:val="005B2783"/>
    <w:rsid w:val="005E1909"/>
    <w:rsid w:val="006040FC"/>
    <w:rsid w:val="00611649"/>
    <w:rsid w:val="006116A8"/>
    <w:rsid w:val="00613936"/>
    <w:rsid w:val="00621745"/>
    <w:rsid w:val="00630C28"/>
    <w:rsid w:val="00631119"/>
    <w:rsid w:val="00641063"/>
    <w:rsid w:val="006515F8"/>
    <w:rsid w:val="00656A35"/>
    <w:rsid w:val="00657736"/>
    <w:rsid w:val="00680192"/>
    <w:rsid w:val="0068196F"/>
    <w:rsid w:val="00684789"/>
    <w:rsid w:val="006925D9"/>
    <w:rsid w:val="006A1C8C"/>
    <w:rsid w:val="006A40AB"/>
    <w:rsid w:val="006B1D8B"/>
    <w:rsid w:val="006B48EA"/>
    <w:rsid w:val="006C25A7"/>
    <w:rsid w:val="006C4DBC"/>
    <w:rsid w:val="006C514B"/>
    <w:rsid w:val="006E6EE8"/>
    <w:rsid w:val="00714CE2"/>
    <w:rsid w:val="00715F21"/>
    <w:rsid w:val="007243D3"/>
    <w:rsid w:val="007421C0"/>
    <w:rsid w:val="00744618"/>
    <w:rsid w:val="00754D09"/>
    <w:rsid w:val="00763DEA"/>
    <w:rsid w:val="00780CE1"/>
    <w:rsid w:val="007875AF"/>
    <w:rsid w:val="007954B5"/>
    <w:rsid w:val="007A56DB"/>
    <w:rsid w:val="007B094E"/>
    <w:rsid w:val="007B32B6"/>
    <w:rsid w:val="007B72B2"/>
    <w:rsid w:val="007B7E22"/>
    <w:rsid w:val="007C527D"/>
    <w:rsid w:val="007C637B"/>
    <w:rsid w:val="007D485F"/>
    <w:rsid w:val="007D4F26"/>
    <w:rsid w:val="007D6E73"/>
    <w:rsid w:val="007E3607"/>
    <w:rsid w:val="007E7453"/>
    <w:rsid w:val="007E7C5B"/>
    <w:rsid w:val="007F1197"/>
    <w:rsid w:val="007F2FE5"/>
    <w:rsid w:val="007F4F7F"/>
    <w:rsid w:val="00813EE2"/>
    <w:rsid w:val="00817A62"/>
    <w:rsid w:val="00820426"/>
    <w:rsid w:val="00827204"/>
    <w:rsid w:val="00834F37"/>
    <w:rsid w:val="008436D9"/>
    <w:rsid w:val="008465C3"/>
    <w:rsid w:val="00863663"/>
    <w:rsid w:val="00864B35"/>
    <w:rsid w:val="00864DBD"/>
    <w:rsid w:val="0086659B"/>
    <w:rsid w:val="00870BA1"/>
    <w:rsid w:val="0087663A"/>
    <w:rsid w:val="00884F68"/>
    <w:rsid w:val="0088594C"/>
    <w:rsid w:val="008919F7"/>
    <w:rsid w:val="008A17A7"/>
    <w:rsid w:val="008A6518"/>
    <w:rsid w:val="008B471A"/>
    <w:rsid w:val="008D1E78"/>
    <w:rsid w:val="008D7A93"/>
    <w:rsid w:val="008E101F"/>
    <w:rsid w:val="008E4360"/>
    <w:rsid w:val="008F0A1E"/>
    <w:rsid w:val="008F0EAD"/>
    <w:rsid w:val="008F2E84"/>
    <w:rsid w:val="008F3AC8"/>
    <w:rsid w:val="00901F63"/>
    <w:rsid w:val="0090362D"/>
    <w:rsid w:val="00906810"/>
    <w:rsid w:val="00912A1A"/>
    <w:rsid w:val="009212CF"/>
    <w:rsid w:val="009404D0"/>
    <w:rsid w:val="00945AF3"/>
    <w:rsid w:val="00945C05"/>
    <w:rsid w:val="0095727B"/>
    <w:rsid w:val="00977925"/>
    <w:rsid w:val="009808BB"/>
    <w:rsid w:val="009A0AB3"/>
    <w:rsid w:val="009A1C2F"/>
    <w:rsid w:val="009B0F0D"/>
    <w:rsid w:val="009B2363"/>
    <w:rsid w:val="009B3669"/>
    <w:rsid w:val="009B7069"/>
    <w:rsid w:val="009C0BE8"/>
    <w:rsid w:val="009C5D43"/>
    <w:rsid w:val="009C617A"/>
    <w:rsid w:val="009D7454"/>
    <w:rsid w:val="009F34C0"/>
    <w:rsid w:val="00A014C0"/>
    <w:rsid w:val="00A11C01"/>
    <w:rsid w:val="00A15002"/>
    <w:rsid w:val="00A20DDE"/>
    <w:rsid w:val="00A250AC"/>
    <w:rsid w:val="00A26E54"/>
    <w:rsid w:val="00A473FA"/>
    <w:rsid w:val="00A577EC"/>
    <w:rsid w:val="00A9685B"/>
    <w:rsid w:val="00AA61F3"/>
    <w:rsid w:val="00AB5B54"/>
    <w:rsid w:val="00AB63DE"/>
    <w:rsid w:val="00AB75DF"/>
    <w:rsid w:val="00AC28A9"/>
    <w:rsid w:val="00AC5EFF"/>
    <w:rsid w:val="00AD5402"/>
    <w:rsid w:val="00AD7E52"/>
    <w:rsid w:val="00AE235B"/>
    <w:rsid w:val="00AE289A"/>
    <w:rsid w:val="00AE6C2F"/>
    <w:rsid w:val="00AF045D"/>
    <w:rsid w:val="00AF089A"/>
    <w:rsid w:val="00AF4A2D"/>
    <w:rsid w:val="00B0043E"/>
    <w:rsid w:val="00B1150B"/>
    <w:rsid w:val="00B14965"/>
    <w:rsid w:val="00B23C1D"/>
    <w:rsid w:val="00B24EDC"/>
    <w:rsid w:val="00B278CD"/>
    <w:rsid w:val="00B30B90"/>
    <w:rsid w:val="00B33EC2"/>
    <w:rsid w:val="00B44D64"/>
    <w:rsid w:val="00B5133D"/>
    <w:rsid w:val="00B53EAC"/>
    <w:rsid w:val="00B5694C"/>
    <w:rsid w:val="00B712B3"/>
    <w:rsid w:val="00B73619"/>
    <w:rsid w:val="00B73DE0"/>
    <w:rsid w:val="00B8770C"/>
    <w:rsid w:val="00B9045F"/>
    <w:rsid w:val="00B96E45"/>
    <w:rsid w:val="00BA58FE"/>
    <w:rsid w:val="00BB1CC0"/>
    <w:rsid w:val="00BC6D82"/>
    <w:rsid w:val="00BD0A45"/>
    <w:rsid w:val="00BD27C5"/>
    <w:rsid w:val="00BE0F92"/>
    <w:rsid w:val="00BE6A27"/>
    <w:rsid w:val="00BF0A1C"/>
    <w:rsid w:val="00BF381B"/>
    <w:rsid w:val="00BF5796"/>
    <w:rsid w:val="00BF7307"/>
    <w:rsid w:val="00C03042"/>
    <w:rsid w:val="00C05BAF"/>
    <w:rsid w:val="00C110DF"/>
    <w:rsid w:val="00C11A65"/>
    <w:rsid w:val="00C32968"/>
    <w:rsid w:val="00C32AFB"/>
    <w:rsid w:val="00C32D84"/>
    <w:rsid w:val="00C428E1"/>
    <w:rsid w:val="00C44C51"/>
    <w:rsid w:val="00C5317A"/>
    <w:rsid w:val="00C6769F"/>
    <w:rsid w:val="00C71AD2"/>
    <w:rsid w:val="00C739E5"/>
    <w:rsid w:val="00C75DC2"/>
    <w:rsid w:val="00C913DC"/>
    <w:rsid w:val="00C95E3B"/>
    <w:rsid w:val="00CA49A8"/>
    <w:rsid w:val="00CB1DDC"/>
    <w:rsid w:val="00CC2D29"/>
    <w:rsid w:val="00CC634E"/>
    <w:rsid w:val="00CC7F7E"/>
    <w:rsid w:val="00CD32CB"/>
    <w:rsid w:val="00CD7ABE"/>
    <w:rsid w:val="00CE1DF1"/>
    <w:rsid w:val="00CF03D4"/>
    <w:rsid w:val="00CF4930"/>
    <w:rsid w:val="00CF7950"/>
    <w:rsid w:val="00D033FF"/>
    <w:rsid w:val="00D11D80"/>
    <w:rsid w:val="00D13583"/>
    <w:rsid w:val="00D15EB5"/>
    <w:rsid w:val="00D3195F"/>
    <w:rsid w:val="00D36DE8"/>
    <w:rsid w:val="00D375E2"/>
    <w:rsid w:val="00D4721C"/>
    <w:rsid w:val="00D51808"/>
    <w:rsid w:val="00D51BD2"/>
    <w:rsid w:val="00D523AE"/>
    <w:rsid w:val="00D53323"/>
    <w:rsid w:val="00D533B9"/>
    <w:rsid w:val="00D54C99"/>
    <w:rsid w:val="00D642BC"/>
    <w:rsid w:val="00D64A24"/>
    <w:rsid w:val="00D66C7E"/>
    <w:rsid w:val="00D6731B"/>
    <w:rsid w:val="00D7165F"/>
    <w:rsid w:val="00D72014"/>
    <w:rsid w:val="00D726EB"/>
    <w:rsid w:val="00D73FDF"/>
    <w:rsid w:val="00D759EE"/>
    <w:rsid w:val="00D77AE3"/>
    <w:rsid w:val="00D86DB0"/>
    <w:rsid w:val="00D935A4"/>
    <w:rsid w:val="00DB454F"/>
    <w:rsid w:val="00DB49A4"/>
    <w:rsid w:val="00DB55CC"/>
    <w:rsid w:val="00DC5CFC"/>
    <w:rsid w:val="00DD7096"/>
    <w:rsid w:val="00DE6CBC"/>
    <w:rsid w:val="00DF0260"/>
    <w:rsid w:val="00DF5FFE"/>
    <w:rsid w:val="00E0417A"/>
    <w:rsid w:val="00E05B62"/>
    <w:rsid w:val="00E074F2"/>
    <w:rsid w:val="00E12FC8"/>
    <w:rsid w:val="00E16C61"/>
    <w:rsid w:val="00E2349B"/>
    <w:rsid w:val="00E26D3E"/>
    <w:rsid w:val="00E474C7"/>
    <w:rsid w:val="00E54586"/>
    <w:rsid w:val="00E6379D"/>
    <w:rsid w:val="00E822F7"/>
    <w:rsid w:val="00E85170"/>
    <w:rsid w:val="00EA5EC1"/>
    <w:rsid w:val="00EA73B3"/>
    <w:rsid w:val="00EB45A1"/>
    <w:rsid w:val="00EC13E8"/>
    <w:rsid w:val="00EC389C"/>
    <w:rsid w:val="00EC4D7E"/>
    <w:rsid w:val="00EE01C4"/>
    <w:rsid w:val="00EF4913"/>
    <w:rsid w:val="00F00E9C"/>
    <w:rsid w:val="00F02E7B"/>
    <w:rsid w:val="00F14463"/>
    <w:rsid w:val="00F34E97"/>
    <w:rsid w:val="00F53F15"/>
    <w:rsid w:val="00F54977"/>
    <w:rsid w:val="00F5698B"/>
    <w:rsid w:val="00F57573"/>
    <w:rsid w:val="00F6664A"/>
    <w:rsid w:val="00F84D8A"/>
    <w:rsid w:val="00F85D86"/>
    <w:rsid w:val="00F956FA"/>
    <w:rsid w:val="00F95876"/>
    <w:rsid w:val="00F97C63"/>
    <w:rsid w:val="00FA3A93"/>
    <w:rsid w:val="00FA7C44"/>
    <w:rsid w:val="00FB71D3"/>
    <w:rsid w:val="00FC1563"/>
    <w:rsid w:val="00FD643C"/>
    <w:rsid w:val="00FE1C60"/>
    <w:rsid w:val="0A57A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279F40"/>
  <w15:docId w15:val="{238819E3-4718-4496-B706-72E29DFBA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customStyle="1" w:styleId="TableGrid1">
    <w:name w:val="Table Grid1"/>
    <w:basedOn w:val="TableNormal"/>
    <w:next w:val="TableGrid"/>
    <w:uiPriority w:val="59"/>
    <w:rsid w:val="00EA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A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7E52"/>
    <w:pPr>
      <w:ind w:left="720"/>
      <w:contextualSpacing/>
    </w:pPr>
    <w:rPr>
      <w:rFonts w:eastAsiaTheme="minorHAnsi"/>
      <w:sz w:val="20"/>
      <w:szCs w:val="20"/>
      <w:lang w:eastAsia="en-US"/>
    </w:rPr>
  </w:style>
  <w:style w:type="numbering" w:customStyle="1" w:styleId="Style41">
    <w:name w:val="Style41"/>
    <w:qFormat/>
    <w:rsid w:val="009212CF"/>
    <w:pPr>
      <w:numPr>
        <w:numId w:val="4"/>
      </w:numPr>
    </w:pPr>
  </w:style>
  <w:style w:type="numbering" w:customStyle="1" w:styleId="Style411">
    <w:name w:val="Style411"/>
    <w:qFormat/>
    <w:rsid w:val="009212CF"/>
    <w:pPr>
      <w:numPr>
        <w:numId w:val="5"/>
      </w:numPr>
    </w:pPr>
  </w:style>
  <w:style w:type="character" w:styleId="FollowedHyperlink">
    <w:name w:val="FollowedHyperlink"/>
    <w:basedOn w:val="DefaultParagraphFont"/>
    <w:uiPriority w:val="99"/>
    <w:semiHidden/>
    <w:unhideWhenUsed/>
    <w:rsid w:val="001E1B83"/>
    <w:rPr>
      <w:color w:val="D2232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xoserve.com/change/change-proposals/xrn-4897-resolution-of-deleted-contact-details-contained-within-the-s66-records-at-a-change-of-shipper-even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xoserve.com/change/change-proposals/xrn-4871-modification-0665-changes-to-ratchet-regim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box.xoserve.portfoliooffice@xoserv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xoserve.com/change/change-proposals/xrn-4801-additional-information-to-be-made-viewable-on-des/?return=/change/change-proposals/?customers=&amp;statuses=&amp;search=4801" TargetMode="External"/><Relationship Id="rId5" Type="http://schemas.openxmlformats.org/officeDocument/2006/relationships/styles" Target="styles.xml"/><Relationship Id="rId15" Type="http://schemas.openxmlformats.org/officeDocument/2006/relationships/hyperlink" Target="https://www.xoserve.com/change/change-proposals/xrn-5014-facilitating-hydeploy2-live-pilot/"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xoserve.com/change/change-proposals/xrn-4899-treatment-of-priority-service-register-data-and-contact-details-on-a-change-of-supplier-event/" TargetMode="External"/></Relationship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4A46900855F54F8B1B4A69CC14CF6B" ma:contentTypeVersion="7" ma:contentTypeDescription="Create a new document." ma:contentTypeScope="" ma:versionID="cb23e439608fa62b7d4e34d18c2a6014">
  <xsd:schema xmlns:xsd="http://www.w3.org/2001/XMLSchema" xmlns:xs="http://www.w3.org/2001/XMLSchema" xmlns:p="http://schemas.microsoft.com/office/2006/metadata/properties" xmlns:ns2="11f1cc19-a6a2-4477-822b-8358f9edc374" xmlns:ns3="103fba77-31dd-4780-83f9-c54f26c3a260" targetNamespace="http://schemas.microsoft.com/office/2006/metadata/properties" ma:root="true" ma:fieldsID="8f8e5271f7d152bbf69cc47d21b266bc" ns2:_="" ns3:_="">
    <xsd:import namespace="11f1cc19-a6a2-4477-822b-8358f9edc374"/>
    <xsd:import namespace="103fba77-31dd-4780-83f9-c54f26c3a2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1cc19-a6a2-4477-822b-8358f9edc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3fba77-31dd-4780-83f9-c54f26c3a2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DB1370-432A-4AB2-B1AB-42EE47F95A6F}"/>
</file>

<file path=customXml/itemProps2.xml><?xml version="1.0" encoding="utf-8"?>
<ds:datastoreItem xmlns:ds="http://schemas.openxmlformats.org/officeDocument/2006/customXml" ds:itemID="{DA5FD1E4-E801-45E3-8622-5705A3614C6C}">
  <ds:schemaRefs>
    <ds:schemaRef ds:uri="http://purl.org/dc/terms/"/>
    <ds:schemaRef ds:uri="http://schemas.microsoft.com/office/2006/documentManagement/types"/>
    <ds:schemaRef ds:uri="http://purl.org/dc/dcmitype/"/>
    <ds:schemaRef ds:uri="http://www.w3.org/XML/1998/namespace"/>
    <ds:schemaRef ds:uri="http://purl.org/dc/elements/1.1/"/>
    <ds:schemaRef ds:uri="19059e2e-626c-4d15-a5ff-91d6b90bd901"/>
    <ds:schemaRef ds:uri="http://schemas.microsoft.com/office/infopath/2007/PartnerControls"/>
    <ds:schemaRef ds:uri="http://schemas.openxmlformats.org/package/2006/metadata/core-properties"/>
    <ds:schemaRef ds:uri="15ac41a2-1206-4f70-a7a6-fac52dbf4930"/>
    <ds:schemaRef ds:uri="http://schemas.microsoft.com/office/2006/metadata/properties"/>
  </ds:schemaRefs>
</ds:datastoreItem>
</file>

<file path=customXml/itemProps3.xml><?xml version="1.0" encoding="utf-8"?>
<ds:datastoreItem xmlns:ds="http://schemas.openxmlformats.org/officeDocument/2006/customXml" ds:itemID="{10FE92D9-C373-4587-A1BF-C6A521F5EE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National Grid</dc:creator>
  <cp:lastModifiedBy>Ed M Healy</cp:lastModifiedBy>
  <cp:revision>2</cp:revision>
  <dcterms:created xsi:type="dcterms:W3CDTF">2021-06-25T10:50:00Z</dcterms:created>
  <dcterms:modified xsi:type="dcterms:W3CDTF">2021-06-25T10:50:00Z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0x010100BE4A46900855F54F8B1B4A69CC14CF6B</vt:lpwstr>
  </property>
  <property fmtid="{D5CDD505-2E9C-101B-9397-08002B2CF9AE}" pid="3" name="Order">
    <vt:r8>553700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Owner">
    <vt:lpwstr>Unknown</vt:lpwstr>
  </property>
</Properties>
</file>