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64D46" w14:textId="136207CF" w:rsidR="007D4F26" w:rsidRDefault="007A113D" w:rsidP="007A113D">
      <w:pPr>
        <w:pStyle w:val="Title"/>
        <w:jc w:val="center"/>
      </w:pPr>
      <w:bookmarkStart w:id="0" w:name="_GoBack"/>
      <w:bookmarkEnd w:id="0"/>
      <w:r>
        <w:t>DSC Evaluation Quotation Report (EQR)</w:t>
      </w:r>
    </w:p>
    <w:p w14:paraId="67EBF7C3" w14:textId="32D253B6" w:rsidR="007A113D" w:rsidRDefault="007A113D" w:rsidP="00D66C7E">
      <w:r>
        <w:rPr>
          <w:noProof/>
        </w:rPr>
        <w:drawing>
          <wp:anchor distT="0" distB="0" distL="114300" distR="114300" simplePos="0" relativeHeight="251678720" behindDoc="0" locked="0" layoutInCell="1" allowOverlap="1" wp14:anchorId="2DA64D8B" wp14:editId="7FE405E2">
            <wp:simplePos x="0" y="0"/>
            <wp:positionH relativeFrom="column">
              <wp:posOffset>723900</wp:posOffset>
            </wp:positionH>
            <wp:positionV relativeFrom="paragraph">
              <wp:posOffset>22225</wp:posOffset>
            </wp:positionV>
            <wp:extent cx="4109720" cy="647700"/>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09720" cy="647700"/>
                    </a:xfrm>
                    <a:prstGeom prst="rect">
                      <a:avLst/>
                    </a:prstGeom>
                  </pic:spPr>
                </pic:pic>
              </a:graphicData>
            </a:graphic>
            <wp14:sizeRelH relativeFrom="page">
              <wp14:pctWidth>0</wp14:pctWidth>
            </wp14:sizeRelH>
            <wp14:sizeRelV relativeFrom="page">
              <wp14:pctHeight>0</wp14:pctHeight>
            </wp14:sizeRelV>
          </wp:anchor>
        </w:drawing>
      </w:r>
    </w:p>
    <w:p w14:paraId="628CDB17" w14:textId="77777777" w:rsidR="007A113D" w:rsidRDefault="007A113D" w:rsidP="00D66C7E"/>
    <w:p w14:paraId="20498AEC" w14:textId="77777777" w:rsidR="007A113D" w:rsidRDefault="007A113D" w:rsidP="007A113D">
      <w:pPr>
        <w:pStyle w:val="NoSpacing"/>
      </w:pPr>
    </w:p>
    <w:tbl>
      <w:tblPr>
        <w:tblStyle w:val="TableGrid1"/>
        <w:tblW w:w="5598" w:type="pct"/>
        <w:tblInd w:w="-459" w:type="dxa"/>
        <w:tblLayout w:type="fixed"/>
        <w:tblLook w:val="04A0" w:firstRow="1" w:lastRow="0" w:firstColumn="1" w:lastColumn="0" w:noHBand="0" w:noVBand="1"/>
      </w:tblPr>
      <w:tblGrid>
        <w:gridCol w:w="4962"/>
        <w:gridCol w:w="211"/>
        <w:gridCol w:w="143"/>
        <w:gridCol w:w="5031"/>
      </w:tblGrid>
      <w:tr w:rsidR="00482AC6" w:rsidRPr="007A113D" w14:paraId="5ABAD362" w14:textId="77777777" w:rsidTr="00514B8E">
        <w:tc>
          <w:tcPr>
            <w:tcW w:w="2398" w:type="pct"/>
            <w:shd w:val="clear" w:color="auto" w:fill="FFFFFF" w:themeFill="background1"/>
            <w:vAlign w:val="center"/>
          </w:tcPr>
          <w:p w14:paraId="2A26334B" w14:textId="77777777" w:rsidR="00482AC6" w:rsidRPr="00047617" w:rsidRDefault="00482AC6" w:rsidP="00482AC6">
            <w:pPr>
              <w:rPr>
                <w:rFonts w:eastAsia="Times New Roman" w:cs="Arial"/>
                <w:b/>
              </w:rPr>
            </w:pPr>
            <w:r w:rsidRPr="00047617">
              <w:rPr>
                <w:rFonts w:eastAsia="Times New Roman" w:cs="Arial"/>
                <w:b/>
              </w:rPr>
              <w:t>Change Title</w:t>
            </w:r>
          </w:p>
        </w:tc>
        <w:tc>
          <w:tcPr>
            <w:tcW w:w="2602" w:type="pct"/>
            <w:gridSpan w:val="3"/>
          </w:tcPr>
          <w:p w14:paraId="168A8270" w14:textId="38C9A2CD" w:rsidR="00482AC6" w:rsidRPr="00047617" w:rsidRDefault="00482AC6" w:rsidP="00482AC6">
            <w:pPr>
              <w:rPr>
                <w:rFonts w:eastAsia="Times New Roman" w:cs="Arial"/>
              </w:rPr>
            </w:pPr>
            <w:r w:rsidRPr="00047617">
              <w:rPr>
                <w:rFonts w:cs="Arial"/>
              </w:rPr>
              <w:t>FWACV (Flow Weighted Average Calorific Value)</w:t>
            </w:r>
          </w:p>
        </w:tc>
      </w:tr>
      <w:tr w:rsidR="00482AC6" w:rsidRPr="007A113D" w14:paraId="1D03C980" w14:textId="77777777" w:rsidTr="00514B8E">
        <w:tc>
          <w:tcPr>
            <w:tcW w:w="2398" w:type="pct"/>
            <w:shd w:val="clear" w:color="auto" w:fill="FFFFFF" w:themeFill="background1"/>
            <w:vAlign w:val="center"/>
          </w:tcPr>
          <w:p w14:paraId="4C4C487E" w14:textId="77777777" w:rsidR="00482AC6" w:rsidRPr="00047617" w:rsidRDefault="00482AC6" w:rsidP="00482AC6">
            <w:pPr>
              <w:rPr>
                <w:rFonts w:eastAsia="Times New Roman" w:cs="Arial"/>
                <w:b/>
              </w:rPr>
            </w:pPr>
            <w:r w:rsidRPr="00047617">
              <w:rPr>
                <w:rFonts w:eastAsia="Times New Roman" w:cs="Arial"/>
                <w:b/>
              </w:rPr>
              <w:t>Change reference number (XRN)</w:t>
            </w:r>
          </w:p>
        </w:tc>
        <w:tc>
          <w:tcPr>
            <w:tcW w:w="2602" w:type="pct"/>
            <w:gridSpan w:val="3"/>
          </w:tcPr>
          <w:p w14:paraId="2585E736" w14:textId="2A77534A" w:rsidR="00482AC6" w:rsidRPr="00047617" w:rsidRDefault="00482AC6" w:rsidP="00482AC6">
            <w:pPr>
              <w:rPr>
                <w:rFonts w:eastAsia="Times New Roman" w:cs="Arial"/>
              </w:rPr>
            </w:pPr>
            <w:r w:rsidRPr="00047617">
              <w:rPr>
                <w:rFonts w:cs="Arial"/>
              </w:rPr>
              <w:t>5231</w:t>
            </w:r>
          </w:p>
        </w:tc>
      </w:tr>
      <w:tr w:rsidR="00482AC6" w:rsidRPr="007A113D" w14:paraId="597FAE96" w14:textId="77777777" w:rsidTr="00514B8E">
        <w:tc>
          <w:tcPr>
            <w:tcW w:w="2398" w:type="pct"/>
            <w:tcBorders>
              <w:bottom w:val="single" w:sz="4" w:space="0" w:color="auto"/>
            </w:tcBorders>
            <w:shd w:val="clear" w:color="auto" w:fill="FFFFFF" w:themeFill="background1"/>
            <w:vAlign w:val="center"/>
          </w:tcPr>
          <w:p w14:paraId="355606E5" w14:textId="77777777" w:rsidR="00482AC6" w:rsidRPr="00047617" w:rsidRDefault="00482AC6" w:rsidP="00482AC6">
            <w:pPr>
              <w:rPr>
                <w:rFonts w:eastAsia="Times New Roman" w:cs="Arial"/>
                <w:b/>
              </w:rPr>
            </w:pPr>
            <w:r w:rsidRPr="00047617">
              <w:rPr>
                <w:rFonts w:eastAsia="Times New Roman" w:cs="Arial"/>
                <w:b/>
              </w:rPr>
              <w:t xml:space="preserve">Xoserve Project Manager  </w:t>
            </w:r>
          </w:p>
        </w:tc>
        <w:tc>
          <w:tcPr>
            <w:tcW w:w="2602" w:type="pct"/>
            <w:gridSpan w:val="3"/>
            <w:tcBorders>
              <w:bottom w:val="single" w:sz="4" w:space="0" w:color="auto"/>
            </w:tcBorders>
          </w:tcPr>
          <w:p w14:paraId="40535F66" w14:textId="6FD87F30" w:rsidR="00482AC6" w:rsidRPr="00047617" w:rsidRDefault="00482AC6" w:rsidP="00482AC6">
            <w:pPr>
              <w:rPr>
                <w:rFonts w:eastAsia="Times New Roman" w:cs="Arial"/>
              </w:rPr>
            </w:pPr>
            <w:r w:rsidRPr="00047617">
              <w:rPr>
                <w:rFonts w:cs="Arial"/>
              </w:rPr>
              <w:t>T</w:t>
            </w:r>
            <w:r w:rsidR="00FC63F4" w:rsidRPr="00047617">
              <w:rPr>
                <w:rFonts w:cs="Arial"/>
              </w:rPr>
              <w:t>om Lineham</w:t>
            </w:r>
          </w:p>
        </w:tc>
      </w:tr>
      <w:tr w:rsidR="00482AC6" w:rsidRPr="007A113D" w14:paraId="4599B898" w14:textId="77777777" w:rsidTr="00514B8E">
        <w:tc>
          <w:tcPr>
            <w:tcW w:w="2398" w:type="pct"/>
            <w:tcBorders>
              <w:bottom w:val="single" w:sz="4" w:space="0" w:color="auto"/>
            </w:tcBorders>
            <w:shd w:val="clear" w:color="auto" w:fill="FFFFFF" w:themeFill="background1"/>
            <w:vAlign w:val="center"/>
          </w:tcPr>
          <w:p w14:paraId="125984DD" w14:textId="77777777" w:rsidR="00482AC6" w:rsidRPr="00047617" w:rsidRDefault="00482AC6" w:rsidP="00482AC6">
            <w:pPr>
              <w:rPr>
                <w:rFonts w:eastAsia="Times New Roman" w:cs="Arial"/>
                <w:b/>
              </w:rPr>
            </w:pPr>
            <w:r w:rsidRPr="00047617">
              <w:rPr>
                <w:rFonts w:eastAsia="Times New Roman" w:cs="Arial"/>
                <w:b/>
              </w:rPr>
              <w:t>Email address</w:t>
            </w:r>
          </w:p>
        </w:tc>
        <w:tc>
          <w:tcPr>
            <w:tcW w:w="2602" w:type="pct"/>
            <w:gridSpan w:val="3"/>
            <w:tcBorders>
              <w:bottom w:val="single" w:sz="4" w:space="0" w:color="auto"/>
            </w:tcBorders>
          </w:tcPr>
          <w:p w14:paraId="0F4AD9FF" w14:textId="46BCD2B2" w:rsidR="00482AC6" w:rsidRPr="00047617" w:rsidRDefault="00FB7350" w:rsidP="00482AC6">
            <w:pPr>
              <w:rPr>
                <w:rFonts w:eastAsia="Times New Roman" w:cs="Arial"/>
              </w:rPr>
            </w:pPr>
            <w:r w:rsidRPr="00047617">
              <w:rPr>
                <w:rFonts w:cs="Arial"/>
              </w:rPr>
              <w:t>thomas.lineham@correla.com</w:t>
            </w:r>
          </w:p>
        </w:tc>
      </w:tr>
      <w:tr w:rsidR="00482AC6" w:rsidRPr="007A113D" w14:paraId="11745D87" w14:textId="77777777" w:rsidTr="00514B8E">
        <w:tc>
          <w:tcPr>
            <w:tcW w:w="2398" w:type="pct"/>
            <w:tcBorders>
              <w:bottom w:val="single" w:sz="4" w:space="0" w:color="auto"/>
            </w:tcBorders>
            <w:shd w:val="clear" w:color="auto" w:fill="FFFFFF" w:themeFill="background1"/>
            <w:vAlign w:val="center"/>
          </w:tcPr>
          <w:p w14:paraId="354B7876" w14:textId="77777777" w:rsidR="00482AC6" w:rsidRPr="00047617" w:rsidRDefault="00482AC6" w:rsidP="00482AC6">
            <w:pPr>
              <w:rPr>
                <w:rFonts w:eastAsia="Times New Roman" w:cs="Arial"/>
                <w:b/>
              </w:rPr>
            </w:pPr>
            <w:r w:rsidRPr="00047617">
              <w:rPr>
                <w:rFonts w:eastAsia="Times New Roman" w:cs="Arial"/>
                <w:b/>
              </w:rPr>
              <w:t>Contact number</w:t>
            </w:r>
          </w:p>
        </w:tc>
        <w:tc>
          <w:tcPr>
            <w:tcW w:w="2602" w:type="pct"/>
            <w:gridSpan w:val="3"/>
            <w:tcBorders>
              <w:bottom w:val="single" w:sz="4" w:space="0" w:color="auto"/>
            </w:tcBorders>
          </w:tcPr>
          <w:p w14:paraId="2B590728" w14:textId="76C13638" w:rsidR="00482AC6" w:rsidRPr="00047617" w:rsidRDefault="006A717F" w:rsidP="00482AC6">
            <w:pPr>
              <w:rPr>
                <w:rFonts w:eastAsia="Times New Roman" w:cs="Arial"/>
              </w:rPr>
            </w:pPr>
            <w:r w:rsidRPr="00047617">
              <w:rPr>
                <w:rFonts w:cs="Arial"/>
              </w:rPr>
              <w:t>0121 229 2711</w:t>
            </w:r>
          </w:p>
        </w:tc>
      </w:tr>
      <w:tr w:rsidR="00482AC6" w:rsidRPr="007A113D" w14:paraId="7521F4A3" w14:textId="77777777" w:rsidTr="00514B8E">
        <w:tc>
          <w:tcPr>
            <w:tcW w:w="2398" w:type="pct"/>
            <w:tcBorders>
              <w:bottom w:val="single" w:sz="4" w:space="0" w:color="auto"/>
            </w:tcBorders>
            <w:shd w:val="clear" w:color="auto" w:fill="FFFFFF" w:themeFill="background1"/>
            <w:vAlign w:val="center"/>
          </w:tcPr>
          <w:p w14:paraId="3834CF46" w14:textId="77777777" w:rsidR="00482AC6" w:rsidRPr="00047617" w:rsidRDefault="00482AC6" w:rsidP="00482AC6">
            <w:pPr>
              <w:rPr>
                <w:rFonts w:eastAsia="Times New Roman" w:cs="Arial"/>
                <w:b/>
              </w:rPr>
            </w:pPr>
            <w:r w:rsidRPr="00047617">
              <w:rPr>
                <w:rFonts w:eastAsia="Times New Roman" w:cs="Arial"/>
                <w:b/>
              </w:rPr>
              <w:t>Target Change Management Committee date</w:t>
            </w:r>
          </w:p>
        </w:tc>
        <w:tc>
          <w:tcPr>
            <w:tcW w:w="2602" w:type="pct"/>
            <w:gridSpan w:val="3"/>
            <w:tcBorders>
              <w:bottom w:val="single" w:sz="4" w:space="0" w:color="auto"/>
            </w:tcBorders>
          </w:tcPr>
          <w:p w14:paraId="5D0071FE" w14:textId="497D76AF" w:rsidR="00482AC6" w:rsidRPr="00047617" w:rsidRDefault="00B4100E" w:rsidP="00482AC6">
            <w:pPr>
              <w:rPr>
                <w:rFonts w:eastAsia="Times New Roman" w:cs="Arial"/>
              </w:rPr>
            </w:pPr>
            <w:r w:rsidRPr="00047617">
              <w:rPr>
                <w:rFonts w:eastAsia="Times New Roman" w:cs="Arial"/>
              </w:rPr>
              <w:t>11</w:t>
            </w:r>
            <w:r w:rsidRPr="00047617">
              <w:rPr>
                <w:rFonts w:eastAsia="Times New Roman" w:cs="Arial"/>
                <w:vertAlign w:val="superscript"/>
              </w:rPr>
              <w:t>th</w:t>
            </w:r>
            <w:r w:rsidRPr="00047617">
              <w:rPr>
                <w:rFonts w:eastAsia="Times New Roman" w:cs="Arial"/>
              </w:rPr>
              <w:t xml:space="preserve"> August 2021</w:t>
            </w:r>
          </w:p>
        </w:tc>
      </w:tr>
      <w:tr w:rsidR="00482AC6" w:rsidRPr="007A113D" w14:paraId="197F5554" w14:textId="77777777" w:rsidTr="00514B8E">
        <w:tc>
          <w:tcPr>
            <w:tcW w:w="5000" w:type="pct"/>
            <w:gridSpan w:val="4"/>
            <w:tcBorders>
              <w:bottom w:val="single" w:sz="4" w:space="0" w:color="auto"/>
            </w:tcBorders>
            <w:shd w:val="clear" w:color="auto" w:fill="3E5AA8" w:themeFill="accent1"/>
            <w:vAlign w:val="center"/>
          </w:tcPr>
          <w:p w14:paraId="32B3097A" w14:textId="77777777" w:rsidR="00482AC6" w:rsidRPr="007A113D" w:rsidRDefault="00482AC6" w:rsidP="00482AC6">
            <w:pPr>
              <w:jc w:val="center"/>
              <w:rPr>
                <w:rFonts w:eastAsia="Times New Roman" w:cs="Arial"/>
                <w:b/>
                <w:sz w:val="20"/>
                <w:szCs w:val="20"/>
              </w:rPr>
            </w:pPr>
            <w:r w:rsidRPr="007A113D">
              <w:rPr>
                <w:rFonts w:eastAsia="Arial" w:cs="Arial"/>
                <w:b/>
                <w:color w:val="FFFFFF"/>
                <w:sz w:val="20"/>
                <w:szCs w:val="20"/>
                <w:lang w:eastAsia="en-US"/>
              </w:rPr>
              <w:t>Section 1: Scope of EQR</w:t>
            </w:r>
          </w:p>
        </w:tc>
      </w:tr>
      <w:tr w:rsidR="00482AC6" w:rsidRPr="007A113D" w14:paraId="5BF0CC59" w14:textId="77777777" w:rsidTr="00514B8E">
        <w:tc>
          <w:tcPr>
            <w:tcW w:w="5000" w:type="pct"/>
            <w:gridSpan w:val="4"/>
            <w:tcBorders>
              <w:bottom w:val="single" w:sz="4" w:space="0" w:color="auto"/>
            </w:tcBorders>
            <w:shd w:val="clear" w:color="auto" w:fill="FFFFFF" w:themeFill="background1"/>
          </w:tcPr>
          <w:p w14:paraId="376034BC" w14:textId="77777777" w:rsidR="006122A0" w:rsidRDefault="008926B8" w:rsidP="006122A0">
            <w:pPr>
              <w:contextualSpacing/>
            </w:pPr>
            <w:r>
              <w:t xml:space="preserve">National Grid has announced it is to withdraw from providing the Distribution Network Operators (DNs) with the daily LDZ Flow-Weighted Average CV calculation (FWACV) service. </w:t>
            </w:r>
            <w:proofErr w:type="gramStart"/>
            <w:r>
              <w:t>As a consequence</w:t>
            </w:r>
            <w:proofErr w:type="gramEnd"/>
            <w:r>
              <w:t xml:space="preserve">, the DNs will become responsible for calculating their own daily LDZ FWACVs and, publishing the information to Shippers. The associated 0719R Workgroup has assessed several options that might support the DNs in meeting their FWACV calculation/information provision obligations. </w:t>
            </w:r>
          </w:p>
          <w:p w14:paraId="59A256BA" w14:textId="77777777" w:rsidR="006122A0" w:rsidRDefault="006122A0" w:rsidP="006122A0">
            <w:pPr>
              <w:contextualSpacing/>
            </w:pPr>
          </w:p>
          <w:p w14:paraId="6C77F838" w14:textId="5E0EF81C" w:rsidR="008926B8" w:rsidRDefault="008926B8" w:rsidP="006122A0">
            <w:pPr>
              <w:contextualSpacing/>
            </w:pPr>
            <w:r>
              <w:t xml:space="preserve">The DNs have agreed that Xoserve should take the FWACV calculation role over in its entirety from National Grid and Xoserve </w:t>
            </w:r>
            <w:r w:rsidR="009A45C0">
              <w:t>are working to</w:t>
            </w:r>
            <w:r>
              <w:t xml:space="preserve"> develop a single option solution.</w:t>
            </w:r>
            <w:r w:rsidR="009A45C0">
              <w:t xml:space="preserve">  This EQR is to approve the costs for the Detailed Design phase of the project </w:t>
            </w:r>
            <w:r w:rsidR="006122A0">
              <w:t xml:space="preserve">which will baseline the design and provide ‘firm costs’ to deliver the agreed solution and the ongoing Manage </w:t>
            </w:r>
            <w:proofErr w:type="gramStart"/>
            <w:r w:rsidR="006122A0">
              <w:t>The</w:t>
            </w:r>
            <w:proofErr w:type="gramEnd"/>
            <w:r w:rsidR="006122A0">
              <w:t xml:space="preserve"> Business Costs for the FWACV service.</w:t>
            </w:r>
          </w:p>
          <w:p w14:paraId="7F513790" w14:textId="69CD9701" w:rsidR="0055416B" w:rsidRDefault="0055416B" w:rsidP="006122A0">
            <w:pPr>
              <w:contextualSpacing/>
            </w:pPr>
          </w:p>
          <w:p w14:paraId="56B01ACC" w14:textId="77777777" w:rsidR="00E645B3" w:rsidRDefault="0055416B" w:rsidP="006122A0">
            <w:pPr>
              <w:contextualSpacing/>
            </w:pPr>
            <w:r>
              <w:t>Activities covered by this EQR:</w:t>
            </w:r>
          </w:p>
          <w:p w14:paraId="33870EB8" w14:textId="4EA59390" w:rsidR="00E645B3" w:rsidRDefault="0055416B" w:rsidP="00E645B3">
            <w:pPr>
              <w:pStyle w:val="ListParagraph"/>
              <w:numPr>
                <w:ilvl w:val="0"/>
                <w:numId w:val="2"/>
              </w:numPr>
            </w:pPr>
            <w:r>
              <w:t xml:space="preserve">Mobilisation of </w:t>
            </w:r>
            <w:r w:rsidR="00A561C7">
              <w:t>the project</w:t>
            </w:r>
            <w:r>
              <w:t xml:space="preserve"> team including </w:t>
            </w:r>
            <w:r w:rsidR="00A561C7">
              <w:t xml:space="preserve">the </w:t>
            </w:r>
            <w:r>
              <w:t xml:space="preserve">supplier </w:t>
            </w:r>
            <w:r w:rsidR="00A561C7">
              <w:t>to deliver design</w:t>
            </w:r>
          </w:p>
          <w:p w14:paraId="113B339E" w14:textId="175D250B" w:rsidR="00E645B3" w:rsidRDefault="0055416B" w:rsidP="00E645B3">
            <w:pPr>
              <w:pStyle w:val="ListParagraph"/>
              <w:numPr>
                <w:ilvl w:val="0"/>
                <w:numId w:val="2"/>
              </w:numPr>
            </w:pPr>
            <w:r>
              <w:t>High Level and Detailed Desig</w:t>
            </w:r>
            <w:r w:rsidR="00A561C7">
              <w:t>n to confirm any customer impacts</w:t>
            </w:r>
          </w:p>
          <w:p w14:paraId="451C00CF" w14:textId="43596648" w:rsidR="00E645B3" w:rsidRDefault="00E645B3" w:rsidP="00E645B3">
            <w:pPr>
              <w:pStyle w:val="ListParagraph"/>
              <w:numPr>
                <w:ilvl w:val="0"/>
                <w:numId w:val="2"/>
              </w:numPr>
            </w:pPr>
            <w:r>
              <w:t>Detailed delivery</w:t>
            </w:r>
            <w:r w:rsidR="0055416B">
              <w:t xml:space="preserve"> plan </w:t>
            </w:r>
            <w:r w:rsidR="00A561C7">
              <w:t>with cost to deliver the solution (including MTB costs)</w:t>
            </w:r>
          </w:p>
          <w:p w14:paraId="0F26FFC5" w14:textId="3E05841E" w:rsidR="0055416B" w:rsidRDefault="0055416B" w:rsidP="00E645B3">
            <w:pPr>
              <w:pStyle w:val="ListParagraph"/>
              <w:numPr>
                <w:ilvl w:val="0"/>
                <w:numId w:val="2"/>
              </w:numPr>
            </w:pPr>
            <w:r>
              <w:t>BER production</w:t>
            </w:r>
          </w:p>
          <w:p w14:paraId="401AB725" w14:textId="7593F9AD" w:rsidR="00482AC6" w:rsidRPr="00F27E2D" w:rsidRDefault="00A561C7" w:rsidP="00F27E2D">
            <w:pPr>
              <w:pStyle w:val="ListParagraph"/>
              <w:numPr>
                <w:ilvl w:val="0"/>
                <w:numId w:val="2"/>
              </w:numPr>
            </w:pPr>
            <w:r>
              <w:t>Detailed Design will run from 12</w:t>
            </w:r>
            <w:r w:rsidRPr="00A561C7">
              <w:rPr>
                <w:vertAlign w:val="superscript"/>
              </w:rPr>
              <w:t>th</w:t>
            </w:r>
            <w:r>
              <w:t xml:space="preserve"> August to </w:t>
            </w:r>
            <w:r w:rsidR="00F27E2D">
              <w:t>08</w:t>
            </w:r>
            <w:r w:rsidR="00F27E2D" w:rsidRPr="00F27E2D">
              <w:rPr>
                <w:vertAlign w:val="superscript"/>
              </w:rPr>
              <w:t>th</w:t>
            </w:r>
            <w:r w:rsidR="00F27E2D">
              <w:t xml:space="preserve"> October 2021</w:t>
            </w:r>
          </w:p>
        </w:tc>
      </w:tr>
      <w:tr w:rsidR="00482AC6" w:rsidRPr="007A113D" w14:paraId="24189954" w14:textId="77777777" w:rsidTr="00514B8E">
        <w:tc>
          <w:tcPr>
            <w:tcW w:w="2500" w:type="pct"/>
            <w:gridSpan w:val="2"/>
            <w:tcBorders>
              <w:bottom w:val="single" w:sz="4" w:space="0" w:color="auto"/>
            </w:tcBorders>
            <w:shd w:val="clear" w:color="auto" w:fill="3E5AA8" w:themeFill="accent1"/>
            <w:vAlign w:val="center"/>
          </w:tcPr>
          <w:p w14:paraId="3FDC5E3B" w14:textId="77777777" w:rsidR="00482AC6" w:rsidRPr="007A113D" w:rsidRDefault="00482AC6" w:rsidP="00482AC6">
            <w:pPr>
              <w:rPr>
                <w:rFonts w:eastAsia="Times New Roman" w:cs="Arial"/>
                <w:b/>
                <w:szCs w:val="16"/>
              </w:rPr>
            </w:pPr>
            <w:r w:rsidRPr="007A113D">
              <w:rPr>
                <w:rFonts w:eastAsia="Arial" w:cs="Arial"/>
                <w:b/>
                <w:color w:val="FFFFFF"/>
                <w:sz w:val="20"/>
                <w:szCs w:val="20"/>
                <w:lang w:eastAsia="en-US"/>
              </w:rPr>
              <w:t>Section 2: Estimated cost to produce the Business Evaluation Report (BER)</w:t>
            </w:r>
          </w:p>
        </w:tc>
        <w:tc>
          <w:tcPr>
            <w:tcW w:w="2500" w:type="pct"/>
            <w:gridSpan w:val="2"/>
            <w:tcBorders>
              <w:bottom w:val="single" w:sz="4" w:space="0" w:color="auto"/>
            </w:tcBorders>
            <w:shd w:val="clear" w:color="auto" w:fill="FFFFFF" w:themeFill="background1"/>
            <w:vAlign w:val="center"/>
          </w:tcPr>
          <w:p w14:paraId="0417C67E" w14:textId="6260EF09" w:rsidR="00482AC6" w:rsidRPr="007A113D" w:rsidRDefault="00B4100E" w:rsidP="00482AC6">
            <w:pPr>
              <w:jc w:val="center"/>
              <w:rPr>
                <w:rFonts w:eastAsia="Times New Roman" w:cs="Arial"/>
                <w:sz w:val="20"/>
                <w:szCs w:val="20"/>
              </w:rPr>
            </w:pPr>
            <w:r>
              <w:rPr>
                <w:rFonts w:eastAsia="Times New Roman" w:cs="Arial"/>
                <w:sz w:val="20"/>
                <w:szCs w:val="20"/>
              </w:rPr>
              <w:t>£</w:t>
            </w:r>
            <w:r w:rsidR="00822806">
              <w:rPr>
                <w:rFonts w:eastAsia="Times New Roman" w:cs="Arial"/>
                <w:sz w:val="20"/>
                <w:szCs w:val="20"/>
              </w:rPr>
              <w:t>50,400</w:t>
            </w:r>
          </w:p>
          <w:p w14:paraId="1F268713" w14:textId="77777777" w:rsidR="00482AC6" w:rsidRPr="007A113D" w:rsidRDefault="00482AC6" w:rsidP="00482AC6">
            <w:pPr>
              <w:jc w:val="center"/>
              <w:rPr>
                <w:rFonts w:eastAsia="Times New Roman" w:cs="Arial"/>
                <w:sz w:val="20"/>
                <w:szCs w:val="16"/>
              </w:rPr>
            </w:pPr>
          </w:p>
        </w:tc>
      </w:tr>
      <w:tr w:rsidR="00482AC6" w:rsidRPr="007A113D" w14:paraId="5E6BC631" w14:textId="77777777" w:rsidTr="00514B8E">
        <w:tc>
          <w:tcPr>
            <w:tcW w:w="5000" w:type="pct"/>
            <w:gridSpan w:val="4"/>
            <w:tcBorders>
              <w:bottom w:val="single" w:sz="4" w:space="0" w:color="auto"/>
            </w:tcBorders>
            <w:shd w:val="clear" w:color="auto" w:fill="3E5AA8" w:themeFill="accent1"/>
            <w:vAlign w:val="center"/>
          </w:tcPr>
          <w:p w14:paraId="5EBEF28C" w14:textId="77777777" w:rsidR="00482AC6" w:rsidRPr="007A113D" w:rsidRDefault="00482AC6" w:rsidP="00482AC6">
            <w:pPr>
              <w:jc w:val="center"/>
              <w:rPr>
                <w:rFonts w:eastAsia="Times New Roman" w:cs="Arial"/>
                <w:b/>
                <w:szCs w:val="16"/>
              </w:rPr>
            </w:pPr>
            <w:r w:rsidRPr="007A113D">
              <w:rPr>
                <w:rFonts w:eastAsia="Arial" w:cs="Arial"/>
                <w:b/>
                <w:color w:val="FFFFFF"/>
                <w:sz w:val="20"/>
                <w:szCs w:val="20"/>
                <w:lang w:eastAsia="en-US"/>
              </w:rPr>
              <w:t>Section 3: Funding of EQR</w:t>
            </w:r>
          </w:p>
        </w:tc>
      </w:tr>
      <w:tr w:rsidR="00482AC6" w:rsidRPr="007A113D" w14:paraId="55BCAE5D" w14:textId="77777777" w:rsidTr="00514B8E">
        <w:tc>
          <w:tcPr>
            <w:tcW w:w="5000" w:type="pct"/>
            <w:gridSpan w:val="4"/>
            <w:tcBorders>
              <w:bottom w:val="single" w:sz="4" w:space="0" w:color="auto"/>
            </w:tcBorders>
            <w:shd w:val="clear" w:color="auto" w:fill="FFFFFF" w:themeFill="background1"/>
            <w:vAlign w:val="center"/>
          </w:tcPr>
          <w:p w14:paraId="679F1DC4" w14:textId="77777777" w:rsidR="00482AC6" w:rsidRPr="007A113D" w:rsidRDefault="00482AC6" w:rsidP="00482AC6">
            <w:pPr>
              <w:rPr>
                <w:rFonts w:eastAsia="Times New Roman" w:cs="Arial"/>
                <w:i/>
                <w:color w:val="0070C0"/>
                <w:sz w:val="20"/>
                <w:szCs w:val="20"/>
              </w:rPr>
            </w:pPr>
            <w:r w:rsidRPr="007A113D">
              <w:rPr>
                <w:rFonts w:eastAsia="Times New Roman" w:cs="Arial"/>
                <w:i/>
                <w:color w:val="0070C0"/>
                <w:sz w:val="20"/>
                <w:szCs w:val="20"/>
              </w:rPr>
              <w:t>As agreed by The Change Managers the funding for the EQR will be:</w:t>
            </w:r>
          </w:p>
          <w:tbl>
            <w:tblPr>
              <w:tblStyle w:val="TableGrid1"/>
              <w:tblW w:w="0" w:type="auto"/>
              <w:tblLayout w:type="fixed"/>
              <w:tblLook w:val="04A0" w:firstRow="1" w:lastRow="0" w:firstColumn="1" w:lastColumn="0" w:noHBand="0" w:noVBand="1"/>
            </w:tblPr>
            <w:tblGrid>
              <w:gridCol w:w="2581"/>
              <w:gridCol w:w="1842"/>
              <w:gridCol w:w="1418"/>
            </w:tblGrid>
            <w:tr w:rsidR="00482AC6" w:rsidRPr="007A113D" w14:paraId="3FC3175D" w14:textId="77777777" w:rsidTr="00514B8E">
              <w:tc>
                <w:tcPr>
                  <w:tcW w:w="2581" w:type="dxa"/>
                  <w:vAlign w:val="center"/>
                </w:tcPr>
                <w:p w14:paraId="5E45CB7B" w14:textId="77777777" w:rsidR="00482AC6" w:rsidRPr="007A113D" w:rsidRDefault="00482AC6" w:rsidP="00482AC6">
                  <w:pPr>
                    <w:jc w:val="center"/>
                    <w:rPr>
                      <w:rFonts w:eastAsia="Times New Roman" w:cs="Arial"/>
                      <w:i/>
                      <w:color w:val="0070C0"/>
                      <w:sz w:val="20"/>
                    </w:rPr>
                  </w:pPr>
                  <w:r w:rsidRPr="007A113D">
                    <w:rPr>
                      <w:rFonts w:eastAsia="Times New Roman" w:cs="Arial"/>
                      <w:b/>
                      <w:sz w:val="20"/>
                      <w:szCs w:val="16"/>
                    </w:rPr>
                    <w:t>Gas Industry Participant</w:t>
                  </w:r>
                </w:p>
              </w:tc>
              <w:tc>
                <w:tcPr>
                  <w:tcW w:w="1842" w:type="dxa"/>
                  <w:vAlign w:val="center"/>
                </w:tcPr>
                <w:p w14:paraId="369C2160" w14:textId="77777777" w:rsidR="00482AC6" w:rsidRPr="007A113D" w:rsidRDefault="00482AC6" w:rsidP="00482AC6">
                  <w:pPr>
                    <w:jc w:val="center"/>
                    <w:rPr>
                      <w:rFonts w:eastAsia="Times New Roman" w:cs="Arial"/>
                      <w:sz w:val="20"/>
                    </w:rPr>
                  </w:pPr>
                  <w:r w:rsidRPr="007A113D">
                    <w:rPr>
                      <w:rFonts w:eastAsia="Times New Roman" w:cs="Arial"/>
                      <w:b/>
                      <w:sz w:val="20"/>
                      <w:szCs w:val="16"/>
                    </w:rPr>
                    <w:t>% Share of Cost</w:t>
                  </w:r>
                </w:p>
              </w:tc>
              <w:tc>
                <w:tcPr>
                  <w:tcW w:w="1418" w:type="dxa"/>
                  <w:vAlign w:val="center"/>
                </w:tcPr>
                <w:p w14:paraId="1EB924BD" w14:textId="77777777" w:rsidR="00482AC6" w:rsidRPr="007A113D" w:rsidRDefault="00482AC6" w:rsidP="00482AC6">
                  <w:pPr>
                    <w:jc w:val="center"/>
                    <w:rPr>
                      <w:rFonts w:eastAsia="Times New Roman" w:cs="Arial"/>
                      <w:b/>
                      <w:sz w:val="20"/>
                      <w:szCs w:val="16"/>
                    </w:rPr>
                  </w:pPr>
                  <w:r w:rsidRPr="007A113D">
                    <w:rPr>
                      <w:rFonts w:eastAsia="Times New Roman" w:cs="Arial"/>
                      <w:b/>
                      <w:sz w:val="20"/>
                      <w:szCs w:val="16"/>
                    </w:rPr>
                    <w:t>Cost Value</w:t>
                  </w:r>
                </w:p>
              </w:tc>
            </w:tr>
            <w:tr w:rsidR="00482AC6" w:rsidRPr="007A113D" w14:paraId="56C1999E" w14:textId="77777777" w:rsidTr="00514B8E">
              <w:tc>
                <w:tcPr>
                  <w:tcW w:w="2581" w:type="dxa"/>
                </w:tcPr>
                <w:p w14:paraId="3A64272C" w14:textId="77777777" w:rsidR="00482AC6" w:rsidRPr="007A113D" w:rsidRDefault="00482AC6" w:rsidP="00482AC6">
                  <w:pPr>
                    <w:rPr>
                      <w:rFonts w:eastAsia="Times New Roman" w:cs="Arial"/>
                      <w:b/>
                      <w:sz w:val="20"/>
                      <w:szCs w:val="16"/>
                    </w:rPr>
                  </w:pPr>
                  <w:r w:rsidRPr="007A113D">
                    <w:rPr>
                      <w:rFonts w:eastAsia="Times New Roman" w:cs="Arial"/>
                      <w:b/>
                      <w:sz w:val="20"/>
                      <w:szCs w:val="16"/>
                    </w:rPr>
                    <w:t>Shippers</w:t>
                  </w:r>
                </w:p>
              </w:tc>
              <w:tc>
                <w:tcPr>
                  <w:tcW w:w="1842" w:type="dxa"/>
                  <w:vAlign w:val="center"/>
                </w:tcPr>
                <w:p w14:paraId="2F3F9B67" w14:textId="5DCF1132" w:rsidR="00482AC6" w:rsidRPr="007A113D" w:rsidRDefault="00330225" w:rsidP="00482AC6">
                  <w:pPr>
                    <w:jc w:val="center"/>
                    <w:rPr>
                      <w:rFonts w:eastAsia="Times New Roman" w:cs="Arial"/>
                      <w:sz w:val="20"/>
                    </w:rPr>
                  </w:pPr>
                  <w:r>
                    <w:rPr>
                      <w:rFonts w:eastAsia="Times New Roman" w:cs="Arial"/>
                      <w:sz w:val="20"/>
                    </w:rPr>
                    <w:t>0</w:t>
                  </w:r>
                </w:p>
              </w:tc>
              <w:tc>
                <w:tcPr>
                  <w:tcW w:w="1418" w:type="dxa"/>
                  <w:vAlign w:val="center"/>
                </w:tcPr>
                <w:p w14:paraId="36397EC8" w14:textId="31A16F7C" w:rsidR="00482AC6" w:rsidRPr="007A113D" w:rsidRDefault="00330225" w:rsidP="00482AC6">
                  <w:pPr>
                    <w:jc w:val="center"/>
                    <w:rPr>
                      <w:rFonts w:eastAsia="Times New Roman" w:cs="Arial"/>
                      <w:sz w:val="20"/>
                    </w:rPr>
                  </w:pPr>
                  <w:r>
                    <w:rPr>
                      <w:rFonts w:eastAsia="Times New Roman" w:cs="Arial"/>
                      <w:sz w:val="20"/>
                    </w:rPr>
                    <w:t>£0</w:t>
                  </w:r>
                </w:p>
              </w:tc>
            </w:tr>
            <w:tr w:rsidR="00330225" w:rsidRPr="007A113D" w14:paraId="738985EA" w14:textId="77777777" w:rsidTr="00514B8E">
              <w:tc>
                <w:tcPr>
                  <w:tcW w:w="2581" w:type="dxa"/>
                </w:tcPr>
                <w:p w14:paraId="5C2F2FDE" w14:textId="77777777" w:rsidR="00330225" w:rsidRPr="007A113D" w:rsidRDefault="00330225" w:rsidP="00330225">
                  <w:pPr>
                    <w:rPr>
                      <w:rFonts w:eastAsia="Times New Roman" w:cs="Arial"/>
                      <w:b/>
                      <w:sz w:val="20"/>
                      <w:szCs w:val="16"/>
                    </w:rPr>
                  </w:pPr>
                  <w:r w:rsidRPr="007A113D">
                    <w:rPr>
                      <w:rFonts w:eastAsia="Times New Roman" w:cs="Arial"/>
                      <w:b/>
                      <w:sz w:val="20"/>
                      <w:szCs w:val="16"/>
                    </w:rPr>
                    <w:t>IGT’s</w:t>
                  </w:r>
                </w:p>
              </w:tc>
              <w:tc>
                <w:tcPr>
                  <w:tcW w:w="1842" w:type="dxa"/>
                  <w:vAlign w:val="center"/>
                </w:tcPr>
                <w:p w14:paraId="194C3FF4" w14:textId="71503240" w:rsidR="00330225" w:rsidRPr="007A113D" w:rsidRDefault="00330225" w:rsidP="00330225">
                  <w:pPr>
                    <w:jc w:val="center"/>
                    <w:rPr>
                      <w:rFonts w:eastAsia="Times New Roman" w:cs="Arial"/>
                      <w:sz w:val="20"/>
                    </w:rPr>
                  </w:pPr>
                  <w:r>
                    <w:rPr>
                      <w:rFonts w:eastAsia="Times New Roman" w:cs="Arial"/>
                      <w:sz w:val="20"/>
                    </w:rPr>
                    <w:t>0</w:t>
                  </w:r>
                </w:p>
              </w:tc>
              <w:tc>
                <w:tcPr>
                  <w:tcW w:w="1418" w:type="dxa"/>
                  <w:vAlign w:val="center"/>
                </w:tcPr>
                <w:p w14:paraId="1D3E2120" w14:textId="2CA4B82A" w:rsidR="00330225" w:rsidRPr="007A113D" w:rsidRDefault="00330225" w:rsidP="00330225">
                  <w:pPr>
                    <w:jc w:val="center"/>
                    <w:rPr>
                      <w:rFonts w:eastAsia="Times New Roman" w:cs="Arial"/>
                      <w:sz w:val="20"/>
                    </w:rPr>
                  </w:pPr>
                  <w:r>
                    <w:rPr>
                      <w:rFonts w:eastAsia="Times New Roman" w:cs="Arial"/>
                      <w:sz w:val="20"/>
                    </w:rPr>
                    <w:t>£0</w:t>
                  </w:r>
                </w:p>
              </w:tc>
            </w:tr>
            <w:tr w:rsidR="00330225" w:rsidRPr="007A113D" w14:paraId="17589507" w14:textId="77777777" w:rsidTr="00514B8E">
              <w:tc>
                <w:tcPr>
                  <w:tcW w:w="2581" w:type="dxa"/>
                </w:tcPr>
                <w:p w14:paraId="7DE3522C" w14:textId="77777777" w:rsidR="00330225" w:rsidRPr="007A113D" w:rsidRDefault="00330225" w:rsidP="00330225">
                  <w:pPr>
                    <w:rPr>
                      <w:rFonts w:eastAsia="Times New Roman" w:cs="Arial"/>
                      <w:b/>
                      <w:sz w:val="20"/>
                      <w:szCs w:val="16"/>
                    </w:rPr>
                  </w:pPr>
                  <w:r w:rsidRPr="007A113D">
                    <w:rPr>
                      <w:rFonts w:eastAsia="Times New Roman" w:cs="Arial"/>
                      <w:b/>
                      <w:sz w:val="20"/>
                      <w:szCs w:val="16"/>
                    </w:rPr>
                    <w:t>DNO’s</w:t>
                  </w:r>
                </w:p>
              </w:tc>
              <w:tc>
                <w:tcPr>
                  <w:tcW w:w="1842" w:type="dxa"/>
                  <w:vAlign w:val="center"/>
                </w:tcPr>
                <w:p w14:paraId="14D45F0B" w14:textId="3F0A75E2" w:rsidR="00330225" w:rsidRPr="007A113D" w:rsidRDefault="00330225" w:rsidP="00330225">
                  <w:pPr>
                    <w:jc w:val="center"/>
                    <w:rPr>
                      <w:rFonts w:eastAsia="Times New Roman" w:cs="Arial"/>
                      <w:sz w:val="20"/>
                    </w:rPr>
                  </w:pPr>
                  <w:r>
                    <w:rPr>
                      <w:rFonts w:eastAsia="Times New Roman" w:cs="Arial"/>
                      <w:sz w:val="20"/>
                    </w:rPr>
                    <w:t>100%</w:t>
                  </w:r>
                </w:p>
              </w:tc>
              <w:tc>
                <w:tcPr>
                  <w:tcW w:w="1418" w:type="dxa"/>
                  <w:vAlign w:val="center"/>
                </w:tcPr>
                <w:p w14:paraId="324EE29E" w14:textId="74E5E74E" w:rsidR="00330225" w:rsidRPr="007A113D" w:rsidRDefault="00330225" w:rsidP="00330225">
                  <w:pPr>
                    <w:jc w:val="center"/>
                    <w:rPr>
                      <w:rFonts w:eastAsia="Times New Roman" w:cs="Arial"/>
                      <w:sz w:val="20"/>
                    </w:rPr>
                  </w:pPr>
                  <w:r>
                    <w:rPr>
                      <w:rFonts w:eastAsia="Times New Roman" w:cs="Arial"/>
                      <w:sz w:val="20"/>
                    </w:rPr>
                    <w:t>£50,400</w:t>
                  </w:r>
                </w:p>
              </w:tc>
            </w:tr>
            <w:tr w:rsidR="00330225" w:rsidRPr="007A113D" w14:paraId="1E465B5B" w14:textId="77777777" w:rsidTr="00514B8E">
              <w:tc>
                <w:tcPr>
                  <w:tcW w:w="2581" w:type="dxa"/>
                </w:tcPr>
                <w:p w14:paraId="3C59E7EA" w14:textId="77777777" w:rsidR="00330225" w:rsidRPr="007A113D" w:rsidRDefault="00330225" w:rsidP="00330225">
                  <w:pPr>
                    <w:rPr>
                      <w:rFonts w:eastAsia="Times New Roman" w:cs="Arial"/>
                      <w:b/>
                      <w:sz w:val="20"/>
                      <w:szCs w:val="16"/>
                    </w:rPr>
                  </w:pPr>
                  <w:r w:rsidRPr="007A113D">
                    <w:rPr>
                      <w:rFonts w:eastAsia="Times New Roman" w:cs="Arial"/>
                      <w:b/>
                      <w:sz w:val="20"/>
                      <w:szCs w:val="16"/>
                    </w:rPr>
                    <w:t xml:space="preserve">Transmission </w:t>
                  </w:r>
                </w:p>
              </w:tc>
              <w:tc>
                <w:tcPr>
                  <w:tcW w:w="1842" w:type="dxa"/>
                  <w:vAlign w:val="center"/>
                </w:tcPr>
                <w:p w14:paraId="6022C297" w14:textId="35C9DBB4" w:rsidR="00330225" w:rsidRPr="007A113D" w:rsidRDefault="00330225" w:rsidP="00330225">
                  <w:pPr>
                    <w:jc w:val="center"/>
                    <w:rPr>
                      <w:rFonts w:eastAsia="Times New Roman" w:cs="Arial"/>
                      <w:sz w:val="20"/>
                    </w:rPr>
                  </w:pPr>
                  <w:r>
                    <w:rPr>
                      <w:rFonts w:eastAsia="Times New Roman" w:cs="Arial"/>
                      <w:sz w:val="20"/>
                    </w:rPr>
                    <w:t>0</w:t>
                  </w:r>
                </w:p>
              </w:tc>
              <w:tc>
                <w:tcPr>
                  <w:tcW w:w="1418" w:type="dxa"/>
                  <w:vAlign w:val="center"/>
                </w:tcPr>
                <w:p w14:paraId="308FF8BE" w14:textId="1BFE69BA" w:rsidR="00330225" w:rsidRPr="007A113D" w:rsidRDefault="00330225" w:rsidP="00330225">
                  <w:pPr>
                    <w:jc w:val="center"/>
                    <w:rPr>
                      <w:rFonts w:eastAsia="Times New Roman" w:cs="Arial"/>
                      <w:sz w:val="20"/>
                    </w:rPr>
                  </w:pPr>
                  <w:r>
                    <w:rPr>
                      <w:rFonts w:eastAsia="Times New Roman" w:cs="Arial"/>
                      <w:sz w:val="20"/>
                    </w:rPr>
                    <w:t>£0</w:t>
                  </w:r>
                </w:p>
              </w:tc>
            </w:tr>
            <w:tr w:rsidR="00330225" w:rsidRPr="007A113D" w14:paraId="52E252D1" w14:textId="77777777" w:rsidTr="00514B8E">
              <w:tc>
                <w:tcPr>
                  <w:tcW w:w="2581" w:type="dxa"/>
                </w:tcPr>
                <w:p w14:paraId="0C2B6CBB" w14:textId="77777777" w:rsidR="00330225" w:rsidRPr="007A113D" w:rsidRDefault="00330225" w:rsidP="00330225">
                  <w:pPr>
                    <w:rPr>
                      <w:rFonts w:eastAsia="Times New Roman" w:cs="Arial"/>
                      <w:b/>
                      <w:sz w:val="20"/>
                      <w:szCs w:val="16"/>
                    </w:rPr>
                  </w:pPr>
                  <w:r w:rsidRPr="007A113D">
                    <w:rPr>
                      <w:rFonts w:eastAsia="Times New Roman" w:cs="Arial"/>
                      <w:b/>
                      <w:sz w:val="20"/>
                      <w:szCs w:val="16"/>
                    </w:rPr>
                    <w:t>DN &amp; IGT</w:t>
                  </w:r>
                </w:p>
              </w:tc>
              <w:tc>
                <w:tcPr>
                  <w:tcW w:w="1842" w:type="dxa"/>
                  <w:vAlign w:val="center"/>
                </w:tcPr>
                <w:p w14:paraId="78F6FE06" w14:textId="26545BFB" w:rsidR="00330225" w:rsidRPr="007A113D" w:rsidRDefault="00330225" w:rsidP="00330225">
                  <w:pPr>
                    <w:jc w:val="center"/>
                    <w:rPr>
                      <w:rFonts w:eastAsia="Times New Roman" w:cs="Arial"/>
                      <w:sz w:val="20"/>
                    </w:rPr>
                  </w:pPr>
                  <w:r>
                    <w:rPr>
                      <w:rFonts w:eastAsia="Times New Roman" w:cs="Arial"/>
                      <w:sz w:val="20"/>
                    </w:rPr>
                    <w:t>0</w:t>
                  </w:r>
                </w:p>
              </w:tc>
              <w:tc>
                <w:tcPr>
                  <w:tcW w:w="1418" w:type="dxa"/>
                  <w:vAlign w:val="center"/>
                </w:tcPr>
                <w:p w14:paraId="367C1FF2" w14:textId="0D598161" w:rsidR="00330225" w:rsidRPr="007A113D" w:rsidRDefault="00330225" w:rsidP="00330225">
                  <w:pPr>
                    <w:jc w:val="center"/>
                    <w:rPr>
                      <w:rFonts w:eastAsia="Times New Roman" w:cs="Arial"/>
                      <w:sz w:val="20"/>
                    </w:rPr>
                  </w:pPr>
                  <w:r>
                    <w:rPr>
                      <w:rFonts w:eastAsia="Times New Roman" w:cs="Arial"/>
                      <w:sz w:val="20"/>
                    </w:rPr>
                    <w:t>£0</w:t>
                  </w:r>
                </w:p>
              </w:tc>
            </w:tr>
            <w:tr w:rsidR="00330225" w:rsidRPr="007A113D" w14:paraId="1FD678A2" w14:textId="77777777" w:rsidTr="00514B8E">
              <w:tc>
                <w:tcPr>
                  <w:tcW w:w="2581" w:type="dxa"/>
                </w:tcPr>
                <w:p w14:paraId="4F8FF5D7" w14:textId="77777777" w:rsidR="00330225" w:rsidRPr="007A113D" w:rsidRDefault="00330225" w:rsidP="00330225">
                  <w:pPr>
                    <w:rPr>
                      <w:rFonts w:eastAsia="Times New Roman" w:cs="Arial"/>
                      <w:b/>
                      <w:sz w:val="20"/>
                      <w:szCs w:val="16"/>
                    </w:rPr>
                  </w:pPr>
                  <w:r w:rsidRPr="007A113D">
                    <w:rPr>
                      <w:rFonts w:eastAsia="Times New Roman" w:cs="Arial"/>
                      <w:b/>
                      <w:sz w:val="20"/>
                      <w:szCs w:val="16"/>
                    </w:rPr>
                    <w:t>Total Cost</w:t>
                  </w:r>
                </w:p>
              </w:tc>
              <w:tc>
                <w:tcPr>
                  <w:tcW w:w="1842" w:type="dxa"/>
                  <w:vAlign w:val="center"/>
                </w:tcPr>
                <w:p w14:paraId="60D711BE" w14:textId="77777777" w:rsidR="00330225" w:rsidRPr="007A113D" w:rsidRDefault="00330225" w:rsidP="00330225">
                  <w:pPr>
                    <w:jc w:val="center"/>
                    <w:rPr>
                      <w:rFonts w:eastAsia="Times New Roman" w:cs="Arial"/>
                      <w:sz w:val="20"/>
                    </w:rPr>
                  </w:pPr>
                </w:p>
              </w:tc>
              <w:tc>
                <w:tcPr>
                  <w:tcW w:w="1418" w:type="dxa"/>
                  <w:vAlign w:val="center"/>
                </w:tcPr>
                <w:p w14:paraId="35D0A1A8" w14:textId="06A799C7" w:rsidR="00330225" w:rsidRPr="007A113D" w:rsidRDefault="00330225" w:rsidP="00330225">
                  <w:pPr>
                    <w:jc w:val="center"/>
                    <w:rPr>
                      <w:rFonts w:eastAsia="Times New Roman" w:cs="Arial"/>
                      <w:sz w:val="20"/>
                    </w:rPr>
                  </w:pPr>
                  <w:r>
                    <w:rPr>
                      <w:rFonts w:eastAsia="Times New Roman" w:cs="Arial"/>
                      <w:sz w:val="20"/>
                    </w:rPr>
                    <w:t>£50,400</w:t>
                  </w:r>
                </w:p>
              </w:tc>
            </w:tr>
          </w:tbl>
          <w:p w14:paraId="01DEA716" w14:textId="77777777" w:rsidR="00482AC6" w:rsidRPr="007A113D" w:rsidRDefault="00482AC6" w:rsidP="00482AC6">
            <w:pPr>
              <w:rPr>
                <w:rFonts w:eastAsia="Times New Roman" w:cs="Arial"/>
                <w:b/>
                <w:szCs w:val="16"/>
              </w:rPr>
            </w:pPr>
          </w:p>
        </w:tc>
      </w:tr>
      <w:tr w:rsidR="00482AC6" w:rsidRPr="007A113D" w14:paraId="37E512C9" w14:textId="77777777" w:rsidTr="00514B8E">
        <w:tc>
          <w:tcPr>
            <w:tcW w:w="2569" w:type="pct"/>
            <w:gridSpan w:val="3"/>
            <w:tcBorders>
              <w:bottom w:val="single" w:sz="4" w:space="0" w:color="auto"/>
            </w:tcBorders>
            <w:shd w:val="clear" w:color="auto" w:fill="3E5AA8" w:themeFill="accent1"/>
            <w:vAlign w:val="center"/>
          </w:tcPr>
          <w:p w14:paraId="427A088B" w14:textId="77777777" w:rsidR="00482AC6" w:rsidRPr="007A113D" w:rsidRDefault="00482AC6" w:rsidP="00482AC6">
            <w:pPr>
              <w:rPr>
                <w:rFonts w:eastAsia="Arial" w:cs="Arial"/>
                <w:b/>
                <w:color w:val="FFFFFF"/>
                <w:sz w:val="20"/>
                <w:szCs w:val="20"/>
                <w:lang w:eastAsia="en-US"/>
              </w:rPr>
            </w:pPr>
            <w:r w:rsidRPr="007A113D">
              <w:rPr>
                <w:rFonts w:eastAsia="Arial" w:cs="Arial"/>
                <w:b/>
                <w:color w:val="FFFFFF"/>
                <w:sz w:val="20"/>
                <w:szCs w:val="20"/>
                <w:lang w:eastAsia="en-US"/>
              </w:rPr>
              <w:t>Section 4: Approximate timescale for completion of the Business Evaluation Report</w:t>
            </w:r>
          </w:p>
        </w:tc>
        <w:tc>
          <w:tcPr>
            <w:tcW w:w="2431" w:type="pct"/>
            <w:tcBorders>
              <w:bottom w:val="single" w:sz="4" w:space="0" w:color="auto"/>
            </w:tcBorders>
            <w:shd w:val="clear" w:color="auto" w:fill="auto"/>
          </w:tcPr>
          <w:p w14:paraId="5EA69669" w14:textId="78D93ED4" w:rsidR="00482AC6" w:rsidRPr="007A113D" w:rsidRDefault="00605DE6" w:rsidP="00482AC6">
            <w:pPr>
              <w:rPr>
                <w:rFonts w:eastAsia="Times New Roman" w:cs="Arial"/>
                <w:sz w:val="20"/>
                <w:szCs w:val="16"/>
              </w:rPr>
            </w:pPr>
            <w:r>
              <w:rPr>
                <w:rFonts w:eastAsia="Times New Roman" w:cs="Arial"/>
                <w:sz w:val="20"/>
                <w:szCs w:val="16"/>
              </w:rPr>
              <w:t>The BER will be issued to the October 2021 Change Management Committee for Approval</w:t>
            </w:r>
          </w:p>
        </w:tc>
      </w:tr>
      <w:tr w:rsidR="00482AC6" w:rsidRPr="007A113D" w14:paraId="79327C46" w14:textId="77777777" w:rsidTr="00514B8E">
        <w:tc>
          <w:tcPr>
            <w:tcW w:w="2569" w:type="pct"/>
            <w:gridSpan w:val="3"/>
            <w:shd w:val="clear" w:color="auto" w:fill="3E5AA8" w:themeFill="accent1"/>
            <w:vAlign w:val="center"/>
          </w:tcPr>
          <w:p w14:paraId="6A0E7E49" w14:textId="77777777" w:rsidR="00482AC6" w:rsidRPr="007A113D" w:rsidRDefault="00482AC6" w:rsidP="00482AC6">
            <w:pPr>
              <w:rPr>
                <w:rFonts w:eastAsia="Arial" w:cs="Arial"/>
                <w:b/>
                <w:color w:val="FFFFFF"/>
                <w:sz w:val="20"/>
                <w:szCs w:val="20"/>
                <w:lang w:eastAsia="en-US"/>
              </w:rPr>
            </w:pPr>
            <w:r w:rsidRPr="007A113D">
              <w:rPr>
                <w:rFonts w:eastAsia="Arial" w:cs="Arial"/>
                <w:b/>
                <w:color w:val="FFFFFF"/>
                <w:sz w:val="20"/>
                <w:szCs w:val="20"/>
                <w:lang w:eastAsia="en-US"/>
              </w:rPr>
              <w:t>Section 5: Period that the Evaluation Quotation Report is valid for</w:t>
            </w:r>
          </w:p>
        </w:tc>
        <w:tc>
          <w:tcPr>
            <w:tcW w:w="2431" w:type="pct"/>
            <w:shd w:val="clear" w:color="auto" w:fill="auto"/>
          </w:tcPr>
          <w:p w14:paraId="490FAB7B" w14:textId="648AF92B" w:rsidR="00482AC6" w:rsidRPr="007A113D" w:rsidRDefault="00605DE6" w:rsidP="00482AC6">
            <w:pPr>
              <w:rPr>
                <w:rFonts w:eastAsia="Times New Roman" w:cs="Arial"/>
                <w:sz w:val="20"/>
                <w:szCs w:val="16"/>
              </w:rPr>
            </w:pPr>
            <w:r>
              <w:rPr>
                <w:rFonts w:eastAsia="Times New Roman" w:cs="Arial"/>
                <w:sz w:val="20"/>
                <w:szCs w:val="16"/>
              </w:rPr>
              <w:t>11</w:t>
            </w:r>
            <w:r w:rsidRPr="00605DE6">
              <w:rPr>
                <w:rFonts w:eastAsia="Times New Roman" w:cs="Arial"/>
                <w:sz w:val="20"/>
                <w:szCs w:val="16"/>
                <w:vertAlign w:val="superscript"/>
              </w:rPr>
              <w:t>th</w:t>
            </w:r>
            <w:r>
              <w:rPr>
                <w:rFonts w:eastAsia="Times New Roman" w:cs="Arial"/>
                <w:sz w:val="20"/>
                <w:szCs w:val="16"/>
              </w:rPr>
              <w:t xml:space="preserve"> August to </w:t>
            </w:r>
            <w:r w:rsidR="00565C6A">
              <w:rPr>
                <w:rFonts w:eastAsia="Times New Roman" w:cs="Arial"/>
                <w:sz w:val="20"/>
                <w:szCs w:val="16"/>
              </w:rPr>
              <w:t>13</w:t>
            </w:r>
            <w:r w:rsidR="00565C6A" w:rsidRPr="00565C6A">
              <w:rPr>
                <w:rFonts w:eastAsia="Times New Roman" w:cs="Arial"/>
                <w:sz w:val="20"/>
                <w:szCs w:val="16"/>
                <w:vertAlign w:val="superscript"/>
              </w:rPr>
              <w:t>th</w:t>
            </w:r>
            <w:r w:rsidR="00565C6A">
              <w:rPr>
                <w:rFonts w:eastAsia="Times New Roman" w:cs="Arial"/>
                <w:sz w:val="20"/>
                <w:szCs w:val="16"/>
              </w:rPr>
              <w:t xml:space="preserve"> October 2021</w:t>
            </w:r>
          </w:p>
        </w:tc>
      </w:tr>
      <w:tr w:rsidR="00482AC6" w:rsidRPr="007A113D" w14:paraId="620056DF" w14:textId="77777777" w:rsidTr="00514B8E">
        <w:tc>
          <w:tcPr>
            <w:tcW w:w="5000" w:type="pct"/>
            <w:gridSpan w:val="4"/>
            <w:shd w:val="clear" w:color="auto" w:fill="3E5AA8" w:themeFill="accent1"/>
            <w:vAlign w:val="center"/>
          </w:tcPr>
          <w:p w14:paraId="20D68D88" w14:textId="77777777" w:rsidR="00482AC6" w:rsidRPr="007A113D" w:rsidRDefault="00482AC6" w:rsidP="00482AC6">
            <w:pPr>
              <w:jc w:val="center"/>
              <w:rPr>
                <w:rFonts w:eastAsia="Times New Roman" w:cs="Arial"/>
                <w:sz w:val="20"/>
                <w:szCs w:val="20"/>
              </w:rPr>
            </w:pPr>
            <w:r w:rsidRPr="007A113D">
              <w:rPr>
                <w:rFonts w:eastAsia="Arial" w:cs="Arial"/>
                <w:b/>
                <w:color w:val="FFFFFF"/>
                <w:sz w:val="20"/>
                <w:szCs w:val="20"/>
                <w:lang w:eastAsia="en-US"/>
              </w:rPr>
              <w:t>Section 6: Additional Information</w:t>
            </w:r>
          </w:p>
        </w:tc>
      </w:tr>
      <w:tr w:rsidR="00482AC6" w:rsidRPr="007A113D" w14:paraId="38313033" w14:textId="77777777" w:rsidTr="00514B8E">
        <w:tc>
          <w:tcPr>
            <w:tcW w:w="5000" w:type="pct"/>
            <w:gridSpan w:val="4"/>
            <w:shd w:val="clear" w:color="auto" w:fill="auto"/>
            <w:vAlign w:val="center"/>
          </w:tcPr>
          <w:p w14:paraId="6027057E" w14:textId="77777777" w:rsidR="008B0DDD" w:rsidRPr="008B0DDD" w:rsidRDefault="008B0DDD" w:rsidP="008B0DDD">
            <w:pPr>
              <w:pStyle w:val="ListParagraph"/>
              <w:numPr>
                <w:ilvl w:val="0"/>
                <w:numId w:val="3"/>
              </w:numPr>
              <w:rPr>
                <w:rFonts w:eastAsia="Times New Roman" w:cs="Arial"/>
                <w:iCs/>
                <w:sz w:val="20"/>
                <w:szCs w:val="20"/>
              </w:rPr>
            </w:pPr>
            <w:r w:rsidRPr="008B0DDD">
              <w:rPr>
                <w:rFonts w:eastAsia="Times New Roman" w:cs="Arial"/>
                <w:iCs/>
                <w:sz w:val="20"/>
                <w:szCs w:val="20"/>
              </w:rPr>
              <w:t>Activities/Deliverables to undertaken as a part of this revised EQR:</w:t>
            </w:r>
          </w:p>
          <w:p w14:paraId="540A9D3F" w14:textId="4FC6BD1B" w:rsidR="008B0DDD" w:rsidRPr="008B0DDD" w:rsidRDefault="008B0DDD" w:rsidP="008B0DDD">
            <w:pPr>
              <w:pStyle w:val="ListParagraph"/>
              <w:numPr>
                <w:ilvl w:val="1"/>
                <w:numId w:val="3"/>
              </w:numPr>
              <w:rPr>
                <w:rFonts w:eastAsia="Times New Roman" w:cs="Arial"/>
                <w:iCs/>
                <w:sz w:val="20"/>
                <w:szCs w:val="20"/>
              </w:rPr>
            </w:pPr>
            <w:r w:rsidRPr="008B0DDD">
              <w:rPr>
                <w:rFonts w:eastAsia="Times New Roman" w:cs="Arial"/>
                <w:iCs/>
                <w:sz w:val="20"/>
                <w:szCs w:val="20"/>
              </w:rPr>
              <w:t xml:space="preserve">Full delivery plan </w:t>
            </w:r>
          </w:p>
          <w:p w14:paraId="3575F248" w14:textId="20B29920" w:rsidR="008B0DDD" w:rsidRPr="008B0DDD" w:rsidRDefault="008B0DDD" w:rsidP="00D423CB">
            <w:pPr>
              <w:pStyle w:val="ListParagraph"/>
              <w:numPr>
                <w:ilvl w:val="1"/>
                <w:numId w:val="3"/>
              </w:numPr>
              <w:rPr>
                <w:rFonts w:eastAsia="Times New Roman" w:cs="Arial"/>
                <w:iCs/>
                <w:sz w:val="20"/>
                <w:szCs w:val="20"/>
              </w:rPr>
            </w:pPr>
            <w:r w:rsidRPr="008B0DDD">
              <w:rPr>
                <w:rFonts w:eastAsia="Times New Roman" w:cs="Arial"/>
                <w:iCs/>
                <w:sz w:val="20"/>
                <w:szCs w:val="20"/>
              </w:rPr>
              <w:t>Baselined Functional and Non-Functional Requirements</w:t>
            </w:r>
          </w:p>
          <w:p w14:paraId="08DC86E1" w14:textId="34E031FF" w:rsidR="008B0DDD" w:rsidRPr="008B0DDD" w:rsidRDefault="008B0DDD" w:rsidP="00D423CB">
            <w:pPr>
              <w:pStyle w:val="ListParagraph"/>
              <w:numPr>
                <w:ilvl w:val="1"/>
                <w:numId w:val="3"/>
              </w:numPr>
              <w:rPr>
                <w:rFonts w:eastAsia="Times New Roman" w:cs="Arial"/>
                <w:iCs/>
                <w:sz w:val="20"/>
                <w:szCs w:val="20"/>
              </w:rPr>
            </w:pPr>
            <w:r w:rsidRPr="008B0DDD">
              <w:rPr>
                <w:rFonts w:eastAsia="Times New Roman" w:cs="Arial"/>
                <w:iCs/>
                <w:sz w:val="20"/>
                <w:szCs w:val="20"/>
              </w:rPr>
              <w:t>Project Initiation Document</w:t>
            </w:r>
          </w:p>
          <w:p w14:paraId="0F2F2D99" w14:textId="618A9663" w:rsidR="008B0DDD" w:rsidRDefault="00D423CB" w:rsidP="00D423CB">
            <w:pPr>
              <w:pStyle w:val="ListParagraph"/>
              <w:numPr>
                <w:ilvl w:val="1"/>
                <w:numId w:val="3"/>
              </w:numPr>
              <w:rPr>
                <w:rFonts w:eastAsia="Times New Roman" w:cs="Arial"/>
                <w:iCs/>
                <w:sz w:val="20"/>
                <w:szCs w:val="20"/>
              </w:rPr>
            </w:pPr>
            <w:r>
              <w:rPr>
                <w:rFonts w:eastAsia="Times New Roman" w:cs="Arial"/>
                <w:iCs/>
                <w:sz w:val="20"/>
                <w:szCs w:val="20"/>
              </w:rPr>
              <w:lastRenderedPageBreak/>
              <w:t>Business Evaluation Report</w:t>
            </w:r>
          </w:p>
          <w:p w14:paraId="6AED48F9" w14:textId="2505E4BA" w:rsidR="000F3A67" w:rsidRPr="008B0DDD" w:rsidRDefault="000F3A67" w:rsidP="00D423CB">
            <w:pPr>
              <w:pStyle w:val="ListParagraph"/>
              <w:numPr>
                <w:ilvl w:val="1"/>
                <w:numId w:val="3"/>
              </w:numPr>
              <w:rPr>
                <w:rFonts w:eastAsia="Times New Roman" w:cs="Arial"/>
                <w:iCs/>
                <w:sz w:val="20"/>
                <w:szCs w:val="20"/>
              </w:rPr>
            </w:pPr>
            <w:r>
              <w:rPr>
                <w:rFonts w:eastAsia="Times New Roman" w:cs="Arial"/>
                <w:iCs/>
                <w:sz w:val="20"/>
                <w:szCs w:val="20"/>
              </w:rPr>
              <w:t>Project Initiation Document</w:t>
            </w:r>
          </w:p>
          <w:p w14:paraId="4B35E8D4" w14:textId="5AE44B76" w:rsidR="008B0DDD" w:rsidRPr="008B0DDD" w:rsidRDefault="008B0DDD" w:rsidP="00D423CB">
            <w:pPr>
              <w:pStyle w:val="ListParagraph"/>
              <w:numPr>
                <w:ilvl w:val="1"/>
                <w:numId w:val="3"/>
              </w:numPr>
              <w:rPr>
                <w:rFonts w:eastAsia="Times New Roman" w:cs="Arial"/>
                <w:iCs/>
                <w:sz w:val="20"/>
                <w:szCs w:val="20"/>
              </w:rPr>
            </w:pPr>
            <w:r w:rsidRPr="008B0DDD">
              <w:rPr>
                <w:rFonts w:eastAsia="Times New Roman" w:cs="Arial"/>
                <w:iCs/>
                <w:sz w:val="20"/>
                <w:szCs w:val="20"/>
              </w:rPr>
              <w:t xml:space="preserve">Detailed Design Document(s) </w:t>
            </w:r>
          </w:p>
          <w:p w14:paraId="6E31D9F7" w14:textId="5B12FC2A" w:rsidR="008B0DDD" w:rsidRPr="008B0DDD" w:rsidRDefault="008B0DDD" w:rsidP="00D423CB">
            <w:pPr>
              <w:pStyle w:val="ListParagraph"/>
              <w:numPr>
                <w:ilvl w:val="1"/>
                <w:numId w:val="3"/>
              </w:numPr>
              <w:rPr>
                <w:rFonts w:eastAsia="Times New Roman" w:cs="Arial"/>
                <w:iCs/>
                <w:sz w:val="20"/>
                <w:szCs w:val="20"/>
              </w:rPr>
            </w:pPr>
            <w:r w:rsidRPr="008B0DDD">
              <w:rPr>
                <w:rFonts w:eastAsia="Times New Roman" w:cs="Arial"/>
                <w:iCs/>
                <w:sz w:val="20"/>
                <w:szCs w:val="20"/>
              </w:rPr>
              <w:t xml:space="preserve">Functional and Technical Specifications and Non-SAP Design Documents </w:t>
            </w:r>
            <w:r w:rsidR="00D423CB">
              <w:rPr>
                <w:rFonts w:eastAsia="Times New Roman" w:cs="Arial"/>
                <w:iCs/>
                <w:sz w:val="20"/>
                <w:szCs w:val="20"/>
              </w:rPr>
              <w:t>(</w:t>
            </w:r>
            <w:r w:rsidRPr="008B0DDD">
              <w:rPr>
                <w:rFonts w:eastAsia="Times New Roman" w:cs="Arial"/>
                <w:iCs/>
                <w:sz w:val="20"/>
                <w:szCs w:val="20"/>
              </w:rPr>
              <w:t>where applicable</w:t>
            </w:r>
            <w:r w:rsidR="00D423CB">
              <w:rPr>
                <w:rFonts w:eastAsia="Times New Roman" w:cs="Arial"/>
                <w:iCs/>
                <w:sz w:val="20"/>
                <w:szCs w:val="20"/>
              </w:rPr>
              <w:t>)</w:t>
            </w:r>
          </w:p>
          <w:p w14:paraId="28AA753A" w14:textId="77777777" w:rsidR="00D86554" w:rsidRDefault="00D86554" w:rsidP="00D423CB">
            <w:pPr>
              <w:pStyle w:val="ListParagraph"/>
              <w:numPr>
                <w:ilvl w:val="1"/>
                <w:numId w:val="3"/>
              </w:numPr>
              <w:rPr>
                <w:rFonts w:eastAsia="Times New Roman" w:cs="Arial"/>
                <w:iCs/>
                <w:sz w:val="20"/>
                <w:szCs w:val="20"/>
              </w:rPr>
            </w:pPr>
            <w:r w:rsidRPr="008B0DDD">
              <w:rPr>
                <w:rFonts w:eastAsia="Times New Roman" w:cs="Arial"/>
                <w:iCs/>
                <w:sz w:val="20"/>
                <w:szCs w:val="20"/>
              </w:rPr>
              <w:t>Security Design (e.g. authorisation and authentication framework)</w:t>
            </w:r>
          </w:p>
          <w:p w14:paraId="0983C77A" w14:textId="61161EDA" w:rsidR="008B0DDD" w:rsidRPr="008B0DDD" w:rsidRDefault="008B0DDD" w:rsidP="00D423CB">
            <w:pPr>
              <w:pStyle w:val="ListParagraph"/>
              <w:numPr>
                <w:ilvl w:val="1"/>
                <w:numId w:val="3"/>
              </w:numPr>
              <w:rPr>
                <w:rFonts w:eastAsia="Times New Roman" w:cs="Arial"/>
                <w:iCs/>
                <w:sz w:val="20"/>
                <w:szCs w:val="20"/>
              </w:rPr>
            </w:pPr>
            <w:r w:rsidRPr="008B0DDD">
              <w:rPr>
                <w:rFonts w:eastAsia="Times New Roman" w:cs="Arial"/>
                <w:iCs/>
                <w:sz w:val="20"/>
                <w:szCs w:val="20"/>
              </w:rPr>
              <w:t xml:space="preserve">Environment and data requirements for the </w:t>
            </w:r>
            <w:r w:rsidR="00D86554">
              <w:rPr>
                <w:rFonts w:eastAsia="Times New Roman" w:cs="Arial"/>
                <w:iCs/>
                <w:sz w:val="20"/>
                <w:szCs w:val="20"/>
              </w:rPr>
              <w:t>project</w:t>
            </w:r>
          </w:p>
          <w:p w14:paraId="2798BA3B" w14:textId="38F9FAA5" w:rsidR="00D86554" w:rsidRDefault="00D86554" w:rsidP="00D423CB">
            <w:pPr>
              <w:pStyle w:val="ListParagraph"/>
              <w:numPr>
                <w:ilvl w:val="1"/>
                <w:numId w:val="3"/>
              </w:numPr>
              <w:rPr>
                <w:rFonts w:eastAsia="Times New Roman" w:cs="Arial"/>
                <w:iCs/>
                <w:sz w:val="20"/>
                <w:szCs w:val="20"/>
              </w:rPr>
            </w:pPr>
            <w:r>
              <w:rPr>
                <w:rFonts w:eastAsia="Times New Roman" w:cs="Arial"/>
                <w:iCs/>
                <w:sz w:val="20"/>
                <w:szCs w:val="20"/>
              </w:rPr>
              <w:t>Test Approach</w:t>
            </w:r>
          </w:p>
          <w:p w14:paraId="4CC2B2BE" w14:textId="2A15F65B" w:rsidR="008B0DDD" w:rsidRPr="008B0DDD" w:rsidRDefault="008B0DDD" w:rsidP="00D423CB">
            <w:pPr>
              <w:pStyle w:val="ListParagraph"/>
              <w:numPr>
                <w:ilvl w:val="1"/>
                <w:numId w:val="3"/>
              </w:numPr>
              <w:rPr>
                <w:rFonts w:eastAsia="Times New Roman" w:cs="Arial"/>
                <w:iCs/>
                <w:sz w:val="20"/>
                <w:szCs w:val="20"/>
              </w:rPr>
            </w:pPr>
            <w:r w:rsidRPr="008B0DDD">
              <w:rPr>
                <w:rFonts w:eastAsia="Times New Roman" w:cs="Arial"/>
                <w:iCs/>
                <w:sz w:val="20"/>
                <w:szCs w:val="20"/>
              </w:rPr>
              <w:t>Test Scenarios and Scripts</w:t>
            </w:r>
          </w:p>
          <w:p w14:paraId="157A6C7C" w14:textId="77777777" w:rsidR="00C8241F" w:rsidRDefault="00D86554" w:rsidP="00416BDE">
            <w:pPr>
              <w:pStyle w:val="ListParagraph"/>
              <w:numPr>
                <w:ilvl w:val="1"/>
                <w:numId w:val="3"/>
              </w:numPr>
              <w:rPr>
                <w:rFonts w:eastAsia="Times New Roman" w:cs="Arial"/>
                <w:iCs/>
                <w:sz w:val="20"/>
                <w:szCs w:val="20"/>
              </w:rPr>
            </w:pPr>
            <w:r>
              <w:rPr>
                <w:rFonts w:eastAsia="Times New Roman" w:cs="Arial"/>
                <w:iCs/>
                <w:sz w:val="20"/>
                <w:szCs w:val="20"/>
              </w:rPr>
              <w:t xml:space="preserve">High Level </w:t>
            </w:r>
            <w:r w:rsidR="008B0DDD" w:rsidRPr="008B0DDD">
              <w:rPr>
                <w:rFonts w:eastAsia="Times New Roman" w:cs="Arial"/>
                <w:iCs/>
                <w:sz w:val="20"/>
                <w:szCs w:val="20"/>
              </w:rPr>
              <w:t>Implementation Approach</w:t>
            </w:r>
          </w:p>
          <w:p w14:paraId="01650F92" w14:textId="2AB1F2B3" w:rsidR="00416BDE" w:rsidRPr="00416BDE" w:rsidRDefault="00416BDE" w:rsidP="00416BDE">
            <w:pPr>
              <w:pStyle w:val="ListParagraph"/>
              <w:numPr>
                <w:ilvl w:val="1"/>
                <w:numId w:val="3"/>
              </w:numPr>
              <w:rPr>
                <w:rFonts w:eastAsia="Times New Roman" w:cs="Arial"/>
                <w:iCs/>
                <w:sz w:val="20"/>
                <w:szCs w:val="20"/>
              </w:rPr>
            </w:pPr>
            <w:r>
              <w:rPr>
                <w:rFonts w:eastAsia="Times New Roman" w:cs="Arial"/>
                <w:iCs/>
                <w:sz w:val="20"/>
                <w:szCs w:val="20"/>
              </w:rPr>
              <w:t>Imp</w:t>
            </w:r>
            <w:r w:rsidR="00C8241F">
              <w:rPr>
                <w:rFonts w:eastAsia="Times New Roman" w:cs="Arial"/>
                <w:iCs/>
                <w:sz w:val="20"/>
                <w:szCs w:val="20"/>
              </w:rPr>
              <w:t>lementation</w:t>
            </w:r>
            <w:r>
              <w:rPr>
                <w:rFonts w:eastAsia="Times New Roman" w:cs="Arial"/>
                <w:iCs/>
                <w:sz w:val="20"/>
                <w:szCs w:val="20"/>
              </w:rPr>
              <w:t xml:space="preserve"> date options</w:t>
            </w:r>
          </w:p>
          <w:p w14:paraId="42119941" w14:textId="184441C8" w:rsidR="00482AC6" w:rsidRPr="008B0DDD" w:rsidRDefault="008B0DDD" w:rsidP="00D423CB">
            <w:pPr>
              <w:pStyle w:val="ListParagraph"/>
              <w:numPr>
                <w:ilvl w:val="1"/>
                <w:numId w:val="3"/>
              </w:numPr>
              <w:rPr>
                <w:rFonts w:eastAsia="Times New Roman" w:cs="Arial"/>
                <w:sz w:val="20"/>
                <w:szCs w:val="20"/>
              </w:rPr>
            </w:pPr>
            <w:r w:rsidRPr="008B0DDD">
              <w:rPr>
                <w:rFonts w:eastAsia="Times New Roman" w:cs="Arial"/>
                <w:iCs/>
                <w:sz w:val="20"/>
                <w:szCs w:val="20"/>
              </w:rPr>
              <w:t xml:space="preserve">High Level Estimates (HLE) of Run </w:t>
            </w:r>
            <w:proofErr w:type="gramStart"/>
            <w:r w:rsidRPr="008B0DDD">
              <w:rPr>
                <w:rFonts w:eastAsia="Times New Roman" w:cs="Arial"/>
                <w:iCs/>
                <w:sz w:val="20"/>
                <w:szCs w:val="20"/>
              </w:rPr>
              <w:t>The</w:t>
            </w:r>
            <w:proofErr w:type="gramEnd"/>
            <w:r w:rsidRPr="008B0DDD">
              <w:rPr>
                <w:rFonts w:eastAsia="Times New Roman" w:cs="Arial"/>
                <w:iCs/>
                <w:sz w:val="20"/>
                <w:szCs w:val="20"/>
              </w:rPr>
              <w:t xml:space="preserve"> Business costs</w:t>
            </w:r>
          </w:p>
        </w:tc>
      </w:tr>
    </w:tbl>
    <w:p w14:paraId="5212E958" w14:textId="77777777" w:rsidR="007A113D" w:rsidRPr="007A113D" w:rsidRDefault="007A113D" w:rsidP="007A113D">
      <w:pPr>
        <w:pStyle w:val="NoSpacing"/>
        <w:rPr>
          <w:rFonts w:eastAsia="Arial"/>
        </w:rPr>
      </w:pPr>
    </w:p>
    <w:p w14:paraId="3A8EC67C" w14:textId="77777777" w:rsidR="007A113D" w:rsidRPr="007A113D" w:rsidRDefault="007A113D" w:rsidP="007A113D">
      <w:pPr>
        <w:tabs>
          <w:tab w:val="left" w:pos="5384"/>
        </w:tabs>
        <w:rPr>
          <w:rFonts w:eastAsia="Arial" w:cs="Times New Roman"/>
          <w:b/>
          <w:sz w:val="20"/>
          <w:szCs w:val="20"/>
        </w:rPr>
      </w:pPr>
      <w:r w:rsidRPr="007A113D">
        <w:rPr>
          <w:rFonts w:eastAsia="Arial" w:cs="Arial"/>
          <w:b/>
          <w:sz w:val="20"/>
        </w:rPr>
        <w:t xml:space="preserve">Please send completed form to: </w:t>
      </w:r>
      <w:hyperlink r:id="rId11" w:history="1">
        <w:r w:rsidRPr="007A113D">
          <w:rPr>
            <w:rFonts w:eastAsia="Arial" w:cs="Arial"/>
            <w:b/>
            <w:color w:val="D2232A"/>
            <w:sz w:val="20"/>
            <w:u w:val="single"/>
          </w:rPr>
          <w:t>box.xoserve.portfoliooffice@xoserve.com</w:t>
        </w:r>
      </w:hyperlink>
    </w:p>
    <w:p w14:paraId="12616402" w14:textId="77777777" w:rsidR="007A113D" w:rsidRPr="007A113D" w:rsidRDefault="007A113D" w:rsidP="007A113D">
      <w:pPr>
        <w:rPr>
          <w:rFonts w:eastAsia="Arial" w:cs="Times New Roman"/>
          <w:b/>
          <w:sz w:val="20"/>
          <w:szCs w:val="20"/>
        </w:rPr>
      </w:pPr>
      <w:r w:rsidRPr="007A113D">
        <w:rPr>
          <w:rFonts w:eastAsia="Arial" w:cs="Times New Roman"/>
          <w:b/>
          <w:sz w:val="20"/>
          <w:szCs w:val="20"/>
        </w:rPr>
        <w:t>Document Version History</w:t>
      </w:r>
    </w:p>
    <w:tbl>
      <w:tblPr>
        <w:tblStyle w:val="TableGrid1"/>
        <w:tblW w:w="5522" w:type="pct"/>
        <w:tblInd w:w="-459" w:type="dxa"/>
        <w:tblLook w:val="04A0" w:firstRow="1" w:lastRow="0" w:firstColumn="1" w:lastColumn="0" w:noHBand="0" w:noVBand="1"/>
      </w:tblPr>
      <w:tblGrid>
        <w:gridCol w:w="1841"/>
        <w:gridCol w:w="1705"/>
        <w:gridCol w:w="1135"/>
        <w:gridCol w:w="1558"/>
        <w:gridCol w:w="3968"/>
      </w:tblGrid>
      <w:tr w:rsidR="007A113D" w:rsidRPr="007A113D" w14:paraId="656FD916" w14:textId="77777777" w:rsidTr="00514B8E">
        <w:trPr>
          <w:trHeight w:val="611"/>
        </w:trPr>
        <w:tc>
          <w:tcPr>
            <w:tcW w:w="902" w:type="pct"/>
            <w:shd w:val="clear" w:color="auto" w:fill="D6DCF0" w:themeFill="accent1" w:themeFillTint="33"/>
            <w:vAlign w:val="center"/>
          </w:tcPr>
          <w:p w14:paraId="3D4655DA" w14:textId="77777777" w:rsidR="007A113D" w:rsidRPr="007A113D" w:rsidRDefault="007A113D" w:rsidP="007A113D">
            <w:pPr>
              <w:jc w:val="center"/>
              <w:rPr>
                <w:rFonts w:eastAsia="Times New Roman" w:cs="Arial"/>
                <w:b/>
                <w:sz w:val="20"/>
                <w:szCs w:val="20"/>
              </w:rPr>
            </w:pPr>
            <w:r w:rsidRPr="007A113D">
              <w:rPr>
                <w:rFonts w:eastAsia="Times New Roman" w:cs="Arial"/>
                <w:b/>
                <w:sz w:val="20"/>
                <w:szCs w:val="20"/>
              </w:rPr>
              <w:t>Version</w:t>
            </w:r>
          </w:p>
        </w:tc>
        <w:tc>
          <w:tcPr>
            <w:tcW w:w="835" w:type="pct"/>
            <w:shd w:val="clear" w:color="auto" w:fill="D6DCF0" w:themeFill="accent1" w:themeFillTint="33"/>
            <w:vAlign w:val="center"/>
          </w:tcPr>
          <w:p w14:paraId="4E585DB7" w14:textId="77777777" w:rsidR="007A113D" w:rsidRPr="007A113D" w:rsidRDefault="007A113D" w:rsidP="007A113D">
            <w:pPr>
              <w:jc w:val="center"/>
              <w:rPr>
                <w:rFonts w:eastAsia="Times New Roman" w:cs="Arial"/>
                <w:b/>
                <w:sz w:val="20"/>
                <w:szCs w:val="20"/>
              </w:rPr>
            </w:pPr>
            <w:r w:rsidRPr="007A113D">
              <w:rPr>
                <w:rFonts w:eastAsia="Times New Roman" w:cs="Arial"/>
                <w:b/>
                <w:sz w:val="20"/>
                <w:szCs w:val="20"/>
              </w:rPr>
              <w:t>Status</w:t>
            </w:r>
          </w:p>
        </w:tc>
        <w:tc>
          <w:tcPr>
            <w:tcW w:w="556" w:type="pct"/>
            <w:shd w:val="clear" w:color="auto" w:fill="D6DCF0" w:themeFill="accent1" w:themeFillTint="33"/>
            <w:vAlign w:val="center"/>
          </w:tcPr>
          <w:p w14:paraId="2F10274C" w14:textId="77777777" w:rsidR="007A113D" w:rsidRPr="007A113D" w:rsidRDefault="007A113D" w:rsidP="007A113D">
            <w:pPr>
              <w:jc w:val="center"/>
              <w:rPr>
                <w:rFonts w:eastAsia="Times New Roman" w:cs="Arial"/>
                <w:b/>
                <w:sz w:val="20"/>
                <w:szCs w:val="20"/>
              </w:rPr>
            </w:pPr>
            <w:r w:rsidRPr="007A113D">
              <w:rPr>
                <w:rFonts w:eastAsia="Times New Roman" w:cs="Arial"/>
                <w:b/>
                <w:sz w:val="20"/>
                <w:szCs w:val="20"/>
              </w:rPr>
              <w:t>Date</w:t>
            </w:r>
          </w:p>
        </w:tc>
        <w:tc>
          <w:tcPr>
            <w:tcW w:w="763" w:type="pct"/>
            <w:shd w:val="clear" w:color="auto" w:fill="D6DCF0" w:themeFill="accent1" w:themeFillTint="33"/>
            <w:vAlign w:val="center"/>
          </w:tcPr>
          <w:p w14:paraId="19C06514" w14:textId="77777777" w:rsidR="007A113D" w:rsidRPr="007A113D" w:rsidRDefault="007A113D" w:rsidP="007A113D">
            <w:pPr>
              <w:jc w:val="center"/>
              <w:rPr>
                <w:rFonts w:eastAsia="Times New Roman" w:cs="Arial"/>
                <w:b/>
                <w:sz w:val="20"/>
                <w:szCs w:val="20"/>
              </w:rPr>
            </w:pPr>
            <w:r w:rsidRPr="007A113D">
              <w:rPr>
                <w:rFonts w:eastAsia="Times New Roman" w:cs="Arial"/>
                <w:b/>
                <w:sz w:val="20"/>
                <w:szCs w:val="20"/>
              </w:rPr>
              <w:t>Author(s)</w:t>
            </w:r>
          </w:p>
        </w:tc>
        <w:tc>
          <w:tcPr>
            <w:tcW w:w="1944" w:type="pct"/>
            <w:shd w:val="clear" w:color="auto" w:fill="D6DCF0" w:themeFill="accent1" w:themeFillTint="33"/>
            <w:vAlign w:val="center"/>
          </w:tcPr>
          <w:p w14:paraId="04F27B46" w14:textId="77777777" w:rsidR="007A113D" w:rsidRPr="007A113D" w:rsidRDefault="007A113D" w:rsidP="007A113D">
            <w:pPr>
              <w:jc w:val="center"/>
              <w:rPr>
                <w:rFonts w:eastAsia="Times New Roman" w:cs="Arial"/>
                <w:b/>
                <w:sz w:val="20"/>
                <w:szCs w:val="20"/>
              </w:rPr>
            </w:pPr>
            <w:r w:rsidRPr="007A113D">
              <w:rPr>
                <w:rFonts w:eastAsia="Times New Roman" w:cs="Arial"/>
                <w:b/>
                <w:sz w:val="20"/>
                <w:szCs w:val="20"/>
              </w:rPr>
              <w:t>Summary of Changes</w:t>
            </w:r>
          </w:p>
        </w:tc>
      </w:tr>
      <w:tr w:rsidR="007A113D" w:rsidRPr="007A113D" w14:paraId="5B1D619B" w14:textId="77777777" w:rsidTr="00514B8E">
        <w:tc>
          <w:tcPr>
            <w:tcW w:w="902" w:type="pct"/>
          </w:tcPr>
          <w:p w14:paraId="0EE804BA" w14:textId="5CF90DE1" w:rsidR="007A113D" w:rsidRPr="007A113D" w:rsidRDefault="000F3A67" w:rsidP="007A113D">
            <w:pPr>
              <w:jc w:val="center"/>
              <w:rPr>
                <w:rFonts w:eastAsia="Times New Roman" w:cs="Arial"/>
                <w:sz w:val="20"/>
                <w:szCs w:val="20"/>
              </w:rPr>
            </w:pPr>
            <w:r>
              <w:rPr>
                <w:rFonts w:eastAsia="Times New Roman" w:cs="Arial"/>
                <w:sz w:val="20"/>
                <w:szCs w:val="20"/>
              </w:rPr>
              <w:t>0.1</w:t>
            </w:r>
          </w:p>
        </w:tc>
        <w:tc>
          <w:tcPr>
            <w:tcW w:w="835" w:type="pct"/>
          </w:tcPr>
          <w:p w14:paraId="7609FDFA" w14:textId="38B2724A" w:rsidR="007A113D" w:rsidRPr="007A113D" w:rsidRDefault="000F3A67" w:rsidP="007A113D">
            <w:pPr>
              <w:jc w:val="center"/>
              <w:rPr>
                <w:rFonts w:eastAsia="Times New Roman" w:cs="Arial"/>
                <w:sz w:val="20"/>
                <w:szCs w:val="20"/>
              </w:rPr>
            </w:pPr>
            <w:r>
              <w:rPr>
                <w:rFonts w:eastAsia="Times New Roman" w:cs="Arial"/>
                <w:sz w:val="20"/>
                <w:szCs w:val="20"/>
              </w:rPr>
              <w:t>Draft</w:t>
            </w:r>
          </w:p>
        </w:tc>
        <w:tc>
          <w:tcPr>
            <w:tcW w:w="556" w:type="pct"/>
          </w:tcPr>
          <w:p w14:paraId="786158AD" w14:textId="4B13ECF5" w:rsidR="007A113D" w:rsidRPr="007A113D" w:rsidRDefault="000F3A67" w:rsidP="007A113D">
            <w:pPr>
              <w:jc w:val="center"/>
              <w:rPr>
                <w:rFonts w:eastAsia="Times New Roman" w:cs="Arial"/>
                <w:sz w:val="20"/>
                <w:szCs w:val="20"/>
              </w:rPr>
            </w:pPr>
            <w:r>
              <w:rPr>
                <w:rFonts w:eastAsia="Times New Roman" w:cs="Arial"/>
                <w:sz w:val="20"/>
                <w:szCs w:val="20"/>
              </w:rPr>
              <w:t>30/07/21</w:t>
            </w:r>
          </w:p>
        </w:tc>
        <w:tc>
          <w:tcPr>
            <w:tcW w:w="763" w:type="pct"/>
          </w:tcPr>
          <w:p w14:paraId="4993E49A" w14:textId="17643F3E" w:rsidR="007A113D" w:rsidRPr="007A113D" w:rsidRDefault="000F3A67" w:rsidP="007A113D">
            <w:pPr>
              <w:jc w:val="center"/>
              <w:rPr>
                <w:rFonts w:eastAsia="Times New Roman" w:cs="Arial"/>
                <w:sz w:val="20"/>
                <w:szCs w:val="20"/>
              </w:rPr>
            </w:pPr>
            <w:r>
              <w:rPr>
                <w:rFonts w:eastAsia="Times New Roman" w:cs="Arial"/>
                <w:sz w:val="20"/>
                <w:szCs w:val="20"/>
              </w:rPr>
              <w:t>Lee Chambers</w:t>
            </w:r>
          </w:p>
        </w:tc>
        <w:tc>
          <w:tcPr>
            <w:tcW w:w="1944" w:type="pct"/>
          </w:tcPr>
          <w:p w14:paraId="49B5B63F" w14:textId="28BCF092" w:rsidR="007A113D" w:rsidRPr="007A113D" w:rsidRDefault="000F3A67" w:rsidP="007A113D">
            <w:pPr>
              <w:jc w:val="center"/>
              <w:rPr>
                <w:rFonts w:eastAsia="Times New Roman" w:cs="Arial"/>
                <w:sz w:val="20"/>
                <w:szCs w:val="20"/>
              </w:rPr>
            </w:pPr>
            <w:r>
              <w:rPr>
                <w:rFonts w:eastAsia="Times New Roman" w:cs="Arial"/>
                <w:sz w:val="20"/>
                <w:szCs w:val="20"/>
              </w:rPr>
              <w:t>Draft EQR for review</w:t>
            </w:r>
          </w:p>
        </w:tc>
      </w:tr>
    </w:tbl>
    <w:p w14:paraId="11366588" w14:textId="77777777" w:rsidR="007A113D" w:rsidRPr="007A113D" w:rsidRDefault="007A113D" w:rsidP="007A113D">
      <w:pPr>
        <w:rPr>
          <w:rFonts w:eastAsia="Arial" w:cs="Times New Roman"/>
          <w:b/>
          <w:sz w:val="20"/>
          <w:szCs w:val="20"/>
        </w:rPr>
      </w:pPr>
      <w:r w:rsidRPr="007A113D">
        <w:rPr>
          <w:rFonts w:eastAsia="Arial" w:cs="Times New Roman"/>
          <w:b/>
          <w:sz w:val="20"/>
          <w:szCs w:val="20"/>
        </w:rPr>
        <w:br/>
        <w:t>Template Version History</w:t>
      </w:r>
    </w:p>
    <w:tbl>
      <w:tblPr>
        <w:tblStyle w:val="TableGrid1"/>
        <w:tblW w:w="5522" w:type="pct"/>
        <w:tblInd w:w="-459" w:type="dxa"/>
        <w:tblLook w:val="04A0" w:firstRow="1" w:lastRow="0" w:firstColumn="1" w:lastColumn="0" w:noHBand="0" w:noVBand="1"/>
      </w:tblPr>
      <w:tblGrid>
        <w:gridCol w:w="1418"/>
        <w:gridCol w:w="1558"/>
        <w:gridCol w:w="1419"/>
        <w:gridCol w:w="2125"/>
        <w:gridCol w:w="3687"/>
      </w:tblGrid>
      <w:tr w:rsidR="007A113D" w:rsidRPr="007A113D" w14:paraId="36264F2C" w14:textId="77777777" w:rsidTr="00514B8E">
        <w:trPr>
          <w:trHeight w:val="611"/>
        </w:trPr>
        <w:tc>
          <w:tcPr>
            <w:tcW w:w="695" w:type="pct"/>
            <w:tcBorders>
              <w:bottom w:val="single" w:sz="4" w:space="0" w:color="auto"/>
            </w:tcBorders>
            <w:shd w:val="clear" w:color="auto" w:fill="D6DCF0" w:themeFill="accent1" w:themeFillTint="33"/>
            <w:vAlign w:val="center"/>
          </w:tcPr>
          <w:p w14:paraId="6EE1CD4C" w14:textId="77777777" w:rsidR="007A113D" w:rsidRPr="007A113D" w:rsidRDefault="007A113D" w:rsidP="007A113D">
            <w:pPr>
              <w:jc w:val="center"/>
              <w:rPr>
                <w:rFonts w:eastAsia="Times New Roman" w:cs="Arial"/>
                <w:b/>
                <w:sz w:val="18"/>
                <w:szCs w:val="20"/>
              </w:rPr>
            </w:pPr>
            <w:r w:rsidRPr="007A113D">
              <w:rPr>
                <w:rFonts w:eastAsia="Times New Roman" w:cs="Arial"/>
                <w:b/>
                <w:sz w:val="18"/>
                <w:szCs w:val="20"/>
              </w:rPr>
              <w:t>Version</w:t>
            </w:r>
          </w:p>
        </w:tc>
        <w:tc>
          <w:tcPr>
            <w:tcW w:w="763" w:type="pct"/>
            <w:tcBorders>
              <w:bottom w:val="single" w:sz="4" w:space="0" w:color="auto"/>
            </w:tcBorders>
            <w:shd w:val="clear" w:color="auto" w:fill="D6DCF0" w:themeFill="accent1" w:themeFillTint="33"/>
            <w:vAlign w:val="center"/>
          </w:tcPr>
          <w:p w14:paraId="678DD3F8" w14:textId="77777777" w:rsidR="007A113D" w:rsidRPr="007A113D" w:rsidRDefault="007A113D" w:rsidP="007A113D">
            <w:pPr>
              <w:jc w:val="center"/>
              <w:rPr>
                <w:rFonts w:eastAsia="Times New Roman" w:cs="Arial"/>
                <w:b/>
                <w:sz w:val="18"/>
                <w:szCs w:val="20"/>
              </w:rPr>
            </w:pPr>
            <w:r w:rsidRPr="007A113D">
              <w:rPr>
                <w:rFonts w:eastAsia="Times New Roman" w:cs="Arial"/>
                <w:b/>
                <w:sz w:val="18"/>
                <w:szCs w:val="20"/>
              </w:rPr>
              <w:t>Status</w:t>
            </w:r>
          </w:p>
        </w:tc>
        <w:tc>
          <w:tcPr>
            <w:tcW w:w="695" w:type="pct"/>
            <w:tcBorders>
              <w:bottom w:val="single" w:sz="4" w:space="0" w:color="auto"/>
            </w:tcBorders>
            <w:shd w:val="clear" w:color="auto" w:fill="D6DCF0" w:themeFill="accent1" w:themeFillTint="33"/>
            <w:vAlign w:val="center"/>
          </w:tcPr>
          <w:p w14:paraId="4709B892" w14:textId="77777777" w:rsidR="007A113D" w:rsidRPr="007A113D" w:rsidRDefault="007A113D" w:rsidP="007A113D">
            <w:pPr>
              <w:jc w:val="center"/>
              <w:rPr>
                <w:rFonts w:eastAsia="Times New Roman" w:cs="Arial"/>
                <w:b/>
                <w:sz w:val="18"/>
                <w:szCs w:val="20"/>
              </w:rPr>
            </w:pPr>
            <w:r w:rsidRPr="007A113D">
              <w:rPr>
                <w:rFonts w:eastAsia="Times New Roman" w:cs="Arial"/>
                <w:b/>
                <w:sz w:val="18"/>
                <w:szCs w:val="20"/>
              </w:rPr>
              <w:t>Date</w:t>
            </w:r>
          </w:p>
        </w:tc>
        <w:tc>
          <w:tcPr>
            <w:tcW w:w="1041" w:type="pct"/>
            <w:tcBorders>
              <w:bottom w:val="single" w:sz="4" w:space="0" w:color="auto"/>
            </w:tcBorders>
            <w:shd w:val="clear" w:color="auto" w:fill="D6DCF0" w:themeFill="accent1" w:themeFillTint="33"/>
            <w:vAlign w:val="center"/>
          </w:tcPr>
          <w:p w14:paraId="5AFA8CF5" w14:textId="77777777" w:rsidR="007A113D" w:rsidRPr="007A113D" w:rsidRDefault="007A113D" w:rsidP="007A113D">
            <w:pPr>
              <w:jc w:val="center"/>
              <w:rPr>
                <w:rFonts w:eastAsia="Times New Roman" w:cs="Arial"/>
                <w:b/>
                <w:sz w:val="18"/>
                <w:szCs w:val="20"/>
              </w:rPr>
            </w:pPr>
            <w:r w:rsidRPr="007A113D">
              <w:rPr>
                <w:rFonts w:eastAsia="Times New Roman" w:cs="Arial"/>
                <w:b/>
                <w:sz w:val="18"/>
                <w:szCs w:val="20"/>
              </w:rPr>
              <w:t>Author(s)</w:t>
            </w:r>
          </w:p>
        </w:tc>
        <w:tc>
          <w:tcPr>
            <w:tcW w:w="1806" w:type="pct"/>
            <w:tcBorders>
              <w:bottom w:val="single" w:sz="4" w:space="0" w:color="auto"/>
            </w:tcBorders>
            <w:shd w:val="clear" w:color="auto" w:fill="D6DCF0" w:themeFill="accent1" w:themeFillTint="33"/>
            <w:vAlign w:val="center"/>
          </w:tcPr>
          <w:p w14:paraId="58FE7DA0" w14:textId="77777777" w:rsidR="007A113D" w:rsidRPr="007A113D" w:rsidRDefault="007A113D" w:rsidP="007A113D">
            <w:pPr>
              <w:jc w:val="center"/>
              <w:rPr>
                <w:rFonts w:eastAsia="Times New Roman" w:cs="Arial"/>
                <w:b/>
                <w:sz w:val="18"/>
                <w:szCs w:val="20"/>
              </w:rPr>
            </w:pPr>
            <w:r w:rsidRPr="007A113D">
              <w:rPr>
                <w:rFonts w:eastAsia="Times New Roman" w:cs="Arial"/>
                <w:b/>
                <w:sz w:val="18"/>
                <w:szCs w:val="20"/>
              </w:rPr>
              <w:t>Summary of Changes</w:t>
            </w:r>
          </w:p>
        </w:tc>
      </w:tr>
      <w:tr w:rsidR="007A113D" w:rsidRPr="007A113D" w14:paraId="5C1D11E6" w14:textId="77777777" w:rsidTr="00514B8E">
        <w:trPr>
          <w:trHeight w:val="461"/>
        </w:trPr>
        <w:tc>
          <w:tcPr>
            <w:tcW w:w="695" w:type="pct"/>
            <w:shd w:val="clear" w:color="auto" w:fill="FFFFFF" w:themeFill="background1"/>
            <w:vAlign w:val="center"/>
          </w:tcPr>
          <w:p w14:paraId="76B821F9" w14:textId="77777777" w:rsidR="007A113D" w:rsidRPr="007A113D" w:rsidRDefault="007A113D" w:rsidP="007A113D">
            <w:pPr>
              <w:jc w:val="center"/>
              <w:rPr>
                <w:rFonts w:eastAsia="Times New Roman" w:cs="Arial"/>
                <w:sz w:val="18"/>
              </w:rPr>
            </w:pPr>
            <w:r w:rsidRPr="007A113D">
              <w:rPr>
                <w:rFonts w:eastAsia="Times New Roman" w:cs="Arial"/>
                <w:sz w:val="18"/>
              </w:rPr>
              <w:t>2.0</w:t>
            </w:r>
          </w:p>
        </w:tc>
        <w:tc>
          <w:tcPr>
            <w:tcW w:w="763" w:type="pct"/>
            <w:shd w:val="clear" w:color="auto" w:fill="FFFFFF" w:themeFill="background1"/>
            <w:vAlign w:val="center"/>
          </w:tcPr>
          <w:p w14:paraId="10FC493E" w14:textId="77777777" w:rsidR="007A113D" w:rsidRPr="007A113D" w:rsidRDefault="007A113D" w:rsidP="007A113D">
            <w:pPr>
              <w:jc w:val="center"/>
              <w:rPr>
                <w:rFonts w:eastAsia="Times New Roman" w:cs="Arial"/>
                <w:sz w:val="18"/>
              </w:rPr>
            </w:pPr>
            <w:r w:rsidRPr="007A113D">
              <w:rPr>
                <w:rFonts w:eastAsia="Times New Roman" w:cs="Arial"/>
                <w:sz w:val="18"/>
              </w:rPr>
              <w:t>Approved</w:t>
            </w:r>
          </w:p>
        </w:tc>
        <w:tc>
          <w:tcPr>
            <w:tcW w:w="695" w:type="pct"/>
            <w:shd w:val="clear" w:color="auto" w:fill="FFFFFF" w:themeFill="background1"/>
            <w:vAlign w:val="center"/>
          </w:tcPr>
          <w:p w14:paraId="399285B3" w14:textId="77777777" w:rsidR="007A113D" w:rsidRPr="007A113D" w:rsidRDefault="007A113D" w:rsidP="007A113D">
            <w:pPr>
              <w:jc w:val="center"/>
              <w:rPr>
                <w:rFonts w:eastAsia="Times New Roman" w:cs="Arial"/>
                <w:sz w:val="18"/>
              </w:rPr>
            </w:pPr>
            <w:r w:rsidRPr="007A113D">
              <w:rPr>
                <w:rFonts w:eastAsia="Times New Roman" w:cs="Arial"/>
                <w:sz w:val="18"/>
              </w:rPr>
              <w:t>17/07/2018</w:t>
            </w:r>
          </w:p>
        </w:tc>
        <w:tc>
          <w:tcPr>
            <w:tcW w:w="1041" w:type="pct"/>
            <w:shd w:val="clear" w:color="auto" w:fill="FFFFFF" w:themeFill="background1"/>
            <w:vAlign w:val="center"/>
          </w:tcPr>
          <w:p w14:paraId="451FE404" w14:textId="77777777" w:rsidR="007A113D" w:rsidRPr="007A113D" w:rsidRDefault="007A113D" w:rsidP="007A113D">
            <w:pPr>
              <w:rPr>
                <w:rFonts w:eastAsia="Times New Roman" w:cs="Arial"/>
                <w:sz w:val="18"/>
              </w:rPr>
            </w:pPr>
            <w:r w:rsidRPr="007A113D">
              <w:rPr>
                <w:rFonts w:eastAsia="Times New Roman" w:cs="Arial"/>
                <w:sz w:val="18"/>
              </w:rPr>
              <w:t>Rebecca Perkins</w:t>
            </w:r>
          </w:p>
        </w:tc>
        <w:tc>
          <w:tcPr>
            <w:tcW w:w="1806" w:type="pct"/>
            <w:shd w:val="clear" w:color="auto" w:fill="FFFFFF" w:themeFill="background1"/>
            <w:vAlign w:val="center"/>
          </w:tcPr>
          <w:p w14:paraId="737B4BEF" w14:textId="77777777" w:rsidR="007A113D" w:rsidRPr="007A113D" w:rsidRDefault="007A113D" w:rsidP="007A113D">
            <w:pPr>
              <w:rPr>
                <w:rFonts w:eastAsia="Times New Roman" w:cs="Arial"/>
                <w:sz w:val="18"/>
              </w:rPr>
            </w:pPr>
            <w:r w:rsidRPr="007A113D">
              <w:rPr>
                <w:rFonts w:eastAsia="Times New Roman" w:cs="Arial"/>
                <w:sz w:val="18"/>
              </w:rPr>
              <w:t>Template approved at ChMC on 11</w:t>
            </w:r>
            <w:r w:rsidRPr="007A113D">
              <w:rPr>
                <w:rFonts w:eastAsia="Times New Roman" w:cs="Arial"/>
                <w:sz w:val="18"/>
                <w:vertAlign w:val="superscript"/>
              </w:rPr>
              <w:t>th</w:t>
            </w:r>
            <w:r w:rsidRPr="007A113D">
              <w:rPr>
                <w:rFonts w:eastAsia="Times New Roman" w:cs="Arial"/>
                <w:sz w:val="18"/>
              </w:rPr>
              <w:t xml:space="preserve"> July</w:t>
            </w:r>
          </w:p>
        </w:tc>
      </w:tr>
      <w:tr w:rsidR="007A113D" w:rsidRPr="007A113D" w14:paraId="08F3E9CF" w14:textId="77777777" w:rsidTr="00514B8E">
        <w:trPr>
          <w:trHeight w:val="461"/>
        </w:trPr>
        <w:tc>
          <w:tcPr>
            <w:tcW w:w="695" w:type="pct"/>
            <w:shd w:val="clear" w:color="auto" w:fill="FFFFFF" w:themeFill="background1"/>
            <w:vAlign w:val="center"/>
          </w:tcPr>
          <w:p w14:paraId="4128909B" w14:textId="1499ED80" w:rsidR="007A113D" w:rsidRPr="007A113D" w:rsidRDefault="00B35A54" w:rsidP="007A113D">
            <w:pPr>
              <w:jc w:val="center"/>
              <w:rPr>
                <w:rFonts w:eastAsia="Times New Roman" w:cs="Arial"/>
                <w:sz w:val="18"/>
              </w:rPr>
            </w:pPr>
            <w:r>
              <w:rPr>
                <w:rFonts w:eastAsia="Times New Roman" w:cs="Arial"/>
                <w:sz w:val="18"/>
              </w:rPr>
              <w:t>3.0</w:t>
            </w:r>
          </w:p>
        </w:tc>
        <w:tc>
          <w:tcPr>
            <w:tcW w:w="763" w:type="pct"/>
            <w:shd w:val="clear" w:color="auto" w:fill="FFFFFF" w:themeFill="background1"/>
            <w:vAlign w:val="center"/>
          </w:tcPr>
          <w:p w14:paraId="4C406186" w14:textId="57E0F962" w:rsidR="007A113D" w:rsidRPr="007A113D" w:rsidRDefault="00B35A54" w:rsidP="007A113D">
            <w:pPr>
              <w:jc w:val="center"/>
              <w:rPr>
                <w:rFonts w:eastAsia="Times New Roman" w:cs="Arial"/>
                <w:sz w:val="18"/>
              </w:rPr>
            </w:pPr>
            <w:r>
              <w:rPr>
                <w:rFonts w:eastAsia="Times New Roman" w:cs="Arial"/>
                <w:sz w:val="18"/>
              </w:rPr>
              <w:t>Approved</w:t>
            </w:r>
          </w:p>
        </w:tc>
        <w:tc>
          <w:tcPr>
            <w:tcW w:w="695" w:type="pct"/>
            <w:shd w:val="clear" w:color="auto" w:fill="FFFFFF" w:themeFill="background1"/>
            <w:vAlign w:val="center"/>
          </w:tcPr>
          <w:p w14:paraId="5CEA3C00" w14:textId="5E61C5C9" w:rsidR="007A113D" w:rsidRPr="007A113D" w:rsidRDefault="007A113D" w:rsidP="007A113D">
            <w:pPr>
              <w:jc w:val="center"/>
              <w:rPr>
                <w:rFonts w:eastAsia="Times New Roman" w:cs="Arial"/>
                <w:sz w:val="18"/>
              </w:rPr>
            </w:pPr>
            <w:r>
              <w:rPr>
                <w:rFonts w:eastAsia="Times New Roman" w:cs="Arial"/>
                <w:sz w:val="18"/>
              </w:rPr>
              <w:t>19/12/</w:t>
            </w:r>
            <w:r w:rsidR="00E21CFC">
              <w:rPr>
                <w:rFonts w:eastAsia="Times New Roman" w:cs="Arial"/>
                <w:sz w:val="18"/>
              </w:rPr>
              <w:t>20</w:t>
            </w:r>
            <w:r>
              <w:rPr>
                <w:rFonts w:eastAsia="Times New Roman" w:cs="Arial"/>
                <w:sz w:val="18"/>
              </w:rPr>
              <w:t>18</w:t>
            </w:r>
          </w:p>
        </w:tc>
        <w:tc>
          <w:tcPr>
            <w:tcW w:w="1041" w:type="pct"/>
            <w:shd w:val="clear" w:color="auto" w:fill="FFFFFF" w:themeFill="background1"/>
            <w:vAlign w:val="center"/>
          </w:tcPr>
          <w:p w14:paraId="210CC28A" w14:textId="6CC4E3BA" w:rsidR="007A113D" w:rsidRPr="007A113D" w:rsidRDefault="007A113D" w:rsidP="007A113D">
            <w:pPr>
              <w:rPr>
                <w:rFonts w:eastAsia="Times New Roman" w:cs="Arial"/>
                <w:sz w:val="18"/>
              </w:rPr>
            </w:pPr>
            <w:r>
              <w:rPr>
                <w:rFonts w:eastAsia="Times New Roman" w:cs="Arial"/>
                <w:sz w:val="18"/>
              </w:rPr>
              <w:t>Heather Spensley</w:t>
            </w:r>
          </w:p>
        </w:tc>
        <w:tc>
          <w:tcPr>
            <w:tcW w:w="1806" w:type="pct"/>
            <w:shd w:val="clear" w:color="auto" w:fill="FFFFFF" w:themeFill="background1"/>
            <w:vAlign w:val="center"/>
          </w:tcPr>
          <w:p w14:paraId="018FE940" w14:textId="30D029F2" w:rsidR="007A113D" w:rsidRPr="007A113D" w:rsidRDefault="007A113D" w:rsidP="007A113D">
            <w:pPr>
              <w:rPr>
                <w:rFonts w:eastAsia="Times New Roman" w:cs="Arial"/>
                <w:sz w:val="18"/>
              </w:rPr>
            </w:pPr>
            <w:r w:rsidRPr="007A113D">
              <w:rPr>
                <w:rFonts w:eastAsia="Times New Roman" w:cs="Arial"/>
                <w:sz w:val="18"/>
              </w:rPr>
              <w:t>Moved onto Xoserve’s new Word template in line with new branding</w:t>
            </w:r>
          </w:p>
        </w:tc>
      </w:tr>
    </w:tbl>
    <w:p w14:paraId="2DA64D6E" w14:textId="4156D933" w:rsidR="00D66C7E" w:rsidRPr="00D66C7E" w:rsidRDefault="00D66C7E" w:rsidP="00D66C7E"/>
    <w:sectPr w:rsidR="00D66C7E" w:rsidRPr="00D66C7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A60AC" w14:textId="77777777" w:rsidR="00C1002E" w:rsidRDefault="00C1002E" w:rsidP="00324744">
      <w:pPr>
        <w:spacing w:after="0" w:line="240" w:lineRule="auto"/>
      </w:pPr>
      <w:r>
        <w:separator/>
      </w:r>
    </w:p>
  </w:endnote>
  <w:endnote w:type="continuationSeparator" w:id="0">
    <w:p w14:paraId="415C7103" w14:textId="77777777" w:rsidR="00C1002E" w:rsidRDefault="00C1002E"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64D92" w14:textId="77777777" w:rsidR="00BD0A45" w:rsidRDefault="00BD0A45">
    <w:pPr>
      <w:pStyle w:val="Footer"/>
    </w:pPr>
    <w:r>
      <w:rPr>
        <w:noProof/>
      </w:rPr>
      <mc:AlternateContent>
        <mc:Choice Requires="wps">
          <w:drawing>
            <wp:anchor distT="0" distB="0" distL="114300" distR="114300" simplePos="0" relativeHeight="251661312" behindDoc="0" locked="0" layoutInCell="1" allowOverlap="1" wp14:anchorId="2DA64D95" wp14:editId="2DA64D96">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5DACA3"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0A9C0" w14:textId="77777777" w:rsidR="00C1002E" w:rsidRDefault="00C1002E" w:rsidP="00324744">
      <w:pPr>
        <w:spacing w:after="0" w:line="240" w:lineRule="auto"/>
      </w:pPr>
      <w:r>
        <w:separator/>
      </w:r>
    </w:p>
  </w:footnote>
  <w:footnote w:type="continuationSeparator" w:id="0">
    <w:p w14:paraId="1B3DA80E" w14:textId="77777777" w:rsidR="00C1002E" w:rsidRDefault="00C1002E"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64D91" w14:textId="77777777" w:rsidR="00324744" w:rsidRDefault="00324744">
    <w:pPr>
      <w:pStyle w:val="Header"/>
    </w:pPr>
    <w:r>
      <w:rPr>
        <w:noProof/>
      </w:rPr>
      <mc:AlternateContent>
        <mc:Choice Requires="wps">
          <w:drawing>
            <wp:anchor distT="0" distB="0" distL="114300" distR="114300" simplePos="0" relativeHeight="251659264" behindDoc="0" locked="0" layoutInCell="1" allowOverlap="1" wp14:anchorId="2DA64D93" wp14:editId="2DA64D94">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396966"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0660C"/>
    <w:multiLevelType w:val="hybridMultilevel"/>
    <w:tmpl w:val="49A6C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522076"/>
    <w:multiLevelType w:val="hybridMultilevel"/>
    <w:tmpl w:val="297E0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EE69D0"/>
    <w:multiLevelType w:val="hybridMultilevel"/>
    <w:tmpl w:val="D3CA9C66"/>
    <w:lvl w:ilvl="0" w:tplc="08090001">
      <w:start w:val="1"/>
      <w:numFmt w:val="bullet"/>
      <w:lvlText w:val=""/>
      <w:lvlJc w:val="left"/>
      <w:pPr>
        <w:ind w:left="720" w:hanging="360"/>
      </w:pPr>
      <w:rPr>
        <w:rFonts w:ascii="Symbol" w:hAnsi="Symbol" w:hint="default"/>
      </w:rPr>
    </w:lvl>
    <w:lvl w:ilvl="1" w:tplc="A3F8095C">
      <w:numFmt w:val="bullet"/>
      <w:lvlText w:val="•"/>
      <w:lvlJc w:val="left"/>
      <w:pPr>
        <w:ind w:left="1440" w:hanging="36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47617"/>
    <w:rsid w:val="000A1AD1"/>
    <w:rsid w:val="000F3A67"/>
    <w:rsid w:val="00125B61"/>
    <w:rsid w:val="001413AF"/>
    <w:rsid w:val="00144E00"/>
    <w:rsid w:val="00226D34"/>
    <w:rsid w:val="00296F3A"/>
    <w:rsid w:val="00324744"/>
    <w:rsid w:val="00330225"/>
    <w:rsid w:val="00416BDE"/>
    <w:rsid w:val="00426807"/>
    <w:rsid w:val="00482AC6"/>
    <w:rsid w:val="004D18F6"/>
    <w:rsid w:val="004F3362"/>
    <w:rsid w:val="00517F6F"/>
    <w:rsid w:val="0055298E"/>
    <w:rsid w:val="0055416B"/>
    <w:rsid w:val="00565C6A"/>
    <w:rsid w:val="00605DE6"/>
    <w:rsid w:val="006122A0"/>
    <w:rsid w:val="00686D9D"/>
    <w:rsid w:val="006A717F"/>
    <w:rsid w:val="006F0B7A"/>
    <w:rsid w:val="007243D3"/>
    <w:rsid w:val="007A113D"/>
    <w:rsid w:val="007A56DB"/>
    <w:rsid w:val="007D4F26"/>
    <w:rsid w:val="00822806"/>
    <w:rsid w:val="008926B8"/>
    <w:rsid w:val="008B0DDD"/>
    <w:rsid w:val="009A45C0"/>
    <w:rsid w:val="00A561C7"/>
    <w:rsid w:val="00AB5B54"/>
    <w:rsid w:val="00AB63DE"/>
    <w:rsid w:val="00B35A54"/>
    <w:rsid w:val="00B4100E"/>
    <w:rsid w:val="00B6572B"/>
    <w:rsid w:val="00BC572C"/>
    <w:rsid w:val="00BD0A45"/>
    <w:rsid w:val="00C1002E"/>
    <w:rsid w:val="00C2406A"/>
    <w:rsid w:val="00C8241F"/>
    <w:rsid w:val="00D423CB"/>
    <w:rsid w:val="00D66C7E"/>
    <w:rsid w:val="00D86554"/>
    <w:rsid w:val="00E21CFC"/>
    <w:rsid w:val="00E645B3"/>
    <w:rsid w:val="00F27E2D"/>
    <w:rsid w:val="00F6048B"/>
    <w:rsid w:val="00F95876"/>
    <w:rsid w:val="00FB7350"/>
    <w:rsid w:val="00FC6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A64D46"/>
  <w15:docId w15:val="{560EB7D4-D06C-4732-8394-2C7055FC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7A1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A1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45B3"/>
    <w:pPr>
      <w:ind w:left="720"/>
      <w:contextualSpacing/>
    </w:pPr>
  </w:style>
  <w:style w:type="character" w:styleId="CommentReference">
    <w:name w:val="annotation reference"/>
    <w:basedOn w:val="DefaultParagraphFont"/>
    <w:uiPriority w:val="99"/>
    <w:semiHidden/>
    <w:unhideWhenUsed/>
    <w:rsid w:val="00F27E2D"/>
    <w:rPr>
      <w:sz w:val="16"/>
      <w:szCs w:val="16"/>
    </w:rPr>
  </w:style>
  <w:style w:type="paragraph" w:styleId="CommentText">
    <w:name w:val="annotation text"/>
    <w:basedOn w:val="Normal"/>
    <w:link w:val="CommentTextChar"/>
    <w:uiPriority w:val="99"/>
    <w:semiHidden/>
    <w:unhideWhenUsed/>
    <w:rsid w:val="00F27E2D"/>
    <w:pPr>
      <w:spacing w:line="240" w:lineRule="auto"/>
    </w:pPr>
    <w:rPr>
      <w:sz w:val="20"/>
      <w:szCs w:val="20"/>
    </w:rPr>
  </w:style>
  <w:style w:type="character" w:customStyle="1" w:styleId="CommentTextChar">
    <w:name w:val="Comment Text Char"/>
    <w:basedOn w:val="DefaultParagraphFont"/>
    <w:link w:val="CommentText"/>
    <w:uiPriority w:val="99"/>
    <w:semiHidden/>
    <w:rsid w:val="00F27E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27E2D"/>
    <w:rPr>
      <w:b/>
      <w:bCs/>
    </w:rPr>
  </w:style>
  <w:style w:type="character" w:customStyle="1" w:styleId="CommentSubjectChar">
    <w:name w:val="Comment Subject Char"/>
    <w:basedOn w:val="CommentTextChar"/>
    <w:link w:val="CommentSubject"/>
    <w:uiPriority w:val="99"/>
    <w:semiHidden/>
    <w:rsid w:val="00F27E2D"/>
    <w:rPr>
      <w:rFonts w:ascii="Arial" w:hAnsi="Arial"/>
      <w:b/>
      <w:bCs/>
      <w:sz w:val="20"/>
      <w:szCs w:val="20"/>
    </w:rPr>
  </w:style>
  <w:style w:type="character" w:styleId="UnresolvedMention">
    <w:name w:val="Unresolved Mention"/>
    <w:basedOn w:val="DefaultParagraphFont"/>
    <w:uiPriority w:val="99"/>
    <w:unhideWhenUsed/>
    <w:rsid w:val="00F27E2D"/>
    <w:rPr>
      <w:color w:val="605E5C"/>
      <w:shd w:val="clear" w:color="auto" w:fill="E1DFDD"/>
    </w:rPr>
  </w:style>
  <w:style w:type="character" w:styleId="Mention">
    <w:name w:val="Mention"/>
    <w:basedOn w:val="DefaultParagraphFont"/>
    <w:uiPriority w:val="99"/>
    <w:unhideWhenUsed/>
    <w:rsid w:val="00F27E2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x.xoserve.portfoliooffice@xoserve.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4A46900855F54F8B1B4A69CC14CF6B" ma:contentTypeVersion="7" ma:contentTypeDescription="Create a new document." ma:contentTypeScope="" ma:versionID="cb23e439608fa62b7d4e34d18c2a6014">
  <xsd:schema xmlns:xsd="http://www.w3.org/2001/XMLSchema" xmlns:xs="http://www.w3.org/2001/XMLSchema" xmlns:p="http://schemas.microsoft.com/office/2006/metadata/properties" xmlns:ns2="11f1cc19-a6a2-4477-822b-8358f9edc374" xmlns:ns3="103fba77-31dd-4780-83f9-c54f26c3a260" targetNamespace="http://schemas.microsoft.com/office/2006/metadata/properties" ma:root="true" ma:fieldsID="8f8e5271f7d152bbf69cc47d21b266bc" ns2:_="" ns3:_="">
    <xsd:import namespace="11f1cc19-a6a2-4477-822b-8358f9edc374"/>
    <xsd:import namespace="103fba77-31dd-4780-83f9-c54f26c3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1cc19-a6a2-4477-822b-8358f9edc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3fba77-31dd-4780-83f9-c54f26c3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5FD1E4-E801-45E3-8622-5705A3614C6C}">
  <ds:schemaRefs>
    <ds:schemaRef ds:uri="http://schemas.microsoft.com/office/infopath/2007/PartnerControls"/>
    <ds:schemaRef ds:uri="http://purl.org/dc/dcmitype/"/>
    <ds:schemaRef ds:uri="http://schemas.microsoft.com/office/2006/metadata/properties"/>
    <ds:schemaRef ds:uri="103fba77-31dd-4780-83f9-c54f26c3a260"/>
    <ds:schemaRef ds:uri="11f1cc19-a6a2-4477-822b-8358f9edc374"/>
    <ds:schemaRef ds:uri="http://purl.org/dc/elements/1.1/"/>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88A54A15-9AEA-4CEA-9A92-5E953DC8D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1cc19-a6a2-4477-822b-8358f9edc374"/>
    <ds:schemaRef ds:uri="103fba77-31dd-4780-83f9-c54f26c3a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Rachel Taggart</cp:lastModifiedBy>
  <cp:revision>2</cp:revision>
  <dcterms:created xsi:type="dcterms:W3CDTF">2021-08-02T14:29:00Z</dcterms:created>
  <dcterms:modified xsi:type="dcterms:W3CDTF">2021-08-02T14:29:00Z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y fmtid="{D5CDD505-2E9C-101B-9397-08002B2CF9AE}" pid="3" name="Order">
    <vt:r8>553500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