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FA5F4" w14:textId="77777777" w:rsidR="00AB289B" w:rsidRPr="000F5415" w:rsidRDefault="009F103C" w:rsidP="009F103C">
      <w:pPr>
        <w:pStyle w:val="Title"/>
        <w:jc w:val="both"/>
      </w:pPr>
      <w:bookmarkStart w:id="0" w:name="_GoBack"/>
      <w:bookmarkEnd w:id="0"/>
      <w:r>
        <w:t xml:space="preserve">The </w:t>
      </w:r>
      <w:r w:rsidR="00FB61BC" w:rsidRPr="000F5415">
        <w:t xml:space="preserve">Switching Programme: </w:t>
      </w:r>
      <w:r w:rsidR="00226AE4">
        <w:t xml:space="preserve">Re-assignment of Supplier Identity in the event of </w:t>
      </w:r>
      <w:r w:rsidR="00C114BB">
        <w:t>an appointment of a Supplier of Last Resort (</w:t>
      </w:r>
      <w:proofErr w:type="spellStart"/>
      <w:r w:rsidR="00C114BB">
        <w:t>SoLR</w:t>
      </w:r>
      <w:proofErr w:type="spellEnd"/>
      <w:r w:rsidR="00C114BB">
        <w:t>)</w:t>
      </w:r>
      <w:r w:rsidR="00FB61BC" w:rsidRPr="000F5415">
        <w:t>.</w:t>
      </w:r>
    </w:p>
    <w:p w14:paraId="787E2394" w14:textId="77777777" w:rsidR="000B4C62" w:rsidRPr="000F5415" w:rsidRDefault="000B4C62" w:rsidP="009F103C">
      <w:pPr>
        <w:spacing w:line="360" w:lineRule="auto"/>
        <w:jc w:val="both"/>
        <w:rPr>
          <w:rFonts w:asciiTheme="minorHAnsi" w:hAnsiTheme="minorHAnsi" w:cstheme="minorHAnsi"/>
          <w:sz w:val="24"/>
          <w:szCs w:val="24"/>
        </w:rPr>
      </w:pPr>
    </w:p>
    <w:p w14:paraId="1A27EFD6" w14:textId="77777777" w:rsidR="0095785C" w:rsidRDefault="008D2F24" w:rsidP="009F103C">
      <w:pPr>
        <w:pStyle w:val="Heading1"/>
        <w:jc w:val="both"/>
      </w:pPr>
      <w:r w:rsidRPr="000F5415">
        <w:rPr>
          <w:rStyle w:val="SubtleEmphasis"/>
          <w:i w:val="0"/>
          <w:iCs w:val="0"/>
          <w:color w:val="2F5496" w:themeColor="accent1" w:themeShade="BF"/>
        </w:rPr>
        <w:t>Introduction</w:t>
      </w:r>
      <w:r w:rsidRPr="000F5415">
        <w:t xml:space="preserve"> </w:t>
      </w:r>
    </w:p>
    <w:p w14:paraId="09289D04" w14:textId="77777777" w:rsidR="00AE73EB" w:rsidRPr="00AE73EB" w:rsidRDefault="00AE73EB" w:rsidP="009F103C">
      <w:pPr>
        <w:jc w:val="both"/>
      </w:pPr>
    </w:p>
    <w:p w14:paraId="761C65BC" w14:textId="7F9EA998" w:rsidR="00C114BB" w:rsidRDefault="00C114BB" w:rsidP="009F103C">
      <w:pPr>
        <w:spacing w:line="360" w:lineRule="auto"/>
        <w:jc w:val="both"/>
        <w:rPr>
          <w:rFonts w:asciiTheme="minorHAnsi" w:eastAsia="Times New Roman" w:hAnsiTheme="minorHAnsi" w:cstheme="minorHAnsi"/>
          <w:sz w:val="24"/>
          <w:szCs w:val="24"/>
          <w:shd w:val="clear" w:color="auto" w:fill="FFFFFF"/>
        </w:rPr>
      </w:pPr>
      <w:r>
        <w:rPr>
          <w:rFonts w:asciiTheme="minorHAnsi" w:eastAsia="Times New Roman" w:hAnsiTheme="minorHAnsi" w:cstheme="minorHAnsi"/>
          <w:sz w:val="24"/>
          <w:szCs w:val="24"/>
          <w:shd w:val="clear" w:color="auto" w:fill="FFFFFF"/>
        </w:rPr>
        <w:t>In the event of a Supplier failure Ofgem will appoint a Supplier of Last Resort (</w:t>
      </w:r>
      <w:proofErr w:type="spellStart"/>
      <w:r>
        <w:rPr>
          <w:rFonts w:asciiTheme="minorHAnsi" w:eastAsia="Times New Roman" w:hAnsiTheme="minorHAnsi" w:cstheme="minorHAnsi"/>
          <w:sz w:val="24"/>
          <w:szCs w:val="24"/>
          <w:shd w:val="clear" w:color="auto" w:fill="FFFFFF"/>
        </w:rPr>
        <w:t>SoLR</w:t>
      </w:r>
      <w:proofErr w:type="spellEnd"/>
      <w:r>
        <w:rPr>
          <w:rFonts w:asciiTheme="minorHAnsi" w:eastAsia="Times New Roman" w:hAnsiTheme="minorHAnsi" w:cstheme="minorHAnsi"/>
          <w:sz w:val="24"/>
          <w:szCs w:val="24"/>
          <w:shd w:val="clear" w:color="auto" w:fill="FFFFFF"/>
        </w:rPr>
        <w:t>) to ensure continuity of energy supply to end  consumers.</w:t>
      </w:r>
    </w:p>
    <w:p w14:paraId="3A77E1D8" w14:textId="77777777" w:rsidR="00135B34" w:rsidRPr="000D565E" w:rsidRDefault="00C114BB" w:rsidP="009F103C">
      <w:pPr>
        <w:spacing w:line="360" w:lineRule="auto"/>
        <w:jc w:val="both"/>
        <w:rPr>
          <w:rFonts w:asciiTheme="minorHAnsi" w:eastAsia="Times New Roman" w:hAnsiTheme="minorHAnsi" w:cstheme="minorHAnsi"/>
          <w:sz w:val="24"/>
          <w:szCs w:val="24"/>
          <w:shd w:val="clear" w:color="auto" w:fill="FFFFFF"/>
        </w:rPr>
      </w:pPr>
      <w:r>
        <w:rPr>
          <w:rFonts w:asciiTheme="minorHAnsi" w:eastAsia="Times New Roman" w:hAnsiTheme="minorHAnsi" w:cstheme="minorHAnsi"/>
          <w:sz w:val="24"/>
          <w:szCs w:val="24"/>
          <w:shd w:val="clear" w:color="auto" w:fill="FFFFFF"/>
        </w:rPr>
        <w:t xml:space="preserve">The appointment of a </w:t>
      </w:r>
      <w:proofErr w:type="spellStart"/>
      <w:r>
        <w:rPr>
          <w:rFonts w:asciiTheme="minorHAnsi" w:eastAsia="Times New Roman" w:hAnsiTheme="minorHAnsi" w:cstheme="minorHAnsi"/>
          <w:sz w:val="24"/>
          <w:szCs w:val="24"/>
          <w:shd w:val="clear" w:color="auto" w:fill="FFFFFF"/>
        </w:rPr>
        <w:t>SoLR</w:t>
      </w:r>
      <w:proofErr w:type="spellEnd"/>
      <w:r>
        <w:rPr>
          <w:rFonts w:asciiTheme="minorHAnsi" w:eastAsia="Times New Roman" w:hAnsiTheme="minorHAnsi" w:cstheme="minorHAnsi"/>
          <w:sz w:val="24"/>
          <w:szCs w:val="24"/>
          <w:shd w:val="clear" w:color="auto" w:fill="FFFFFF"/>
        </w:rPr>
        <w:t xml:space="preserve"> happens relatively </w:t>
      </w:r>
      <w:r w:rsidRPr="000D565E">
        <w:rPr>
          <w:rFonts w:asciiTheme="minorHAnsi" w:eastAsia="Times New Roman" w:hAnsiTheme="minorHAnsi" w:cstheme="minorHAnsi"/>
          <w:sz w:val="24"/>
          <w:szCs w:val="24"/>
          <w:shd w:val="clear" w:color="auto" w:fill="FFFFFF"/>
        </w:rPr>
        <w:t>infrequently – typically less than [ten times] in any year – but when such an event happens it can result in many thousands of end consumers having an alternative Supplier appointed for them</w:t>
      </w:r>
      <w:r w:rsidR="00872ABC" w:rsidRPr="000D565E">
        <w:rPr>
          <w:rFonts w:asciiTheme="minorHAnsi" w:eastAsia="Times New Roman" w:hAnsiTheme="minorHAnsi" w:cstheme="minorHAnsi"/>
          <w:sz w:val="24"/>
          <w:szCs w:val="24"/>
          <w:shd w:val="clear" w:color="auto" w:fill="FFFFFF"/>
        </w:rPr>
        <w:t xml:space="preserve"> by Ofgem</w:t>
      </w:r>
      <w:r w:rsidRPr="000D565E">
        <w:rPr>
          <w:rFonts w:asciiTheme="minorHAnsi" w:eastAsia="Times New Roman" w:hAnsiTheme="minorHAnsi" w:cstheme="minorHAnsi"/>
          <w:sz w:val="24"/>
          <w:szCs w:val="24"/>
          <w:shd w:val="clear" w:color="auto" w:fill="FFFFFF"/>
        </w:rPr>
        <w:t xml:space="preserve">.  With the prevalence of dual fuel consumers, particularly in the domestic sector, this could present material volumes of gas and electricity switches being required to go through the Central Switching Service </w:t>
      </w:r>
      <w:r w:rsidR="001F2E01" w:rsidRPr="000D565E">
        <w:rPr>
          <w:rFonts w:asciiTheme="minorHAnsi" w:eastAsia="Times New Roman" w:hAnsiTheme="minorHAnsi" w:cstheme="minorHAnsi"/>
          <w:sz w:val="24"/>
          <w:szCs w:val="24"/>
          <w:shd w:val="clear" w:color="auto" w:fill="FFFFFF"/>
        </w:rPr>
        <w:t xml:space="preserve">(CSS) </w:t>
      </w:r>
      <w:r w:rsidRPr="000D565E">
        <w:rPr>
          <w:rFonts w:asciiTheme="minorHAnsi" w:eastAsia="Times New Roman" w:hAnsiTheme="minorHAnsi" w:cstheme="minorHAnsi"/>
          <w:sz w:val="24"/>
          <w:szCs w:val="24"/>
          <w:shd w:val="clear" w:color="auto" w:fill="FFFFFF"/>
        </w:rPr>
        <w:t xml:space="preserve">if these were completed as </w:t>
      </w:r>
      <w:r w:rsidR="006A00F5" w:rsidRPr="000D565E">
        <w:rPr>
          <w:rFonts w:asciiTheme="minorHAnsi" w:eastAsia="Times New Roman" w:hAnsiTheme="minorHAnsi" w:cstheme="minorHAnsi"/>
          <w:sz w:val="24"/>
          <w:szCs w:val="24"/>
          <w:shd w:val="clear" w:color="auto" w:fill="FFFFFF"/>
        </w:rPr>
        <w:t>R</w:t>
      </w:r>
      <w:r w:rsidRPr="000D565E">
        <w:rPr>
          <w:rFonts w:asciiTheme="minorHAnsi" w:eastAsia="Times New Roman" w:hAnsiTheme="minorHAnsi" w:cstheme="minorHAnsi"/>
          <w:sz w:val="24"/>
          <w:szCs w:val="24"/>
          <w:shd w:val="clear" w:color="auto" w:fill="FFFFFF"/>
        </w:rPr>
        <w:t xml:space="preserve">egistration transactions.  </w:t>
      </w:r>
    </w:p>
    <w:p w14:paraId="242001BF" w14:textId="04DD386A" w:rsidR="00C114BB" w:rsidRPr="000D565E" w:rsidRDefault="00C114BB" w:rsidP="009F103C">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 xml:space="preserve">Design Baseline 4 (DB4) </w:t>
      </w:r>
      <w:r w:rsidR="00872ABC" w:rsidRPr="000D565E">
        <w:rPr>
          <w:rFonts w:asciiTheme="minorHAnsi" w:eastAsia="Times New Roman" w:hAnsiTheme="minorHAnsi" w:cstheme="minorHAnsi"/>
          <w:sz w:val="24"/>
          <w:szCs w:val="24"/>
          <w:shd w:val="clear" w:color="auto" w:fill="FFFFFF"/>
        </w:rPr>
        <w:t xml:space="preserve">anticipated that </w:t>
      </w:r>
      <w:proofErr w:type="spellStart"/>
      <w:r w:rsidR="001F2E01" w:rsidRPr="000D565E">
        <w:rPr>
          <w:rFonts w:asciiTheme="minorHAnsi" w:eastAsia="Times New Roman" w:hAnsiTheme="minorHAnsi" w:cstheme="minorHAnsi"/>
          <w:sz w:val="24"/>
          <w:szCs w:val="24"/>
          <w:shd w:val="clear" w:color="auto" w:fill="FFFFFF"/>
        </w:rPr>
        <w:t>SoLR</w:t>
      </w:r>
      <w:proofErr w:type="spellEnd"/>
      <w:r w:rsidR="00872ABC" w:rsidRPr="000D565E">
        <w:rPr>
          <w:rFonts w:asciiTheme="minorHAnsi" w:eastAsia="Times New Roman" w:hAnsiTheme="minorHAnsi" w:cstheme="minorHAnsi"/>
          <w:sz w:val="24"/>
          <w:szCs w:val="24"/>
          <w:shd w:val="clear" w:color="auto" w:fill="FFFFFF"/>
        </w:rPr>
        <w:t xml:space="preserve"> appointment </w:t>
      </w:r>
      <w:r w:rsidR="00A73FC7" w:rsidRPr="000D565E">
        <w:rPr>
          <w:rFonts w:asciiTheme="minorHAnsi" w:eastAsia="Times New Roman" w:hAnsiTheme="minorHAnsi" w:cstheme="minorHAnsi"/>
          <w:i/>
          <w:sz w:val="24"/>
          <w:szCs w:val="24"/>
          <w:shd w:val="clear" w:color="auto" w:fill="FFFFFF"/>
        </w:rPr>
        <w:t>would</w:t>
      </w:r>
      <w:r w:rsidR="001F2E01" w:rsidRPr="000D565E">
        <w:rPr>
          <w:rFonts w:asciiTheme="minorHAnsi" w:eastAsia="Times New Roman" w:hAnsiTheme="minorHAnsi" w:cstheme="minorHAnsi"/>
          <w:sz w:val="24"/>
          <w:szCs w:val="24"/>
          <w:shd w:val="clear" w:color="auto" w:fill="FFFFFF"/>
        </w:rPr>
        <w:t xml:space="preserve"> be enacted by re-assigning the failed Supplier identity to the appointed Supplier in the </w:t>
      </w:r>
      <w:proofErr w:type="spellStart"/>
      <w:r w:rsidR="001F2E01" w:rsidRPr="000D565E">
        <w:rPr>
          <w:rFonts w:asciiTheme="minorHAnsi" w:eastAsia="Times New Roman" w:hAnsiTheme="minorHAnsi" w:cstheme="minorHAnsi"/>
          <w:sz w:val="24"/>
          <w:szCs w:val="24"/>
          <w:shd w:val="clear" w:color="auto" w:fill="FFFFFF"/>
        </w:rPr>
        <w:t>SoLR</w:t>
      </w:r>
      <w:proofErr w:type="spellEnd"/>
      <w:r w:rsidR="001F2E01" w:rsidRPr="000D565E">
        <w:rPr>
          <w:rFonts w:asciiTheme="minorHAnsi" w:eastAsia="Times New Roman" w:hAnsiTheme="minorHAnsi" w:cstheme="minorHAnsi"/>
          <w:sz w:val="24"/>
          <w:szCs w:val="24"/>
          <w:shd w:val="clear" w:color="auto" w:fill="FFFFFF"/>
        </w:rPr>
        <w:t xml:space="preserve"> process</w:t>
      </w:r>
      <w:r w:rsidR="00544857" w:rsidRPr="000D565E">
        <w:rPr>
          <w:rFonts w:asciiTheme="minorHAnsi" w:eastAsia="Times New Roman" w:hAnsiTheme="minorHAnsi" w:cstheme="minorHAnsi"/>
          <w:sz w:val="24"/>
          <w:szCs w:val="24"/>
          <w:shd w:val="clear" w:color="auto" w:fill="FFFFFF"/>
        </w:rPr>
        <w:t xml:space="preserve">, </w:t>
      </w:r>
      <w:r w:rsidR="007436AD" w:rsidRPr="000D565E">
        <w:rPr>
          <w:rFonts w:asciiTheme="minorHAnsi" w:eastAsia="Times New Roman" w:hAnsiTheme="minorHAnsi" w:cstheme="minorHAnsi"/>
          <w:sz w:val="24"/>
          <w:szCs w:val="24"/>
          <w:shd w:val="clear" w:color="auto" w:fill="FFFFFF"/>
        </w:rPr>
        <w:t xml:space="preserve">and that </w:t>
      </w:r>
      <w:r w:rsidR="00544857" w:rsidRPr="000D565E">
        <w:rPr>
          <w:rFonts w:asciiTheme="minorHAnsi" w:eastAsia="Times New Roman" w:hAnsiTheme="minorHAnsi" w:cstheme="minorHAnsi"/>
          <w:sz w:val="24"/>
          <w:szCs w:val="24"/>
          <w:shd w:val="clear" w:color="auto" w:fill="FFFFFF"/>
        </w:rPr>
        <w:t>the Supplier may then subsequently cho</w:t>
      </w:r>
      <w:r w:rsidR="007436AD" w:rsidRPr="000D565E">
        <w:rPr>
          <w:rFonts w:asciiTheme="minorHAnsi" w:eastAsia="Times New Roman" w:hAnsiTheme="minorHAnsi" w:cstheme="minorHAnsi"/>
          <w:sz w:val="24"/>
          <w:szCs w:val="24"/>
          <w:shd w:val="clear" w:color="auto" w:fill="FFFFFF"/>
        </w:rPr>
        <w:t>ose to submit registration transactions to move to a preferred MP Id</w:t>
      </w:r>
      <w:r w:rsidR="001F2E01" w:rsidRPr="000D565E">
        <w:rPr>
          <w:rFonts w:asciiTheme="minorHAnsi" w:eastAsia="Times New Roman" w:hAnsiTheme="minorHAnsi" w:cstheme="minorHAnsi"/>
          <w:sz w:val="24"/>
          <w:szCs w:val="24"/>
          <w:shd w:val="clear" w:color="auto" w:fill="FFFFFF"/>
        </w:rPr>
        <w:t xml:space="preserve">.  This design principle was then used to develop and baseline the </w:t>
      </w:r>
      <w:proofErr w:type="gramStart"/>
      <w:r w:rsidR="001F2E01" w:rsidRPr="000D565E">
        <w:rPr>
          <w:rFonts w:asciiTheme="minorHAnsi" w:eastAsia="Times New Roman" w:hAnsiTheme="minorHAnsi" w:cstheme="minorHAnsi"/>
          <w:sz w:val="24"/>
          <w:szCs w:val="24"/>
          <w:shd w:val="clear" w:color="auto" w:fill="FFFFFF"/>
        </w:rPr>
        <w:t>Non Functional</w:t>
      </w:r>
      <w:proofErr w:type="gramEnd"/>
      <w:r w:rsidR="001F2E01" w:rsidRPr="000D565E">
        <w:rPr>
          <w:rFonts w:asciiTheme="minorHAnsi" w:eastAsia="Times New Roman" w:hAnsiTheme="minorHAnsi" w:cstheme="minorHAnsi"/>
          <w:sz w:val="24"/>
          <w:szCs w:val="24"/>
          <w:shd w:val="clear" w:color="auto" w:fill="FFFFFF"/>
        </w:rPr>
        <w:t xml:space="preserve"> Requirements for the CSS and for other industry participants that would need to interact with the CSS system.</w:t>
      </w:r>
    </w:p>
    <w:p w14:paraId="42C9F51E" w14:textId="6F5FDDDA" w:rsidR="00A73FC7" w:rsidRPr="000D565E" w:rsidRDefault="001F2E01" w:rsidP="009F103C">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 xml:space="preserve">The gas sector typically does not allow </w:t>
      </w:r>
      <w:r w:rsidR="006F2EB7" w:rsidRPr="000D565E">
        <w:rPr>
          <w:rFonts w:asciiTheme="minorHAnsi" w:eastAsia="Times New Roman" w:hAnsiTheme="minorHAnsi" w:cstheme="minorHAnsi"/>
          <w:sz w:val="24"/>
          <w:szCs w:val="24"/>
          <w:shd w:val="clear" w:color="auto" w:fill="FFFFFF"/>
        </w:rPr>
        <w:t>reassignment of a Market Participant Identity (MP Id) to another organisation other</w:t>
      </w:r>
      <w:r w:rsidR="00876AD2" w:rsidRPr="000D565E">
        <w:rPr>
          <w:rFonts w:asciiTheme="minorHAnsi" w:eastAsia="Times New Roman" w:hAnsiTheme="minorHAnsi" w:cstheme="minorHAnsi"/>
          <w:sz w:val="24"/>
          <w:szCs w:val="24"/>
          <w:shd w:val="clear" w:color="auto" w:fill="FFFFFF"/>
        </w:rPr>
        <w:t xml:space="preserve"> than</w:t>
      </w:r>
      <w:r w:rsidR="006F2EB7" w:rsidRPr="000D565E">
        <w:rPr>
          <w:rFonts w:asciiTheme="minorHAnsi" w:eastAsia="Times New Roman" w:hAnsiTheme="minorHAnsi" w:cstheme="minorHAnsi"/>
          <w:sz w:val="24"/>
          <w:szCs w:val="24"/>
          <w:shd w:val="clear" w:color="auto" w:fill="FFFFFF"/>
        </w:rPr>
        <w:t xml:space="preserve"> in the event of a novation</w:t>
      </w:r>
      <w:r w:rsidR="006A00F5" w:rsidRPr="000D565E">
        <w:rPr>
          <w:rFonts w:asciiTheme="minorHAnsi" w:eastAsia="Times New Roman" w:hAnsiTheme="minorHAnsi" w:cstheme="minorHAnsi"/>
          <w:sz w:val="24"/>
          <w:szCs w:val="24"/>
          <w:shd w:val="clear" w:color="auto" w:fill="FFFFFF"/>
        </w:rPr>
        <w:t xml:space="preserve"> [or trade sale]</w:t>
      </w:r>
      <w:r w:rsidR="006F2EB7" w:rsidRPr="000D565E">
        <w:rPr>
          <w:rFonts w:asciiTheme="minorHAnsi" w:eastAsia="Times New Roman" w:hAnsiTheme="minorHAnsi" w:cstheme="minorHAnsi"/>
          <w:sz w:val="24"/>
          <w:szCs w:val="24"/>
          <w:shd w:val="clear" w:color="auto" w:fill="FFFFFF"/>
        </w:rPr>
        <w:t xml:space="preserve">, and therefore industry participants are currently able to rely on notifications from Central </w:t>
      </w:r>
      <w:r w:rsidR="00A24DCA" w:rsidRPr="000D565E">
        <w:rPr>
          <w:rFonts w:asciiTheme="minorHAnsi" w:eastAsia="Times New Roman" w:hAnsiTheme="minorHAnsi" w:cstheme="minorHAnsi"/>
          <w:sz w:val="24"/>
          <w:szCs w:val="24"/>
          <w:shd w:val="clear" w:color="auto" w:fill="FFFFFF"/>
        </w:rPr>
        <w:t xml:space="preserve">Gas </w:t>
      </w:r>
      <w:r w:rsidR="006F2EB7" w:rsidRPr="000D565E">
        <w:rPr>
          <w:rFonts w:asciiTheme="minorHAnsi" w:eastAsia="Times New Roman" w:hAnsiTheme="minorHAnsi" w:cstheme="minorHAnsi"/>
          <w:sz w:val="24"/>
          <w:szCs w:val="24"/>
          <w:shd w:val="clear" w:color="auto" w:fill="FFFFFF"/>
        </w:rPr>
        <w:t>Systems</w:t>
      </w:r>
      <w:r w:rsidR="00334D77" w:rsidRPr="000D565E">
        <w:rPr>
          <w:rFonts w:asciiTheme="minorHAnsi" w:eastAsia="Times New Roman" w:hAnsiTheme="minorHAnsi" w:cstheme="minorHAnsi"/>
          <w:sz w:val="24"/>
          <w:szCs w:val="24"/>
          <w:shd w:val="clear" w:color="auto" w:fill="FFFFFF"/>
        </w:rPr>
        <w:t xml:space="preserve"> such as UK Link operated by the</w:t>
      </w:r>
      <w:r w:rsidR="002F6C31" w:rsidRPr="000D565E">
        <w:rPr>
          <w:rFonts w:asciiTheme="minorHAnsi" w:eastAsia="Times New Roman" w:hAnsiTheme="minorHAnsi" w:cstheme="minorHAnsi"/>
          <w:sz w:val="24"/>
          <w:szCs w:val="24"/>
          <w:shd w:val="clear" w:color="auto" w:fill="FFFFFF"/>
        </w:rPr>
        <w:t xml:space="preserve"> Central Data Service Provider</w:t>
      </w:r>
      <w:r w:rsidR="00334D77" w:rsidRPr="000D565E">
        <w:rPr>
          <w:rFonts w:asciiTheme="minorHAnsi" w:eastAsia="Times New Roman" w:hAnsiTheme="minorHAnsi" w:cstheme="minorHAnsi"/>
          <w:sz w:val="24"/>
          <w:szCs w:val="24"/>
          <w:shd w:val="clear" w:color="auto" w:fill="FFFFFF"/>
        </w:rPr>
        <w:t xml:space="preserve"> </w:t>
      </w:r>
      <w:r w:rsidR="002F6C31" w:rsidRPr="000D565E">
        <w:rPr>
          <w:rFonts w:asciiTheme="minorHAnsi" w:eastAsia="Times New Roman" w:hAnsiTheme="minorHAnsi" w:cstheme="minorHAnsi"/>
          <w:sz w:val="24"/>
          <w:szCs w:val="24"/>
          <w:shd w:val="clear" w:color="auto" w:fill="FFFFFF"/>
        </w:rPr>
        <w:t>(</w:t>
      </w:r>
      <w:r w:rsidR="00334D77" w:rsidRPr="000D565E">
        <w:rPr>
          <w:rFonts w:asciiTheme="minorHAnsi" w:eastAsia="Times New Roman" w:hAnsiTheme="minorHAnsi" w:cstheme="minorHAnsi"/>
          <w:sz w:val="24"/>
          <w:szCs w:val="24"/>
          <w:shd w:val="clear" w:color="auto" w:fill="FFFFFF"/>
        </w:rPr>
        <w:t>CDSP</w:t>
      </w:r>
      <w:r w:rsidR="002F6C31" w:rsidRPr="000D565E">
        <w:rPr>
          <w:rFonts w:asciiTheme="minorHAnsi" w:eastAsia="Times New Roman" w:hAnsiTheme="minorHAnsi" w:cstheme="minorHAnsi"/>
          <w:sz w:val="24"/>
          <w:szCs w:val="24"/>
          <w:shd w:val="clear" w:color="auto" w:fill="FFFFFF"/>
        </w:rPr>
        <w:t>)</w:t>
      </w:r>
      <w:r w:rsidR="00334D77" w:rsidRPr="000D565E">
        <w:rPr>
          <w:rFonts w:asciiTheme="minorHAnsi" w:eastAsia="Times New Roman" w:hAnsiTheme="minorHAnsi" w:cstheme="minorHAnsi"/>
          <w:sz w:val="24"/>
          <w:szCs w:val="24"/>
          <w:shd w:val="clear" w:color="auto" w:fill="FFFFFF"/>
        </w:rPr>
        <w:t xml:space="preserve"> </w:t>
      </w:r>
      <w:r w:rsidR="006A00F5" w:rsidRPr="000D565E">
        <w:rPr>
          <w:rFonts w:asciiTheme="minorHAnsi" w:eastAsia="Times New Roman" w:hAnsiTheme="minorHAnsi" w:cstheme="minorHAnsi"/>
          <w:sz w:val="24"/>
          <w:szCs w:val="24"/>
          <w:shd w:val="clear" w:color="auto" w:fill="FFFFFF"/>
        </w:rPr>
        <w:t xml:space="preserve"> as a consequence of Registration</w:t>
      </w:r>
      <w:r w:rsidR="00EB4A03" w:rsidRPr="000D565E">
        <w:rPr>
          <w:rFonts w:asciiTheme="minorHAnsi" w:eastAsia="Times New Roman" w:hAnsiTheme="minorHAnsi" w:cstheme="minorHAnsi"/>
          <w:sz w:val="24"/>
          <w:szCs w:val="24"/>
          <w:shd w:val="clear" w:color="auto" w:fill="FFFFFF"/>
        </w:rPr>
        <w:t>s</w:t>
      </w:r>
      <w:r w:rsidR="006F2EB7" w:rsidRPr="000D565E">
        <w:rPr>
          <w:rFonts w:asciiTheme="minorHAnsi" w:eastAsia="Times New Roman" w:hAnsiTheme="minorHAnsi" w:cstheme="minorHAnsi"/>
          <w:sz w:val="24"/>
          <w:szCs w:val="24"/>
          <w:shd w:val="clear" w:color="auto" w:fill="FFFFFF"/>
        </w:rPr>
        <w:t xml:space="preserve"> to update their own systems without individual action.</w:t>
      </w:r>
      <w:r w:rsidR="00B81A69" w:rsidRPr="000D565E">
        <w:rPr>
          <w:rFonts w:asciiTheme="minorHAnsi" w:eastAsia="Times New Roman" w:hAnsiTheme="minorHAnsi" w:cstheme="minorHAnsi"/>
          <w:sz w:val="24"/>
          <w:szCs w:val="24"/>
          <w:shd w:val="clear" w:color="auto" w:fill="FFFFFF"/>
        </w:rPr>
        <w:t xml:space="preserve">  This approach is defined in the </w:t>
      </w:r>
      <w:r w:rsidR="00334D77" w:rsidRPr="000D565E">
        <w:rPr>
          <w:rFonts w:asciiTheme="minorHAnsi" w:eastAsia="Times New Roman" w:hAnsiTheme="minorHAnsi" w:cstheme="minorHAnsi"/>
          <w:sz w:val="24"/>
          <w:szCs w:val="24"/>
          <w:shd w:val="clear" w:color="auto" w:fill="FFFFFF"/>
        </w:rPr>
        <w:t>Data Services Contract (</w:t>
      </w:r>
      <w:r w:rsidR="00B81A69" w:rsidRPr="000D565E">
        <w:rPr>
          <w:rFonts w:asciiTheme="minorHAnsi" w:eastAsia="Times New Roman" w:hAnsiTheme="minorHAnsi" w:cstheme="minorHAnsi"/>
          <w:sz w:val="24"/>
          <w:szCs w:val="24"/>
          <w:shd w:val="clear" w:color="auto" w:fill="FFFFFF"/>
        </w:rPr>
        <w:t>DS</w:t>
      </w:r>
      <w:r w:rsidR="00BD2195" w:rsidRPr="000D565E">
        <w:rPr>
          <w:rFonts w:asciiTheme="minorHAnsi" w:eastAsia="Times New Roman" w:hAnsiTheme="minorHAnsi" w:cstheme="minorHAnsi"/>
          <w:sz w:val="24"/>
          <w:szCs w:val="24"/>
          <w:shd w:val="clear" w:color="auto" w:fill="FFFFFF"/>
        </w:rPr>
        <w:t>C</w:t>
      </w:r>
      <w:r w:rsidR="00334D77" w:rsidRPr="000D565E">
        <w:rPr>
          <w:rFonts w:asciiTheme="minorHAnsi" w:eastAsia="Times New Roman" w:hAnsiTheme="minorHAnsi" w:cstheme="minorHAnsi"/>
          <w:sz w:val="24"/>
          <w:szCs w:val="24"/>
          <w:shd w:val="clear" w:color="auto" w:fill="FFFFFF"/>
        </w:rPr>
        <w:t>)</w:t>
      </w:r>
      <w:r w:rsidR="00BD2195" w:rsidRPr="000D565E">
        <w:rPr>
          <w:rFonts w:asciiTheme="minorHAnsi" w:eastAsia="Times New Roman" w:hAnsiTheme="minorHAnsi" w:cstheme="minorHAnsi"/>
          <w:sz w:val="24"/>
          <w:szCs w:val="24"/>
          <w:shd w:val="clear" w:color="auto" w:fill="FFFFFF"/>
        </w:rPr>
        <w:t xml:space="preserve"> document [‘Verification of Market Participant Identity’] which governs the process for assigning the gas Market Participant Identity.</w:t>
      </w:r>
      <w:r w:rsidR="00A73FC7" w:rsidRPr="000D565E">
        <w:rPr>
          <w:rFonts w:asciiTheme="minorHAnsi" w:eastAsia="Times New Roman" w:hAnsiTheme="minorHAnsi" w:cstheme="minorHAnsi"/>
          <w:sz w:val="24"/>
          <w:szCs w:val="24"/>
          <w:shd w:val="clear" w:color="auto" w:fill="FFFFFF"/>
        </w:rPr>
        <w:t xml:space="preserve">  </w:t>
      </w:r>
      <w:r w:rsidR="00A3116D" w:rsidRPr="000D565E">
        <w:rPr>
          <w:rFonts w:asciiTheme="minorHAnsi" w:eastAsia="Times New Roman" w:hAnsiTheme="minorHAnsi" w:cstheme="minorHAnsi"/>
          <w:sz w:val="24"/>
          <w:szCs w:val="24"/>
          <w:shd w:val="clear" w:color="auto" w:fill="FFFFFF"/>
        </w:rPr>
        <w:t xml:space="preserve"> Outside of novation and trade sales, r</w:t>
      </w:r>
      <w:r w:rsidR="00A73FC7" w:rsidRPr="000D565E">
        <w:rPr>
          <w:rFonts w:asciiTheme="minorHAnsi" w:eastAsia="Times New Roman" w:hAnsiTheme="minorHAnsi" w:cstheme="minorHAnsi"/>
          <w:sz w:val="24"/>
          <w:szCs w:val="24"/>
          <w:shd w:val="clear" w:color="auto" w:fill="FFFFFF"/>
        </w:rPr>
        <w:t xml:space="preserve">e-assignment </w:t>
      </w:r>
      <w:r w:rsidR="00A3116D" w:rsidRPr="000D565E">
        <w:rPr>
          <w:rFonts w:asciiTheme="minorHAnsi" w:eastAsia="Times New Roman" w:hAnsiTheme="minorHAnsi" w:cstheme="minorHAnsi"/>
          <w:sz w:val="24"/>
          <w:szCs w:val="24"/>
          <w:shd w:val="clear" w:color="auto" w:fill="FFFFFF"/>
        </w:rPr>
        <w:t xml:space="preserve">is not </w:t>
      </w:r>
      <w:r w:rsidR="00A73FC7" w:rsidRPr="000D565E">
        <w:rPr>
          <w:rFonts w:asciiTheme="minorHAnsi" w:eastAsia="Times New Roman" w:hAnsiTheme="minorHAnsi" w:cstheme="minorHAnsi"/>
          <w:sz w:val="24"/>
          <w:szCs w:val="24"/>
          <w:shd w:val="clear" w:color="auto" w:fill="FFFFFF"/>
        </w:rPr>
        <w:t>utilised in UK Link systems</w:t>
      </w:r>
      <w:r w:rsidR="00296C10" w:rsidRPr="000D565E">
        <w:rPr>
          <w:rFonts w:asciiTheme="minorHAnsi" w:eastAsia="Times New Roman" w:hAnsiTheme="minorHAnsi" w:cstheme="minorHAnsi"/>
          <w:sz w:val="24"/>
          <w:szCs w:val="24"/>
          <w:shd w:val="clear" w:color="auto" w:fill="FFFFFF"/>
        </w:rPr>
        <w:t>,</w:t>
      </w:r>
      <w:r w:rsidR="00A73FC7" w:rsidRPr="000D565E">
        <w:rPr>
          <w:rFonts w:asciiTheme="minorHAnsi" w:eastAsia="Times New Roman" w:hAnsiTheme="minorHAnsi" w:cstheme="minorHAnsi"/>
          <w:sz w:val="24"/>
          <w:szCs w:val="24"/>
          <w:shd w:val="clear" w:color="auto" w:fill="FFFFFF"/>
        </w:rPr>
        <w:t xml:space="preserve"> </w:t>
      </w:r>
      <w:r w:rsidR="00544857" w:rsidRPr="000D565E">
        <w:rPr>
          <w:rFonts w:asciiTheme="minorHAnsi" w:eastAsia="Times New Roman" w:hAnsiTheme="minorHAnsi" w:cstheme="minorHAnsi"/>
          <w:sz w:val="24"/>
          <w:szCs w:val="24"/>
          <w:shd w:val="clear" w:color="auto" w:fill="FFFFFF"/>
        </w:rPr>
        <w:lastRenderedPageBreak/>
        <w:t xml:space="preserve">therefore </w:t>
      </w:r>
      <w:r w:rsidR="00A73FC7" w:rsidRPr="000D565E">
        <w:rPr>
          <w:rFonts w:asciiTheme="minorHAnsi" w:eastAsia="Times New Roman" w:hAnsiTheme="minorHAnsi" w:cstheme="minorHAnsi"/>
          <w:sz w:val="24"/>
          <w:szCs w:val="24"/>
          <w:shd w:val="clear" w:color="auto" w:fill="FFFFFF"/>
        </w:rPr>
        <w:t>fundamenta</w:t>
      </w:r>
      <w:r w:rsidR="00544857" w:rsidRPr="000D565E">
        <w:rPr>
          <w:rFonts w:asciiTheme="minorHAnsi" w:eastAsia="Times New Roman" w:hAnsiTheme="minorHAnsi" w:cstheme="minorHAnsi"/>
          <w:sz w:val="24"/>
          <w:szCs w:val="24"/>
          <w:shd w:val="clear" w:color="auto" w:fill="FFFFFF"/>
        </w:rPr>
        <w:t>l</w:t>
      </w:r>
      <w:r w:rsidR="004A09D5" w:rsidRPr="000D565E">
        <w:rPr>
          <w:rFonts w:asciiTheme="minorHAnsi" w:eastAsia="Times New Roman" w:hAnsiTheme="minorHAnsi" w:cstheme="minorHAnsi"/>
          <w:sz w:val="24"/>
          <w:szCs w:val="24"/>
          <w:shd w:val="clear" w:color="auto" w:fill="FFFFFF"/>
        </w:rPr>
        <w:t xml:space="preserve"> </w:t>
      </w:r>
      <w:r w:rsidR="00A73FC7" w:rsidRPr="000D565E">
        <w:rPr>
          <w:rFonts w:asciiTheme="minorHAnsi" w:eastAsia="Times New Roman" w:hAnsiTheme="minorHAnsi" w:cstheme="minorHAnsi"/>
          <w:sz w:val="24"/>
          <w:szCs w:val="24"/>
          <w:shd w:val="clear" w:color="auto" w:fill="FFFFFF"/>
        </w:rPr>
        <w:t>changes are required to UK Link systems</w:t>
      </w:r>
      <w:r w:rsidR="00A3116D" w:rsidRPr="000D565E">
        <w:rPr>
          <w:rFonts w:asciiTheme="minorHAnsi" w:eastAsia="Times New Roman" w:hAnsiTheme="minorHAnsi" w:cstheme="minorHAnsi"/>
          <w:sz w:val="24"/>
          <w:szCs w:val="24"/>
          <w:shd w:val="clear" w:color="auto" w:fill="FFFFFF"/>
        </w:rPr>
        <w:t xml:space="preserve"> to prevent the inappropriate disclosure of information to parties</w:t>
      </w:r>
      <w:r w:rsidR="00A73FC7" w:rsidRPr="000D565E">
        <w:rPr>
          <w:rFonts w:asciiTheme="minorHAnsi" w:eastAsia="Times New Roman" w:hAnsiTheme="minorHAnsi" w:cstheme="minorHAnsi"/>
          <w:sz w:val="24"/>
          <w:szCs w:val="24"/>
          <w:shd w:val="clear" w:color="auto" w:fill="FFFFFF"/>
        </w:rPr>
        <w:t xml:space="preserve">.  </w:t>
      </w:r>
      <w:r w:rsidR="004A09D5" w:rsidRPr="000D565E">
        <w:rPr>
          <w:rFonts w:asciiTheme="minorHAnsi" w:eastAsia="Times New Roman" w:hAnsiTheme="minorHAnsi" w:cstheme="minorHAnsi"/>
          <w:sz w:val="24"/>
          <w:szCs w:val="24"/>
          <w:shd w:val="clear" w:color="auto" w:fill="FFFFFF"/>
        </w:rPr>
        <w:t>C</w:t>
      </w:r>
      <w:r w:rsidR="00A73FC7" w:rsidRPr="000D565E">
        <w:rPr>
          <w:rFonts w:asciiTheme="minorHAnsi" w:eastAsia="Times New Roman" w:hAnsiTheme="minorHAnsi" w:cstheme="minorHAnsi"/>
          <w:sz w:val="24"/>
          <w:szCs w:val="24"/>
          <w:shd w:val="clear" w:color="auto" w:fill="FFFFFF"/>
        </w:rPr>
        <w:t xml:space="preserve">hanges </w:t>
      </w:r>
      <w:r w:rsidR="004A09D5" w:rsidRPr="000D565E">
        <w:rPr>
          <w:rFonts w:asciiTheme="minorHAnsi" w:eastAsia="Times New Roman" w:hAnsiTheme="minorHAnsi" w:cstheme="minorHAnsi"/>
          <w:sz w:val="24"/>
          <w:szCs w:val="24"/>
          <w:shd w:val="clear" w:color="auto" w:fill="FFFFFF"/>
        </w:rPr>
        <w:t xml:space="preserve">within UK Link systems would be required </w:t>
      </w:r>
      <w:r w:rsidR="00544857" w:rsidRPr="000D565E">
        <w:rPr>
          <w:rFonts w:asciiTheme="minorHAnsi" w:eastAsia="Times New Roman" w:hAnsiTheme="minorHAnsi" w:cstheme="minorHAnsi"/>
          <w:sz w:val="24"/>
          <w:szCs w:val="24"/>
          <w:shd w:val="clear" w:color="auto" w:fill="FFFFFF"/>
        </w:rPr>
        <w:t>in order to enable re-assignment of the MP Id and ensure t</w:t>
      </w:r>
      <w:r w:rsidR="00A73FC7" w:rsidRPr="000D565E">
        <w:rPr>
          <w:rFonts w:asciiTheme="minorHAnsi" w:eastAsia="Times New Roman" w:hAnsiTheme="minorHAnsi" w:cstheme="minorHAnsi"/>
          <w:sz w:val="24"/>
          <w:szCs w:val="24"/>
          <w:shd w:val="clear" w:color="auto" w:fill="FFFFFF"/>
        </w:rPr>
        <w:t>hat systems and processes will recognise effective dates when a given MP Id is assigned to a</w:t>
      </w:r>
      <w:r w:rsidR="00A3116D" w:rsidRPr="000D565E">
        <w:rPr>
          <w:rFonts w:asciiTheme="minorHAnsi" w:eastAsia="Times New Roman" w:hAnsiTheme="minorHAnsi" w:cstheme="minorHAnsi"/>
          <w:sz w:val="24"/>
          <w:szCs w:val="24"/>
          <w:shd w:val="clear" w:color="auto" w:fill="FFFFFF"/>
        </w:rPr>
        <w:t xml:space="preserve"> different</w:t>
      </w:r>
      <w:r w:rsidR="00A73FC7" w:rsidRPr="000D565E">
        <w:rPr>
          <w:rFonts w:asciiTheme="minorHAnsi" w:eastAsia="Times New Roman" w:hAnsiTheme="minorHAnsi" w:cstheme="minorHAnsi"/>
          <w:sz w:val="24"/>
          <w:szCs w:val="24"/>
          <w:shd w:val="clear" w:color="auto" w:fill="FFFFFF"/>
        </w:rPr>
        <w:t xml:space="preserve"> organisation</w:t>
      </w:r>
      <w:r w:rsidR="00A3116D" w:rsidRPr="000D565E">
        <w:rPr>
          <w:rFonts w:asciiTheme="minorHAnsi" w:eastAsia="Times New Roman" w:hAnsiTheme="minorHAnsi" w:cstheme="minorHAnsi"/>
          <w:sz w:val="24"/>
          <w:szCs w:val="24"/>
          <w:shd w:val="clear" w:color="auto" w:fill="FFFFFF"/>
        </w:rPr>
        <w:t>.</w:t>
      </w:r>
    </w:p>
    <w:p w14:paraId="5DA124C0" w14:textId="77777777" w:rsidR="001F2E01" w:rsidRPr="000D565E" w:rsidRDefault="001F2E01" w:rsidP="009F103C">
      <w:pPr>
        <w:spacing w:line="360" w:lineRule="auto"/>
        <w:jc w:val="both"/>
        <w:rPr>
          <w:rFonts w:asciiTheme="minorHAnsi" w:eastAsia="Times New Roman" w:hAnsiTheme="minorHAnsi" w:cstheme="minorHAnsi"/>
          <w:sz w:val="24"/>
          <w:szCs w:val="24"/>
          <w:shd w:val="clear" w:color="auto" w:fill="FFFFFF"/>
        </w:rPr>
      </w:pPr>
    </w:p>
    <w:p w14:paraId="0A0BBFE2" w14:textId="2EB00D64" w:rsidR="00633193" w:rsidRPr="000D565E" w:rsidRDefault="00633193" w:rsidP="009F103C">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 xml:space="preserve">This paper sets out </w:t>
      </w:r>
      <w:r w:rsidR="00A3116D" w:rsidRPr="000D565E">
        <w:rPr>
          <w:rFonts w:asciiTheme="minorHAnsi" w:eastAsia="Times New Roman" w:hAnsiTheme="minorHAnsi" w:cstheme="minorHAnsi"/>
          <w:sz w:val="24"/>
          <w:szCs w:val="24"/>
          <w:shd w:val="clear" w:color="auto" w:fill="FFFFFF"/>
        </w:rPr>
        <w:t xml:space="preserve">alternative </w:t>
      </w:r>
      <w:r w:rsidR="006F2EB7" w:rsidRPr="000D565E">
        <w:rPr>
          <w:rFonts w:asciiTheme="minorHAnsi" w:eastAsia="Times New Roman" w:hAnsiTheme="minorHAnsi" w:cstheme="minorHAnsi"/>
          <w:sz w:val="24"/>
          <w:szCs w:val="24"/>
          <w:shd w:val="clear" w:color="auto" w:fill="FFFFFF"/>
        </w:rPr>
        <w:t xml:space="preserve">options to enable </w:t>
      </w:r>
      <w:r w:rsidR="00A3116D" w:rsidRPr="000D565E">
        <w:rPr>
          <w:rFonts w:asciiTheme="minorHAnsi" w:eastAsia="Times New Roman" w:hAnsiTheme="minorHAnsi" w:cstheme="minorHAnsi"/>
          <w:sz w:val="24"/>
          <w:szCs w:val="24"/>
          <w:shd w:val="clear" w:color="auto" w:fill="FFFFFF"/>
        </w:rPr>
        <w:t xml:space="preserve">cost efficient </w:t>
      </w:r>
      <w:r w:rsidR="006F2EB7" w:rsidRPr="000D565E">
        <w:rPr>
          <w:rFonts w:asciiTheme="minorHAnsi" w:eastAsia="Times New Roman" w:hAnsiTheme="minorHAnsi" w:cstheme="minorHAnsi"/>
          <w:sz w:val="24"/>
          <w:szCs w:val="24"/>
          <w:shd w:val="clear" w:color="auto" w:fill="FFFFFF"/>
        </w:rPr>
        <w:t xml:space="preserve">management of </w:t>
      </w:r>
      <w:proofErr w:type="spellStart"/>
      <w:r w:rsidR="006F2EB7" w:rsidRPr="000D565E">
        <w:rPr>
          <w:rFonts w:asciiTheme="minorHAnsi" w:eastAsia="Times New Roman" w:hAnsiTheme="minorHAnsi" w:cstheme="minorHAnsi"/>
          <w:sz w:val="24"/>
          <w:szCs w:val="24"/>
          <w:shd w:val="clear" w:color="auto" w:fill="FFFFFF"/>
        </w:rPr>
        <w:t>SoLR</w:t>
      </w:r>
      <w:proofErr w:type="spellEnd"/>
      <w:r w:rsidR="006F2EB7" w:rsidRPr="000D565E">
        <w:rPr>
          <w:rFonts w:asciiTheme="minorHAnsi" w:eastAsia="Times New Roman" w:hAnsiTheme="minorHAnsi" w:cstheme="minorHAnsi"/>
          <w:sz w:val="24"/>
          <w:szCs w:val="24"/>
          <w:shd w:val="clear" w:color="auto" w:fill="FFFFFF"/>
        </w:rPr>
        <w:t xml:space="preserve"> events </w:t>
      </w:r>
      <w:r w:rsidR="001230B0" w:rsidRPr="000D565E">
        <w:rPr>
          <w:rFonts w:asciiTheme="minorHAnsi" w:eastAsia="Times New Roman" w:hAnsiTheme="minorHAnsi" w:cstheme="minorHAnsi"/>
          <w:sz w:val="24"/>
          <w:szCs w:val="24"/>
          <w:shd w:val="clear" w:color="auto" w:fill="FFFFFF"/>
        </w:rPr>
        <w:t xml:space="preserve">following </w:t>
      </w:r>
      <w:r w:rsidR="006F2EB7" w:rsidRPr="000D565E">
        <w:rPr>
          <w:rFonts w:asciiTheme="minorHAnsi" w:eastAsia="Times New Roman" w:hAnsiTheme="minorHAnsi" w:cstheme="minorHAnsi"/>
          <w:sz w:val="24"/>
          <w:szCs w:val="24"/>
          <w:shd w:val="clear" w:color="auto" w:fill="FFFFFF"/>
        </w:rPr>
        <w:t>CSS</w:t>
      </w:r>
      <w:r w:rsidR="001230B0" w:rsidRPr="000D565E">
        <w:rPr>
          <w:rFonts w:asciiTheme="minorHAnsi" w:eastAsia="Times New Roman" w:hAnsiTheme="minorHAnsi" w:cstheme="minorHAnsi"/>
          <w:sz w:val="24"/>
          <w:szCs w:val="24"/>
          <w:shd w:val="clear" w:color="auto" w:fill="FFFFFF"/>
        </w:rPr>
        <w:t xml:space="preserve"> Go Live</w:t>
      </w:r>
      <w:r w:rsidR="006F2EB7" w:rsidRPr="000D565E">
        <w:rPr>
          <w:rFonts w:asciiTheme="minorHAnsi" w:eastAsia="Times New Roman" w:hAnsiTheme="minorHAnsi" w:cstheme="minorHAnsi"/>
          <w:sz w:val="24"/>
          <w:szCs w:val="24"/>
          <w:shd w:val="clear" w:color="auto" w:fill="FFFFFF"/>
        </w:rPr>
        <w:t>, CDSP systems and to industry participant systems.  Given the proximity to the CSS implementation</w:t>
      </w:r>
      <w:r w:rsidR="006A00F5" w:rsidRPr="000D565E">
        <w:rPr>
          <w:rFonts w:asciiTheme="minorHAnsi" w:eastAsia="Times New Roman" w:hAnsiTheme="minorHAnsi" w:cstheme="minorHAnsi"/>
          <w:sz w:val="24"/>
          <w:szCs w:val="24"/>
          <w:shd w:val="clear" w:color="auto" w:fill="FFFFFF"/>
        </w:rPr>
        <w:t>,</w:t>
      </w:r>
      <w:r w:rsidR="006F2EB7" w:rsidRPr="000D565E">
        <w:rPr>
          <w:rFonts w:asciiTheme="minorHAnsi" w:eastAsia="Times New Roman" w:hAnsiTheme="minorHAnsi" w:cstheme="minorHAnsi"/>
          <w:sz w:val="24"/>
          <w:szCs w:val="24"/>
          <w:shd w:val="clear" w:color="auto" w:fill="FFFFFF"/>
        </w:rPr>
        <w:t xml:space="preserve"> whic</w:t>
      </w:r>
      <w:r w:rsidR="006A00F5" w:rsidRPr="000D565E">
        <w:rPr>
          <w:rFonts w:asciiTheme="minorHAnsi" w:eastAsia="Times New Roman" w:hAnsiTheme="minorHAnsi" w:cstheme="minorHAnsi"/>
          <w:sz w:val="24"/>
          <w:szCs w:val="24"/>
          <w:shd w:val="clear" w:color="auto" w:fill="FFFFFF"/>
        </w:rPr>
        <w:t xml:space="preserve">h itself </w:t>
      </w:r>
      <w:r w:rsidR="006F2EB7" w:rsidRPr="000D565E">
        <w:rPr>
          <w:rFonts w:asciiTheme="minorHAnsi" w:eastAsia="Times New Roman" w:hAnsiTheme="minorHAnsi" w:cstheme="minorHAnsi"/>
          <w:sz w:val="24"/>
          <w:szCs w:val="24"/>
          <w:shd w:val="clear" w:color="auto" w:fill="FFFFFF"/>
        </w:rPr>
        <w:t>requires material change to industry participants</w:t>
      </w:r>
      <w:r w:rsidR="003C5367" w:rsidRPr="000D565E">
        <w:rPr>
          <w:rFonts w:asciiTheme="minorHAnsi" w:eastAsia="Times New Roman" w:hAnsiTheme="minorHAnsi" w:cstheme="minorHAnsi"/>
          <w:sz w:val="24"/>
          <w:szCs w:val="24"/>
          <w:shd w:val="clear" w:color="auto" w:fill="FFFFFF"/>
        </w:rPr>
        <w:t>,</w:t>
      </w:r>
      <w:r w:rsidR="006F2EB7" w:rsidRPr="000D565E">
        <w:rPr>
          <w:rFonts w:asciiTheme="minorHAnsi" w:eastAsia="Times New Roman" w:hAnsiTheme="minorHAnsi" w:cstheme="minorHAnsi"/>
          <w:sz w:val="24"/>
          <w:szCs w:val="24"/>
          <w:shd w:val="clear" w:color="auto" w:fill="FFFFFF"/>
        </w:rPr>
        <w:t xml:space="preserve"> the focus of this paper is to minimise impacts to the respective organisations’ CSS Programmes and systems</w:t>
      </w:r>
      <w:r w:rsidR="00872ABC" w:rsidRPr="000D565E">
        <w:rPr>
          <w:rFonts w:asciiTheme="minorHAnsi" w:eastAsia="Times New Roman" w:hAnsiTheme="minorHAnsi" w:cstheme="minorHAnsi"/>
          <w:sz w:val="24"/>
          <w:szCs w:val="24"/>
          <w:shd w:val="clear" w:color="auto" w:fill="FFFFFF"/>
        </w:rPr>
        <w:t xml:space="preserve">, whilst still maintaining an effective </w:t>
      </w:r>
      <w:proofErr w:type="spellStart"/>
      <w:r w:rsidR="00872ABC" w:rsidRPr="000D565E">
        <w:rPr>
          <w:rFonts w:asciiTheme="minorHAnsi" w:eastAsia="Times New Roman" w:hAnsiTheme="minorHAnsi" w:cstheme="minorHAnsi"/>
          <w:sz w:val="24"/>
          <w:szCs w:val="24"/>
          <w:shd w:val="clear" w:color="auto" w:fill="FFFFFF"/>
        </w:rPr>
        <w:t>SoLR</w:t>
      </w:r>
      <w:proofErr w:type="spellEnd"/>
      <w:r w:rsidR="00872ABC" w:rsidRPr="000D565E">
        <w:rPr>
          <w:rFonts w:asciiTheme="minorHAnsi" w:eastAsia="Times New Roman" w:hAnsiTheme="minorHAnsi" w:cstheme="minorHAnsi"/>
          <w:sz w:val="24"/>
          <w:szCs w:val="24"/>
          <w:shd w:val="clear" w:color="auto" w:fill="FFFFFF"/>
        </w:rPr>
        <w:t xml:space="preserve"> process that does not expose consumers or the industry to increased </w:t>
      </w:r>
      <w:r w:rsidR="00BA1EAE" w:rsidRPr="000D565E">
        <w:rPr>
          <w:rFonts w:asciiTheme="minorHAnsi" w:eastAsia="Times New Roman" w:hAnsiTheme="minorHAnsi" w:cstheme="minorHAnsi"/>
          <w:sz w:val="24"/>
          <w:szCs w:val="24"/>
          <w:shd w:val="clear" w:color="auto" w:fill="FFFFFF"/>
        </w:rPr>
        <w:t>costs</w:t>
      </w:r>
      <w:r w:rsidR="006F2EB7" w:rsidRPr="000D565E">
        <w:rPr>
          <w:rFonts w:asciiTheme="minorHAnsi" w:eastAsia="Times New Roman" w:hAnsiTheme="minorHAnsi" w:cstheme="minorHAnsi"/>
          <w:sz w:val="24"/>
          <w:szCs w:val="24"/>
          <w:shd w:val="clear" w:color="auto" w:fill="FFFFFF"/>
        </w:rPr>
        <w:t>.</w:t>
      </w:r>
    </w:p>
    <w:p w14:paraId="7FCCE450" w14:textId="77777777" w:rsidR="00694462" w:rsidRPr="000D565E" w:rsidRDefault="00694462" w:rsidP="00694462">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 xml:space="preserve">[One further consideration that this paper highlights </w:t>
      </w:r>
      <w:proofErr w:type="gramStart"/>
      <w:r w:rsidRPr="000D565E">
        <w:rPr>
          <w:rFonts w:asciiTheme="minorHAnsi" w:eastAsia="Times New Roman" w:hAnsiTheme="minorHAnsi" w:cstheme="minorHAnsi"/>
          <w:sz w:val="24"/>
          <w:szCs w:val="24"/>
          <w:shd w:val="clear" w:color="auto" w:fill="FFFFFF"/>
        </w:rPr>
        <w:t>is</w:t>
      </w:r>
      <w:proofErr w:type="gramEnd"/>
      <w:r w:rsidRPr="000D565E">
        <w:rPr>
          <w:rFonts w:asciiTheme="minorHAnsi" w:eastAsia="Times New Roman" w:hAnsiTheme="minorHAnsi" w:cstheme="minorHAnsi"/>
          <w:sz w:val="24"/>
          <w:szCs w:val="24"/>
          <w:shd w:val="clear" w:color="auto" w:fill="FFFFFF"/>
        </w:rPr>
        <w:t xml:space="preserve"> the need for Registration of the Shipper entity, which is necessary for UNC Settlement processes to work without manual intervention.]</w:t>
      </w:r>
    </w:p>
    <w:p w14:paraId="725FDF80" w14:textId="77777777" w:rsidR="00694462" w:rsidRPr="000D565E" w:rsidRDefault="00694462" w:rsidP="009F103C">
      <w:pPr>
        <w:spacing w:line="360" w:lineRule="auto"/>
        <w:jc w:val="both"/>
        <w:rPr>
          <w:rFonts w:asciiTheme="minorHAnsi" w:eastAsia="Times New Roman" w:hAnsiTheme="minorHAnsi" w:cstheme="minorHAnsi"/>
          <w:sz w:val="24"/>
          <w:szCs w:val="24"/>
          <w:shd w:val="clear" w:color="auto" w:fill="FFFFFF"/>
        </w:rPr>
      </w:pPr>
    </w:p>
    <w:p w14:paraId="630E16E0" w14:textId="77777777" w:rsidR="003D3A4A" w:rsidRPr="000D565E" w:rsidRDefault="003D3A4A" w:rsidP="009F103C">
      <w:pPr>
        <w:spacing w:line="360" w:lineRule="auto"/>
        <w:jc w:val="both"/>
        <w:rPr>
          <w:rFonts w:asciiTheme="minorHAnsi" w:eastAsia="Times New Roman" w:hAnsiTheme="minorHAnsi" w:cstheme="minorHAnsi"/>
          <w:b/>
          <w:sz w:val="24"/>
          <w:szCs w:val="24"/>
          <w:shd w:val="clear" w:color="auto" w:fill="FFFFFF"/>
        </w:rPr>
      </w:pPr>
      <w:r w:rsidRPr="000D565E">
        <w:rPr>
          <w:rFonts w:asciiTheme="minorHAnsi" w:eastAsia="Times New Roman" w:hAnsiTheme="minorHAnsi" w:cstheme="minorHAnsi"/>
          <w:b/>
          <w:sz w:val="24"/>
          <w:szCs w:val="24"/>
          <w:shd w:val="clear" w:color="auto" w:fill="FFFFFF"/>
        </w:rPr>
        <w:t>This paper has been produced by Xoserve, but any assertions with respect to any other party will need to be validated with these parties</w:t>
      </w:r>
      <w:r w:rsidR="00872ABC" w:rsidRPr="000D565E">
        <w:rPr>
          <w:rFonts w:asciiTheme="minorHAnsi" w:eastAsia="Times New Roman" w:hAnsiTheme="minorHAnsi" w:cstheme="minorHAnsi"/>
          <w:b/>
          <w:sz w:val="24"/>
          <w:szCs w:val="24"/>
          <w:shd w:val="clear" w:color="auto" w:fill="FFFFFF"/>
        </w:rPr>
        <w:t>.</w:t>
      </w:r>
    </w:p>
    <w:p w14:paraId="2E908670" w14:textId="77777777" w:rsidR="00633193" w:rsidRPr="000D565E" w:rsidRDefault="00633193" w:rsidP="009F103C">
      <w:pPr>
        <w:pStyle w:val="Heading1"/>
        <w:jc w:val="both"/>
        <w:rPr>
          <w:rStyle w:val="SubtleEmphasis"/>
          <w:i w:val="0"/>
          <w:iCs w:val="0"/>
          <w:color w:val="2F5496" w:themeColor="accent1" w:themeShade="BF"/>
        </w:rPr>
      </w:pPr>
      <w:r w:rsidRPr="000D565E">
        <w:rPr>
          <w:rStyle w:val="SubtleEmphasis"/>
          <w:i w:val="0"/>
          <w:iCs w:val="0"/>
          <w:color w:val="2F5496" w:themeColor="accent1" w:themeShade="BF"/>
        </w:rPr>
        <w:t>Problem Statement</w:t>
      </w:r>
    </w:p>
    <w:p w14:paraId="79824236" w14:textId="32FE7A6A" w:rsidR="003D3A4A" w:rsidRPr="000D565E" w:rsidRDefault="003D3A4A" w:rsidP="009F103C">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 xml:space="preserve">Design Baseline 4 (DB4) set out that in the event of a </w:t>
      </w:r>
      <w:proofErr w:type="spellStart"/>
      <w:r w:rsidRPr="000D565E">
        <w:rPr>
          <w:rFonts w:asciiTheme="minorHAnsi" w:eastAsia="Times New Roman" w:hAnsiTheme="minorHAnsi" w:cstheme="minorHAnsi"/>
          <w:sz w:val="24"/>
          <w:szCs w:val="24"/>
          <w:shd w:val="clear" w:color="auto" w:fill="FFFFFF"/>
        </w:rPr>
        <w:t>SoLR</w:t>
      </w:r>
      <w:proofErr w:type="spellEnd"/>
      <w:r w:rsidRPr="000D565E">
        <w:rPr>
          <w:rFonts w:asciiTheme="minorHAnsi" w:eastAsia="Times New Roman" w:hAnsiTheme="minorHAnsi" w:cstheme="minorHAnsi"/>
          <w:sz w:val="24"/>
          <w:szCs w:val="24"/>
          <w:shd w:val="clear" w:color="auto" w:fill="FFFFFF"/>
        </w:rPr>
        <w:t xml:space="preserve"> that this </w:t>
      </w:r>
      <w:r w:rsidR="004A09D5" w:rsidRPr="000D565E">
        <w:rPr>
          <w:rFonts w:asciiTheme="minorHAnsi" w:eastAsia="Times New Roman" w:hAnsiTheme="minorHAnsi" w:cstheme="minorHAnsi"/>
          <w:sz w:val="24"/>
          <w:szCs w:val="24"/>
          <w:shd w:val="clear" w:color="auto" w:fill="FFFFFF"/>
        </w:rPr>
        <w:t xml:space="preserve">would </w:t>
      </w:r>
      <w:r w:rsidRPr="000D565E">
        <w:rPr>
          <w:rFonts w:asciiTheme="minorHAnsi" w:eastAsia="Times New Roman" w:hAnsiTheme="minorHAnsi" w:cstheme="minorHAnsi"/>
          <w:sz w:val="24"/>
          <w:szCs w:val="24"/>
          <w:shd w:val="clear" w:color="auto" w:fill="FFFFFF"/>
        </w:rPr>
        <w:t xml:space="preserve">be enacted by re-assigning the failed Supplier identity to the appointed Supplier in the </w:t>
      </w:r>
      <w:proofErr w:type="spellStart"/>
      <w:r w:rsidRPr="000D565E">
        <w:rPr>
          <w:rFonts w:asciiTheme="minorHAnsi" w:eastAsia="Times New Roman" w:hAnsiTheme="minorHAnsi" w:cstheme="minorHAnsi"/>
          <w:sz w:val="24"/>
          <w:szCs w:val="24"/>
          <w:shd w:val="clear" w:color="auto" w:fill="FFFFFF"/>
        </w:rPr>
        <w:t>SoLR</w:t>
      </w:r>
      <w:proofErr w:type="spellEnd"/>
      <w:r w:rsidRPr="000D565E">
        <w:rPr>
          <w:rFonts w:asciiTheme="minorHAnsi" w:eastAsia="Times New Roman" w:hAnsiTheme="minorHAnsi" w:cstheme="minorHAnsi"/>
          <w:sz w:val="24"/>
          <w:szCs w:val="24"/>
          <w:shd w:val="clear" w:color="auto" w:fill="FFFFFF"/>
        </w:rPr>
        <w:t xml:space="preserve"> process.  This fundamental change was not identified by a significant number of gas sector parties.</w:t>
      </w:r>
    </w:p>
    <w:p w14:paraId="1533156B" w14:textId="254A20EC" w:rsidR="00B82646" w:rsidRPr="000D565E" w:rsidRDefault="00B50DD3" w:rsidP="009F103C">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 xml:space="preserve">The current design for CSS </w:t>
      </w:r>
      <w:r w:rsidR="00B82646" w:rsidRPr="000D565E">
        <w:rPr>
          <w:rFonts w:asciiTheme="minorHAnsi" w:eastAsia="Times New Roman" w:hAnsiTheme="minorHAnsi" w:cstheme="minorHAnsi"/>
          <w:sz w:val="24"/>
          <w:szCs w:val="24"/>
          <w:shd w:val="clear" w:color="auto" w:fill="FFFFFF"/>
        </w:rPr>
        <w:t xml:space="preserve">is based upon a series of </w:t>
      </w:r>
      <w:proofErr w:type="gramStart"/>
      <w:r w:rsidR="00B82646" w:rsidRPr="000D565E">
        <w:rPr>
          <w:rFonts w:asciiTheme="minorHAnsi" w:eastAsia="Times New Roman" w:hAnsiTheme="minorHAnsi" w:cstheme="minorHAnsi"/>
          <w:sz w:val="24"/>
          <w:szCs w:val="24"/>
          <w:shd w:val="clear" w:color="auto" w:fill="FFFFFF"/>
        </w:rPr>
        <w:t>Non Functional</w:t>
      </w:r>
      <w:proofErr w:type="gramEnd"/>
      <w:r w:rsidR="00B82646" w:rsidRPr="000D565E">
        <w:rPr>
          <w:rFonts w:asciiTheme="minorHAnsi" w:eastAsia="Times New Roman" w:hAnsiTheme="minorHAnsi" w:cstheme="minorHAnsi"/>
          <w:sz w:val="24"/>
          <w:szCs w:val="24"/>
          <w:shd w:val="clear" w:color="auto" w:fill="FFFFFF"/>
        </w:rPr>
        <w:t xml:space="preserve"> Requirement</w:t>
      </w:r>
      <w:r w:rsidR="009A1992" w:rsidRPr="000D565E">
        <w:rPr>
          <w:rFonts w:asciiTheme="minorHAnsi" w:eastAsia="Times New Roman" w:hAnsiTheme="minorHAnsi" w:cstheme="minorHAnsi"/>
          <w:sz w:val="24"/>
          <w:szCs w:val="24"/>
          <w:shd w:val="clear" w:color="auto" w:fill="FFFFFF"/>
        </w:rPr>
        <w:t>s (NFRs)</w:t>
      </w:r>
      <w:r w:rsidR="00B82646" w:rsidRPr="000D565E">
        <w:rPr>
          <w:rFonts w:asciiTheme="minorHAnsi" w:eastAsia="Times New Roman" w:hAnsiTheme="minorHAnsi" w:cstheme="minorHAnsi"/>
          <w:sz w:val="24"/>
          <w:szCs w:val="24"/>
          <w:shd w:val="clear" w:color="auto" w:fill="FFFFFF"/>
        </w:rPr>
        <w:t>.  These NFRs set out the volume of Switches that CSS will be required to process:</w:t>
      </w:r>
    </w:p>
    <w:p w14:paraId="63C970D4" w14:textId="77777777" w:rsidR="00B81A69" w:rsidRPr="000D565E" w:rsidRDefault="00B82646" w:rsidP="009F103C">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noProof/>
          <w:sz w:val="24"/>
          <w:szCs w:val="24"/>
          <w:shd w:val="clear" w:color="auto" w:fill="FFFFFF"/>
          <w:lang w:eastAsia="en-GB"/>
        </w:rPr>
        <w:lastRenderedPageBreak/>
        <w:drawing>
          <wp:inline distT="0" distB="0" distL="0" distR="0" wp14:anchorId="780D77FE" wp14:editId="37C15225">
            <wp:extent cx="9289008" cy="387228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355187" cy="3899873"/>
                    </a:xfrm>
                    <a:prstGeom prst="rect">
                      <a:avLst/>
                    </a:prstGeom>
                  </pic:spPr>
                </pic:pic>
              </a:graphicData>
            </a:graphic>
          </wp:inline>
        </w:drawing>
      </w:r>
    </w:p>
    <w:p w14:paraId="41FA4F61" w14:textId="77777777" w:rsidR="00334D77" w:rsidRPr="000D565E" w:rsidRDefault="00334D77" w:rsidP="009F103C">
      <w:pPr>
        <w:spacing w:line="360" w:lineRule="auto"/>
        <w:jc w:val="both"/>
        <w:rPr>
          <w:rFonts w:asciiTheme="minorHAnsi" w:eastAsia="Times New Roman" w:hAnsiTheme="minorHAnsi" w:cstheme="minorHAnsi"/>
          <w:sz w:val="24"/>
          <w:szCs w:val="24"/>
          <w:shd w:val="clear" w:color="auto" w:fill="FFFFFF"/>
        </w:rPr>
      </w:pPr>
    </w:p>
    <w:p w14:paraId="3AC41853" w14:textId="27DDD747" w:rsidR="00B81A69" w:rsidRPr="000D565E" w:rsidRDefault="00B81A69" w:rsidP="009F103C">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 xml:space="preserve">One of the assumptions that defined the above volumes was that in the event of a </w:t>
      </w:r>
      <w:proofErr w:type="spellStart"/>
      <w:r w:rsidRPr="000D565E">
        <w:rPr>
          <w:rFonts w:asciiTheme="minorHAnsi" w:eastAsia="Times New Roman" w:hAnsiTheme="minorHAnsi" w:cstheme="minorHAnsi"/>
          <w:sz w:val="24"/>
          <w:szCs w:val="24"/>
          <w:shd w:val="clear" w:color="auto" w:fill="FFFFFF"/>
        </w:rPr>
        <w:t>SoLR</w:t>
      </w:r>
      <w:proofErr w:type="spellEnd"/>
      <w:r w:rsidR="003C5367" w:rsidRPr="000D565E">
        <w:rPr>
          <w:rFonts w:asciiTheme="minorHAnsi" w:eastAsia="Times New Roman" w:hAnsiTheme="minorHAnsi" w:cstheme="minorHAnsi"/>
          <w:sz w:val="24"/>
          <w:szCs w:val="24"/>
          <w:shd w:val="clear" w:color="auto" w:fill="FFFFFF"/>
        </w:rPr>
        <w:t>,</w:t>
      </w:r>
      <w:r w:rsidRPr="000D565E">
        <w:rPr>
          <w:rFonts w:asciiTheme="minorHAnsi" w:eastAsia="Times New Roman" w:hAnsiTheme="minorHAnsi" w:cstheme="minorHAnsi"/>
          <w:sz w:val="24"/>
          <w:szCs w:val="24"/>
          <w:shd w:val="clear" w:color="auto" w:fill="FFFFFF"/>
        </w:rPr>
        <w:t xml:space="preserve"> the Market Participant Identity would be re-assigned.  This aligns to the electricity model where this </w:t>
      </w:r>
      <w:r w:rsidRPr="000D565E">
        <w:rPr>
          <w:rFonts w:asciiTheme="minorHAnsi" w:eastAsia="Times New Roman" w:hAnsiTheme="minorHAnsi" w:cstheme="minorHAnsi"/>
          <w:i/>
          <w:sz w:val="24"/>
          <w:szCs w:val="24"/>
          <w:shd w:val="clear" w:color="auto" w:fill="FFFFFF"/>
        </w:rPr>
        <w:t>can</w:t>
      </w:r>
      <w:r w:rsidRPr="000D565E">
        <w:rPr>
          <w:rFonts w:asciiTheme="minorHAnsi" w:eastAsia="Times New Roman" w:hAnsiTheme="minorHAnsi" w:cstheme="minorHAnsi"/>
          <w:sz w:val="24"/>
          <w:szCs w:val="24"/>
          <w:shd w:val="clear" w:color="auto" w:fill="FFFFFF"/>
        </w:rPr>
        <w:t xml:space="preserve"> be utilised.  </w:t>
      </w:r>
    </w:p>
    <w:p w14:paraId="0FE60B10" w14:textId="04987498" w:rsidR="00A24DCA" w:rsidRPr="000D565E" w:rsidRDefault="00BD2195" w:rsidP="00A24DCA">
      <w:pPr>
        <w:pStyle w:val="CommentText"/>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 xml:space="preserve">A change </w:t>
      </w:r>
      <w:r w:rsidR="006A00F5" w:rsidRPr="000D565E">
        <w:rPr>
          <w:rFonts w:asciiTheme="minorHAnsi" w:eastAsia="Times New Roman" w:hAnsiTheme="minorHAnsi" w:cstheme="minorHAnsi"/>
          <w:sz w:val="24"/>
          <w:szCs w:val="24"/>
          <w:shd w:val="clear" w:color="auto" w:fill="FFFFFF"/>
        </w:rPr>
        <w:t xml:space="preserve">at this stage </w:t>
      </w:r>
      <w:r w:rsidRPr="000D565E">
        <w:rPr>
          <w:rFonts w:asciiTheme="minorHAnsi" w:eastAsia="Times New Roman" w:hAnsiTheme="minorHAnsi" w:cstheme="minorHAnsi"/>
          <w:sz w:val="24"/>
          <w:szCs w:val="24"/>
          <w:shd w:val="clear" w:color="auto" w:fill="FFFFFF"/>
        </w:rPr>
        <w:t>to the NFRs would be fundamental to the CSS design, and so therefore has been discounted</w:t>
      </w:r>
      <w:r w:rsidR="006A00F5" w:rsidRPr="000D565E">
        <w:rPr>
          <w:rFonts w:asciiTheme="minorHAnsi" w:eastAsia="Times New Roman" w:hAnsiTheme="minorHAnsi" w:cstheme="minorHAnsi"/>
          <w:sz w:val="24"/>
          <w:szCs w:val="24"/>
          <w:shd w:val="clear" w:color="auto" w:fill="FFFFFF"/>
        </w:rPr>
        <w:t xml:space="preserve"> by the Ofgem Programme</w:t>
      </w:r>
      <w:r w:rsidRPr="000D565E">
        <w:rPr>
          <w:rFonts w:asciiTheme="minorHAnsi" w:eastAsia="Times New Roman" w:hAnsiTheme="minorHAnsi" w:cstheme="minorHAnsi"/>
          <w:sz w:val="24"/>
          <w:szCs w:val="24"/>
          <w:shd w:val="clear" w:color="auto" w:fill="FFFFFF"/>
        </w:rPr>
        <w:t>.</w:t>
      </w:r>
      <w:r w:rsidR="00334D77" w:rsidRPr="000D565E">
        <w:rPr>
          <w:rFonts w:asciiTheme="minorHAnsi" w:eastAsia="Times New Roman" w:hAnsiTheme="minorHAnsi" w:cstheme="minorHAnsi"/>
          <w:sz w:val="24"/>
          <w:szCs w:val="24"/>
          <w:shd w:val="clear" w:color="auto" w:fill="FFFFFF"/>
        </w:rPr>
        <w:t xml:space="preserve">  The Ofgem decision indicated that this approach</w:t>
      </w:r>
      <w:r w:rsidR="00A24DCA" w:rsidRPr="000D565E">
        <w:rPr>
          <w:rFonts w:asciiTheme="minorHAnsi" w:eastAsia="Times New Roman" w:hAnsiTheme="minorHAnsi" w:cstheme="minorHAnsi"/>
          <w:sz w:val="24"/>
          <w:szCs w:val="24"/>
          <w:shd w:val="clear" w:color="auto" w:fill="FFFFFF"/>
        </w:rPr>
        <w:t xml:space="preserve"> was discounted due to the cost and time delay to the Ofgem CSS Programme that would be caused if this was to be implemented. It would involve significant re-testing of the CSS and other industry systems to meet increased NFRs </w:t>
      </w:r>
      <w:r w:rsidR="00A24DCA" w:rsidRPr="000D565E">
        <w:rPr>
          <w:rFonts w:asciiTheme="minorHAnsi" w:eastAsia="Times New Roman" w:hAnsiTheme="minorHAnsi" w:cstheme="minorHAnsi"/>
          <w:sz w:val="24"/>
          <w:szCs w:val="24"/>
          <w:shd w:val="clear" w:color="auto" w:fill="FFFFFF"/>
        </w:rPr>
        <w:lastRenderedPageBreak/>
        <w:t>(particularly re-running System Integration Testing (SIT) Non-Functional Testing) as well as additional system costs to increase the capacity of the CSS NFRs.</w:t>
      </w:r>
    </w:p>
    <w:p w14:paraId="07430F4D" w14:textId="77777777" w:rsidR="00963DBF" w:rsidRPr="000D565E" w:rsidRDefault="00963DBF" w:rsidP="009F103C">
      <w:pPr>
        <w:spacing w:line="360" w:lineRule="auto"/>
        <w:jc w:val="both"/>
        <w:rPr>
          <w:rFonts w:asciiTheme="minorHAnsi" w:eastAsia="Times New Roman" w:hAnsiTheme="minorHAnsi" w:cstheme="minorHAnsi"/>
          <w:sz w:val="24"/>
          <w:szCs w:val="24"/>
          <w:shd w:val="clear" w:color="auto" w:fill="FFFFFF"/>
        </w:rPr>
      </w:pPr>
    </w:p>
    <w:p w14:paraId="32AEB013" w14:textId="67BDAEBA" w:rsidR="00BD2195" w:rsidRPr="000D565E" w:rsidRDefault="00736B9D" w:rsidP="009F103C">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 xml:space="preserve">The necessary changes to allow re-assignment of the </w:t>
      </w:r>
      <w:r w:rsidR="00A24DCA" w:rsidRPr="000D565E">
        <w:rPr>
          <w:rFonts w:asciiTheme="minorHAnsi" w:eastAsia="Times New Roman" w:hAnsiTheme="minorHAnsi" w:cstheme="minorHAnsi"/>
          <w:sz w:val="24"/>
          <w:szCs w:val="24"/>
          <w:shd w:val="clear" w:color="auto" w:fill="FFFFFF"/>
        </w:rPr>
        <w:t xml:space="preserve">failed Supplier’s Market Participant Identity in </w:t>
      </w:r>
      <w:r w:rsidRPr="000D565E">
        <w:rPr>
          <w:rFonts w:asciiTheme="minorHAnsi" w:eastAsia="Times New Roman" w:hAnsiTheme="minorHAnsi" w:cstheme="minorHAnsi"/>
          <w:sz w:val="24"/>
          <w:szCs w:val="24"/>
          <w:shd w:val="clear" w:color="auto" w:fill="FFFFFF"/>
        </w:rPr>
        <w:t>[Central Gas System</w:t>
      </w:r>
      <w:r w:rsidR="00A24DCA" w:rsidRPr="000D565E">
        <w:rPr>
          <w:rFonts w:asciiTheme="minorHAnsi" w:eastAsia="Times New Roman" w:hAnsiTheme="minorHAnsi" w:cstheme="minorHAnsi"/>
          <w:sz w:val="24"/>
          <w:szCs w:val="24"/>
          <w:shd w:val="clear" w:color="auto" w:fill="FFFFFF"/>
        </w:rPr>
        <w:t>s</w:t>
      </w:r>
      <w:r w:rsidRPr="000D565E">
        <w:rPr>
          <w:rFonts w:asciiTheme="minorHAnsi" w:eastAsia="Times New Roman" w:hAnsiTheme="minorHAnsi" w:cstheme="minorHAnsi"/>
          <w:sz w:val="24"/>
          <w:szCs w:val="24"/>
          <w:shd w:val="clear" w:color="auto" w:fill="FFFFFF"/>
        </w:rPr>
        <w:t>]</w:t>
      </w:r>
      <w:r w:rsidR="00A24DCA" w:rsidRPr="000D565E">
        <w:rPr>
          <w:rFonts w:asciiTheme="minorHAnsi" w:eastAsia="Times New Roman" w:hAnsiTheme="minorHAnsi" w:cstheme="minorHAnsi"/>
          <w:sz w:val="24"/>
          <w:szCs w:val="24"/>
          <w:shd w:val="clear" w:color="auto" w:fill="FFFFFF"/>
        </w:rPr>
        <w:t xml:space="preserve"> </w:t>
      </w:r>
      <w:r w:rsidRPr="000D565E">
        <w:rPr>
          <w:rFonts w:asciiTheme="minorHAnsi" w:eastAsia="Times New Roman" w:hAnsiTheme="minorHAnsi" w:cstheme="minorHAnsi"/>
          <w:sz w:val="24"/>
          <w:szCs w:val="24"/>
          <w:shd w:val="clear" w:color="auto" w:fill="FFFFFF"/>
        </w:rPr>
        <w:t>was investigated under DSC Change Proposal XRN5144 “</w:t>
      </w:r>
      <w:r w:rsidRPr="000D565E">
        <w:rPr>
          <w:rFonts w:cs="Arial"/>
          <w:sz w:val="24"/>
          <w:szCs w:val="24"/>
        </w:rPr>
        <w:t>Enabling Re-assignment of Supplier Short Codes to Implement Supplier of Last Resort Directions”</w:t>
      </w:r>
      <w:r w:rsidRPr="000D565E">
        <w:rPr>
          <w:rFonts w:asciiTheme="minorHAnsi" w:eastAsia="Times New Roman" w:hAnsiTheme="minorHAnsi" w:cstheme="minorHAnsi"/>
          <w:sz w:val="24"/>
          <w:szCs w:val="24"/>
          <w:shd w:val="clear" w:color="auto" w:fill="FFFFFF"/>
        </w:rPr>
        <w:t>.  The changes required to the UK Link system were not insignificant, but also impacted Distribution Networks and potentially Shippers – if the use of MP Id Re-assignment was mandated.</w:t>
      </w:r>
    </w:p>
    <w:p w14:paraId="72A59E18" w14:textId="77777777" w:rsidR="00BA522D" w:rsidRPr="000D565E" w:rsidRDefault="00963DBF" w:rsidP="009F103C">
      <w:pPr>
        <w:pStyle w:val="Heading1"/>
        <w:jc w:val="both"/>
        <w:rPr>
          <w:rStyle w:val="SubtleEmphasis"/>
          <w:i w:val="0"/>
          <w:iCs w:val="0"/>
          <w:color w:val="2F5496" w:themeColor="accent1" w:themeShade="BF"/>
        </w:rPr>
      </w:pPr>
      <w:r w:rsidRPr="000D565E">
        <w:rPr>
          <w:rStyle w:val="SubtleEmphasis"/>
          <w:i w:val="0"/>
          <w:iCs w:val="0"/>
          <w:color w:val="2F5496" w:themeColor="accent1" w:themeShade="BF"/>
        </w:rPr>
        <w:t>Potential Impact</w:t>
      </w:r>
    </w:p>
    <w:p w14:paraId="56AEECB6" w14:textId="77777777" w:rsidR="00FD5924" w:rsidRPr="000D565E" w:rsidRDefault="00393ADE" w:rsidP="009F103C">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 xml:space="preserve">It is important that all energy industry participant systems </w:t>
      </w:r>
      <w:proofErr w:type="gramStart"/>
      <w:r w:rsidRPr="000D565E">
        <w:rPr>
          <w:rFonts w:asciiTheme="minorHAnsi" w:eastAsia="Times New Roman" w:hAnsiTheme="minorHAnsi" w:cstheme="minorHAnsi"/>
          <w:sz w:val="24"/>
          <w:szCs w:val="24"/>
          <w:shd w:val="clear" w:color="auto" w:fill="FFFFFF"/>
        </w:rPr>
        <w:t>are able to</w:t>
      </w:r>
      <w:proofErr w:type="gramEnd"/>
      <w:r w:rsidRPr="000D565E">
        <w:rPr>
          <w:rFonts w:asciiTheme="minorHAnsi" w:eastAsia="Times New Roman" w:hAnsiTheme="minorHAnsi" w:cstheme="minorHAnsi"/>
          <w:sz w:val="24"/>
          <w:szCs w:val="24"/>
          <w:shd w:val="clear" w:color="auto" w:fill="FFFFFF"/>
        </w:rPr>
        <w:t xml:space="preserve"> record </w:t>
      </w:r>
      <w:r w:rsidR="006A00F5" w:rsidRPr="000D565E">
        <w:rPr>
          <w:rFonts w:asciiTheme="minorHAnsi" w:eastAsia="Times New Roman" w:hAnsiTheme="minorHAnsi" w:cstheme="minorHAnsi"/>
          <w:sz w:val="24"/>
          <w:szCs w:val="24"/>
          <w:shd w:val="clear" w:color="auto" w:fill="FFFFFF"/>
        </w:rPr>
        <w:t>R</w:t>
      </w:r>
      <w:r w:rsidRPr="000D565E">
        <w:rPr>
          <w:rFonts w:asciiTheme="minorHAnsi" w:eastAsia="Times New Roman" w:hAnsiTheme="minorHAnsi" w:cstheme="minorHAnsi"/>
          <w:sz w:val="24"/>
          <w:szCs w:val="24"/>
          <w:shd w:val="clear" w:color="auto" w:fill="FFFFFF"/>
        </w:rPr>
        <w:t>egistrations and recognise the relevant Supplier entity.</w:t>
      </w:r>
      <w:r w:rsidR="00BA5988" w:rsidRPr="000D565E">
        <w:rPr>
          <w:rFonts w:asciiTheme="minorHAnsi" w:eastAsia="Times New Roman" w:hAnsiTheme="minorHAnsi" w:cstheme="minorHAnsi"/>
          <w:sz w:val="24"/>
          <w:szCs w:val="24"/>
          <w:shd w:val="clear" w:color="auto" w:fill="FFFFFF"/>
        </w:rPr>
        <w:t xml:space="preserve">  The </w:t>
      </w:r>
      <w:r w:rsidR="006A00F5" w:rsidRPr="000D565E">
        <w:rPr>
          <w:rFonts w:asciiTheme="minorHAnsi" w:eastAsia="Times New Roman" w:hAnsiTheme="minorHAnsi" w:cstheme="minorHAnsi"/>
          <w:sz w:val="24"/>
          <w:szCs w:val="24"/>
          <w:shd w:val="clear" w:color="auto" w:fill="FFFFFF"/>
        </w:rPr>
        <w:t xml:space="preserve">importance </w:t>
      </w:r>
      <w:r w:rsidR="00BA5988" w:rsidRPr="000D565E">
        <w:rPr>
          <w:rFonts w:asciiTheme="minorHAnsi" w:eastAsia="Times New Roman" w:hAnsiTheme="minorHAnsi" w:cstheme="minorHAnsi"/>
          <w:sz w:val="24"/>
          <w:szCs w:val="24"/>
          <w:shd w:val="clear" w:color="auto" w:fill="FFFFFF"/>
        </w:rPr>
        <w:t xml:space="preserve">for doing so varies between </w:t>
      </w:r>
      <w:r w:rsidR="00FD5924" w:rsidRPr="000D565E">
        <w:rPr>
          <w:rFonts w:asciiTheme="minorHAnsi" w:eastAsia="Times New Roman" w:hAnsiTheme="minorHAnsi" w:cstheme="minorHAnsi"/>
          <w:sz w:val="24"/>
          <w:szCs w:val="24"/>
          <w:shd w:val="clear" w:color="auto" w:fill="FFFFFF"/>
        </w:rPr>
        <w:t>each Market Participant.</w:t>
      </w:r>
    </w:p>
    <w:p w14:paraId="0FBBF4D6" w14:textId="77777777" w:rsidR="00FD5924" w:rsidRPr="000D565E" w:rsidRDefault="00FD5924" w:rsidP="009F103C">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 xml:space="preserve">Currently within the gas sector the UK Link system masters the </w:t>
      </w:r>
      <w:r w:rsidR="006A00F5" w:rsidRPr="000D565E">
        <w:rPr>
          <w:rFonts w:asciiTheme="minorHAnsi" w:eastAsia="Times New Roman" w:hAnsiTheme="minorHAnsi" w:cstheme="minorHAnsi"/>
          <w:sz w:val="24"/>
          <w:szCs w:val="24"/>
          <w:shd w:val="clear" w:color="auto" w:fill="FFFFFF"/>
        </w:rPr>
        <w:t>R</w:t>
      </w:r>
      <w:r w:rsidRPr="000D565E">
        <w:rPr>
          <w:rFonts w:asciiTheme="minorHAnsi" w:eastAsia="Times New Roman" w:hAnsiTheme="minorHAnsi" w:cstheme="minorHAnsi"/>
          <w:sz w:val="24"/>
          <w:szCs w:val="24"/>
          <w:shd w:val="clear" w:color="auto" w:fill="FFFFFF"/>
        </w:rPr>
        <w:t>egistration data</w:t>
      </w:r>
      <w:r w:rsidR="00BA1EAE" w:rsidRPr="000D565E">
        <w:rPr>
          <w:rFonts w:asciiTheme="minorHAnsi" w:eastAsia="Times New Roman" w:hAnsiTheme="minorHAnsi" w:cstheme="minorHAnsi"/>
          <w:sz w:val="24"/>
          <w:szCs w:val="24"/>
          <w:shd w:val="clear" w:color="auto" w:fill="FFFFFF"/>
        </w:rPr>
        <w:t>.</w:t>
      </w:r>
      <w:r w:rsidR="00A24DCA" w:rsidRPr="000D565E">
        <w:rPr>
          <w:rFonts w:asciiTheme="minorHAnsi" w:eastAsia="Times New Roman" w:hAnsiTheme="minorHAnsi" w:cstheme="minorHAnsi"/>
          <w:sz w:val="24"/>
          <w:szCs w:val="24"/>
          <w:shd w:val="clear" w:color="auto" w:fill="FFFFFF"/>
        </w:rPr>
        <w:t xml:space="preserve">  </w:t>
      </w:r>
      <w:r w:rsidR="0071000E" w:rsidRPr="000D565E">
        <w:rPr>
          <w:rFonts w:asciiTheme="minorHAnsi" w:eastAsia="Times New Roman" w:hAnsiTheme="minorHAnsi" w:cstheme="minorHAnsi"/>
          <w:sz w:val="24"/>
          <w:szCs w:val="24"/>
          <w:shd w:val="clear" w:color="auto" w:fill="FFFFFF"/>
        </w:rPr>
        <w:t>From CSS Implementation</w:t>
      </w:r>
      <w:r w:rsidR="000842BF" w:rsidRPr="000D565E">
        <w:rPr>
          <w:rFonts w:asciiTheme="minorHAnsi" w:eastAsia="Times New Roman" w:hAnsiTheme="minorHAnsi" w:cstheme="minorHAnsi"/>
          <w:sz w:val="24"/>
          <w:szCs w:val="24"/>
          <w:shd w:val="clear" w:color="auto" w:fill="FFFFFF"/>
        </w:rPr>
        <w:t>, CSS</w:t>
      </w:r>
      <w:r w:rsidR="0071000E" w:rsidRPr="000D565E">
        <w:rPr>
          <w:rFonts w:asciiTheme="minorHAnsi" w:eastAsia="Times New Roman" w:hAnsiTheme="minorHAnsi" w:cstheme="minorHAnsi"/>
          <w:sz w:val="24"/>
          <w:szCs w:val="24"/>
          <w:shd w:val="clear" w:color="auto" w:fill="FFFFFF"/>
        </w:rPr>
        <w:t xml:space="preserve"> will master Registration data.  </w:t>
      </w:r>
    </w:p>
    <w:p w14:paraId="38AC6CBE" w14:textId="578A153C" w:rsidR="00705B28" w:rsidRPr="000D565E" w:rsidRDefault="003D3A4A" w:rsidP="009F103C">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UK Link systems</w:t>
      </w:r>
      <w:r w:rsidR="00EB4A03" w:rsidRPr="000D565E">
        <w:rPr>
          <w:rFonts w:asciiTheme="minorHAnsi" w:eastAsia="Times New Roman" w:hAnsiTheme="minorHAnsi" w:cstheme="minorHAnsi"/>
          <w:sz w:val="24"/>
          <w:szCs w:val="24"/>
          <w:shd w:val="clear" w:color="auto" w:fill="FFFFFF"/>
        </w:rPr>
        <w:t xml:space="preserve"> currently</w:t>
      </w:r>
      <w:r w:rsidRPr="000D565E">
        <w:rPr>
          <w:rFonts w:asciiTheme="minorHAnsi" w:eastAsia="Times New Roman" w:hAnsiTheme="minorHAnsi" w:cstheme="minorHAnsi"/>
          <w:sz w:val="24"/>
          <w:szCs w:val="24"/>
          <w:shd w:val="clear" w:color="auto" w:fill="FFFFFF"/>
        </w:rPr>
        <w:t xml:space="preserve"> allow</w:t>
      </w:r>
      <w:r w:rsidR="00FD5924" w:rsidRPr="000D565E">
        <w:rPr>
          <w:rFonts w:asciiTheme="minorHAnsi" w:eastAsia="Times New Roman" w:hAnsiTheme="minorHAnsi" w:cstheme="minorHAnsi"/>
          <w:sz w:val="24"/>
          <w:szCs w:val="24"/>
          <w:shd w:val="clear" w:color="auto" w:fill="FFFFFF"/>
        </w:rPr>
        <w:t xml:space="preserve"> the </w:t>
      </w:r>
      <w:r w:rsidRPr="000D565E">
        <w:rPr>
          <w:rFonts w:asciiTheme="minorHAnsi" w:eastAsia="Times New Roman" w:hAnsiTheme="minorHAnsi" w:cstheme="minorHAnsi"/>
          <w:sz w:val="24"/>
          <w:szCs w:val="24"/>
          <w:shd w:val="clear" w:color="auto" w:fill="FFFFFF"/>
        </w:rPr>
        <w:t xml:space="preserve">retrospective </w:t>
      </w:r>
      <w:r w:rsidR="00FD5924" w:rsidRPr="000D565E">
        <w:rPr>
          <w:rFonts w:asciiTheme="minorHAnsi" w:eastAsia="Times New Roman" w:hAnsiTheme="minorHAnsi" w:cstheme="minorHAnsi"/>
          <w:sz w:val="24"/>
          <w:szCs w:val="24"/>
          <w:shd w:val="clear" w:color="auto" w:fill="FFFFFF"/>
        </w:rPr>
        <w:t>recording of the Supplier identit</w:t>
      </w:r>
      <w:r w:rsidRPr="000D565E">
        <w:rPr>
          <w:rFonts w:asciiTheme="minorHAnsi" w:eastAsia="Times New Roman" w:hAnsiTheme="minorHAnsi" w:cstheme="minorHAnsi"/>
          <w:sz w:val="24"/>
          <w:szCs w:val="24"/>
          <w:shd w:val="clear" w:color="auto" w:fill="FFFFFF"/>
        </w:rPr>
        <w:t>y</w:t>
      </w:r>
      <w:r w:rsidR="00BA1EAE" w:rsidRPr="000D565E">
        <w:rPr>
          <w:rFonts w:asciiTheme="minorHAnsi" w:eastAsia="Times New Roman" w:hAnsiTheme="minorHAnsi" w:cstheme="minorHAnsi"/>
          <w:sz w:val="24"/>
          <w:szCs w:val="24"/>
          <w:shd w:val="clear" w:color="auto" w:fill="FFFFFF"/>
        </w:rPr>
        <w:t>.  This is performed using the Generic organisation Entity Amendment (GEA) file</w:t>
      </w:r>
      <w:r w:rsidR="00FD5924" w:rsidRPr="000D565E">
        <w:rPr>
          <w:rFonts w:asciiTheme="minorHAnsi" w:eastAsia="Times New Roman" w:hAnsiTheme="minorHAnsi" w:cstheme="minorHAnsi"/>
          <w:sz w:val="24"/>
          <w:szCs w:val="24"/>
          <w:shd w:val="clear" w:color="auto" w:fill="FFFFFF"/>
        </w:rPr>
        <w:t xml:space="preserve">.  When a </w:t>
      </w:r>
      <w:proofErr w:type="spellStart"/>
      <w:r w:rsidR="00FD5924" w:rsidRPr="000D565E">
        <w:rPr>
          <w:rFonts w:asciiTheme="minorHAnsi" w:eastAsia="Times New Roman" w:hAnsiTheme="minorHAnsi" w:cstheme="minorHAnsi"/>
          <w:sz w:val="24"/>
          <w:szCs w:val="24"/>
          <w:shd w:val="clear" w:color="auto" w:fill="FFFFFF"/>
        </w:rPr>
        <w:t>SoLR</w:t>
      </w:r>
      <w:proofErr w:type="spellEnd"/>
      <w:r w:rsidR="00FD5924" w:rsidRPr="000D565E">
        <w:rPr>
          <w:rFonts w:asciiTheme="minorHAnsi" w:eastAsia="Times New Roman" w:hAnsiTheme="minorHAnsi" w:cstheme="minorHAnsi"/>
          <w:sz w:val="24"/>
          <w:szCs w:val="24"/>
          <w:shd w:val="clear" w:color="auto" w:fill="FFFFFF"/>
        </w:rPr>
        <w:t xml:space="preserve"> is appointed</w:t>
      </w:r>
      <w:r w:rsidR="00EB4A03" w:rsidRPr="000D565E">
        <w:rPr>
          <w:rFonts w:asciiTheme="minorHAnsi" w:eastAsia="Times New Roman" w:hAnsiTheme="minorHAnsi" w:cstheme="minorHAnsi"/>
          <w:sz w:val="24"/>
          <w:szCs w:val="24"/>
          <w:shd w:val="clear" w:color="auto" w:fill="FFFFFF"/>
        </w:rPr>
        <w:t>,</w:t>
      </w:r>
      <w:r w:rsidR="00FD5924" w:rsidRPr="000D565E">
        <w:rPr>
          <w:rFonts w:asciiTheme="minorHAnsi" w:eastAsia="Times New Roman" w:hAnsiTheme="minorHAnsi" w:cstheme="minorHAnsi"/>
          <w:sz w:val="24"/>
          <w:szCs w:val="24"/>
          <w:shd w:val="clear" w:color="auto" w:fill="FFFFFF"/>
        </w:rPr>
        <w:t xml:space="preserve"> the Supplier Effective Date is recorded in UK Link systems using this functionality, which in turn issues notifications to the relevant users of this information – specifically UNC parties, but this information is also available to parties accessing information services from the CDSP.</w:t>
      </w:r>
      <w:r w:rsidR="006A00F5" w:rsidRPr="000D565E">
        <w:rPr>
          <w:rFonts w:asciiTheme="minorHAnsi" w:eastAsia="Times New Roman" w:hAnsiTheme="minorHAnsi" w:cstheme="minorHAnsi"/>
          <w:sz w:val="24"/>
          <w:szCs w:val="24"/>
          <w:shd w:val="clear" w:color="auto" w:fill="FFFFFF"/>
        </w:rPr>
        <w:t xml:space="preserve">  </w:t>
      </w:r>
      <w:r w:rsidR="00471FFE" w:rsidRPr="000D565E">
        <w:rPr>
          <w:rFonts w:asciiTheme="minorHAnsi" w:eastAsia="Times New Roman" w:hAnsiTheme="minorHAnsi" w:cstheme="minorHAnsi"/>
          <w:sz w:val="24"/>
          <w:szCs w:val="24"/>
          <w:shd w:val="clear" w:color="auto" w:fill="FFFFFF"/>
        </w:rPr>
        <w:t xml:space="preserve">In a scenario where </w:t>
      </w:r>
      <w:r w:rsidR="00534268" w:rsidRPr="000D565E">
        <w:rPr>
          <w:rFonts w:asciiTheme="minorHAnsi" w:eastAsia="Times New Roman" w:hAnsiTheme="minorHAnsi" w:cstheme="minorHAnsi"/>
          <w:sz w:val="24"/>
          <w:szCs w:val="24"/>
          <w:shd w:val="clear" w:color="auto" w:fill="FFFFFF"/>
        </w:rPr>
        <w:t>the Shipper and Supplier are independent entities, f</w:t>
      </w:r>
      <w:r w:rsidR="006A00F5" w:rsidRPr="000D565E">
        <w:rPr>
          <w:rFonts w:asciiTheme="minorHAnsi" w:eastAsia="Times New Roman" w:hAnsiTheme="minorHAnsi" w:cstheme="minorHAnsi"/>
          <w:sz w:val="24"/>
          <w:szCs w:val="24"/>
          <w:shd w:val="clear" w:color="auto" w:fill="FFFFFF"/>
        </w:rPr>
        <w:t xml:space="preserve">ollowing a </w:t>
      </w:r>
      <w:proofErr w:type="spellStart"/>
      <w:r w:rsidR="006A00F5" w:rsidRPr="000D565E">
        <w:rPr>
          <w:rFonts w:asciiTheme="minorHAnsi" w:eastAsia="Times New Roman" w:hAnsiTheme="minorHAnsi" w:cstheme="minorHAnsi"/>
          <w:sz w:val="24"/>
          <w:szCs w:val="24"/>
          <w:shd w:val="clear" w:color="auto" w:fill="FFFFFF"/>
        </w:rPr>
        <w:t>SoLR</w:t>
      </w:r>
      <w:proofErr w:type="spellEnd"/>
      <w:r w:rsidR="006A00F5" w:rsidRPr="000D565E">
        <w:rPr>
          <w:rFonts w:asciiTheme="minorHAnsi" w:eastAsia="Times New Roman" w:hAnsiTheme="minorHAnsi" w:cstheme="minorHAnsi"/>
          <w:sz w:val="24"/>
          <w:szCs w:val="24"/>
          <w:shd w:val="clear" w:color="auto" w:fill="FFFFFF"/>
        </w:rPr>
        <w:t>,</w:t>
      </w:r>
      <w:r w:rsidR="00153C6A" w:rsidRPr="000D565E">
        <w:rPr>
          <w:rFonts w:asciiTheme="minorHAnsi" w:eastAsia="Times New Roman" w:hAnsiTheme="minorHAnsi" w:cstheme="minorHAnsi"/>
          <w:sz w:val="24"/>
          <w:szCs w:val="24"/>
          <w:shd w:val="clear" w:color="auto" w:fill="FFFFFF"/>
        </w:rPr>
        <w:t xml:space="preserve"> </w:t>
      </w:r>
      <w:r w:rsidR="006A00F5" w:rsidRPr="000D565E">
        <w:rPr>
          <w:rFonts w:asciiTheme="minorHAnsi" w:eastAsia="Times New Roman" w:hAnsiTheme="minorHAnsi" w:cstheme="minorHAnsi"/>
          <w:sz w:val="24"/>
          <w:szCs w:val="24"/>
          <w:shd w:val="clear" w:color="auto" w:fill="FFFFFF"/>
        </w:rPr>
        <w:t xml:space="preserve">the Shipper is required to manually intervene to apportion the Settlement invoices to the failed Supplier periods and the </w:t>
      </w:r>
      <w:proofErr w:type="spellStart"/>
      <w:r w:rsidR="006A00F5" w:rsidRPr="000D565E">
        <w:rPr>
          <w:rFonts w:asciiTheme="minorHAnsi" w:eastAsia="Times New Roman" w:hAnsiTheme="minorHAnsi" w:cstheme="minorHAnsi"/>
          <w:sz w:val="24"/>
          <w:szCs w:val="24"/>
          <w:shd w:val="clear" w:color="auto" w:fill="FFFFFF"/>
        </w:rPr>
        <w:t>SoLR</w:t>
      </w:r>
      <w:proofErr w:type="spellEnd"/>
      <w:r w:rsidR="006A410E" w:rsidRPr="000D565E">
        <w:rPr>
          <w:rFonts w:asciiTheme="minorHAnsi" w:eastAsia="Times New Roman" w:hAnsiTheme="minorHAnsi" w:cstheme="minorHAnsi"/>
          <w:sz w:val="24"/>
          <w:szCs w:val="24"/>
          <w:shd w:val="clear" w:color="auto" w:fill="FFFFFF"/>
        </w:rPr>
        <w:t>, this is required to continue until Supplier and Shipper Registration data is updated in UK Link systems.</w:t>
      </w:r>
    </w:p>
    <w:p w14:paraId="49D474F0" w14:textId="00BEDE80" w:rsidR="00726C53" w:rsidRPr="000D565E" w:rsidRDefault="00726C53" w:rsidP="00726C53">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The gas sector has not typically reassigned Market Participant Identities, therefore in order to enact the ability to do so will require a fundamental change to gas participant systems.</w:t>
      </w:r>
    </w:p>
    <w:p w14:paraId="7696F2B3" w14:textId="77777777" w:rsidR="00726C53" w:rsidRPr="000D565E" w:rsidRDefault="00726C53" w:rsidP="009F103C">
      <w:pPr>
        <w:spacing w:line="360" w:lineRule="auto"/>
        <w:jc w:val="both"/>
        <w:rPr>
          <w:rFonts w:asciiTheme="minorHAnsi" w:eastAsia="Times New Roman" w:hAnsiTheme="minorHAnsi" w:cstheme="minorHAnsi"/>
          <w:sz w:val="24"/>
          <w:szCs w:val="24"/>
          <w:shd w:val="clear" w:color="auto" w:fill="FFFFFF"/>
        </w:rPr>
      </w:pPr>
    </w:p>
    <w:p w14:paraId="17E9C33A" w14:textId="53EC481D" w:rsidR="00FD5924" w:rsidRPr="000D565E" w:rsidRDefault="0071000E" w:rsidP="009F103C">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lastRenderedPageBreak/>
        <w:t xml:space="preserve">At present this is managed with a different Market Participant Identity and effective start / end dates within the organisational history.  </w:t>
      </w:r>
      <w:r w:rsidR="00705B28" w:rsidRPr="000D565E">
        <w:rPr>
          <w:rFonts w:asciiTheme="minorHAnsi" w:eastAsia="Times New Roman" w:hAnsiTheme="minorHAnsi" w:cstheme="minorHAnsi"/>
          <w:sz w:val="24"/>
          <w:szCs w:val="24"/>
          <w:shd w:val="clear" w:color="auto" w:fill="FFFFFF"/>
        </w:rPr>
        <w:t xml:space="preserve">The </w:t>
      </w:r>
      <w:r w:rsidR="000842BF" w:rsidRPr="000D565E">
        <w:rPr>
          <w:rFonts w:asciiTheme="minorHAnsi" w:eastAsia="Times New Roman" w:hAnsiTheme="minorHAnsi" w:cstheme="minorHAnsi"/>
          <w:sz w:val="24"/>
          <w:szCs w:val="24"/>
          <w:shd w:val="clear" w:color="auto" w:fill="FFFFFF"/>
        </w:rPr>
        <w:t xml:space="preserve">proposed </w:t>
      </w:r>
      <w:r w:rsidR="00705B28" w:rsidRPr="000D565E">
        <w:rPr>
          <w:rFonts w:asciiTheme="minorHAnsi" w:eastAsia="Times New Roman" w:hAnsiTheme="minorHAnsi" w:cstheme="minorHAnsi"/>
          <w:sz w:val="24"/>
          <w:szCs w:val="24"/>
          <w:shd w:val="clear" w:color="auto" w:fill="FFFFFF"/>
        </w:rPr>
        <w:t>reassignment of the Market Participant Identity</w:t>
      </w:r>
      <w:r w:rsidR="005F305E" w:rsidRPr="000D565E">
        <w:rPr>
          <w:rFonts w:asciiTheme="minorHAnsi" w:eastAsia="Times New Roman" w:hAnsiTheme="minorHAnsi" w:cstheme="minorHAnsi"/>
          <w:sz w:val="24"/>
          <w:szCs w:val="24"/>
          <w:shd w:val="clear" w:color="auto" w:fill="FFFFFF"/>
        </w:rPr>
        <w:t xml:space="preserve"> </w:t>
      </w:r>
      <w:r w:rsidR="000842BF" w:rsidRPr="000D565E">
        <w:rPr>
          <w:rFonts w:asciiTheme="minorHAnsi" w:eastAsia="Times New Roman" w:hAnsiTheme="minorHAnsi" w:cstheme="minorHAnsi"/>
          <w:sz w:val="24"/>
          <w:szCs w:val="24"/>
          <w:shd w:val="clear" w:color="auto" w:fill="FFFFFF"/>
        </w:rPr>
        <w:t xml:space="preserve">post CSS </w:t>
      </w:r>
      <w:r w:rsidR="005F305E" w:rsidRPr="000D565E">
        <w:rPr>
          <w:rFonts w:asciiTheme="minorHAnsi" w:eastAsia="Times New Roman" w:hAnsiTheme="minorHAnsi" w:cstheme="minorHAnsi"/>
          <w:sz w:val="24"/>
          <w:szCs w:val="24"/>
          <w:shd w:val="clear" w:color="auto" w:fill="FFFFFF"/>
        </w:rPr>
        <w:t xml:space="preserve">will not issue </w:t>
      </w:r>
      <w:r w:rsidR="00BA1EAE" w:rsidRPr="000D565E">
        <w:rPr>
          <w:rFonts w:asciiTheme="minorHAnsi" w:eastAsia="Times New Roman" w:hAnsiTheme="minorHAnsi" w:cstheme="minorHAnsi"/>
          <w:sz w:val="24"/>
          <w:szCs w:val="24"/>
          <w:shd w:val="clear" w:color="auto" w:fill="FFFFFF"/>
        </w:rPr>
        <w:t xml:space="preserve">individual Meter Point level </w:t>
      </w:r>
      <w:r w:rsidR="005F305E" w:rsidRPr="000D565E">
        <w:rPr>
          <w:rFonts w:asciiTheme="minorHAnsi" w:eastAsia="Times New Roman" w:hAnsiTheme="minorHAnsi" w:cstheme="minorHAnsi"/>
          <w:sz w:val="24"/>
          <w:szCs w:val="24"/>
          <w:shd w:val="clear" w:color="auto" w:fill="FFFFFF"/>
        </w:rPr>
        <w:t>notices to users</w:t>
      </w:r>
      <w:r w:rsidR="00726C53" w:rsidRPr="000D565E">
        <w:rPr>
          <w:rFonts w:asciiTheme="minorHAnsi" w:eastAsia="Times New Roman" w:hAnsiTheme="minorHAnsi" w:cstheme="minorHAnsi"/>
          <w:sz w:val="24"/>
          <w:szCs w:val="24"/>
          <w:shd w:val="clear" w:color="auto" w:fill="FFFFFF"/>
        </w:rPr>
        <w:t>, including the Gas Retail Data Agent (which is the REC interface to the UK Link system)</w:t>
      </w:r>
      <w:r w:rsidR="005F305E" w:rsidRPr="000D565E">
        <w:rPr>
          <w:rFonts w:asciiTheme="minorHAnsi" w:eastAsia="Times New Roman" w:hAnsiTheme="minorHAnsi" w:cstheme="minorHAnsi"/>
          <w:sz w:val="24"/>
          <w:szCs w:val="24"/>
          <w:shd w:val="clear" w:color="auto" w:fill="FFFFFF"/>
        </w:rPr>
        <w:t xml:space="preserve">and </w:t>
      </w:r>
      <w:r w:rsidR="00726C53" w:rsidRPr="000D565E">
        <w:rPr>
          <w:rFonts w:asciiTheme="minorHAnsi" w:eastAsia="Times New Roman" w:hAnsiTheme="minorHAnsi" w:cstheme="minorHAnsi"/>
          <w:sz w:val="24"/>
          <w:szCs w:val="24"/>
          <w:shd w:val="clear" w:color="auto" w:fill="FFFFFF"/>
        </w:rPr>
        <w:t xml:space="preserve">therefore requires the Central Gas Systems to generate these notices to Distribution Networks and Independent Gas Transporters.  It </w:t>
      </w:r>
      <w:r w:rsidR="005F305E" w:rsidRPr="000D565E">
        <w:rPr>
          <w:rFonts w:asciiTheme="minorHAnsi" w:eastAsia="Times New Roman" w:hAnsiTheme="minorHAnsi" w:cstheme="minorHAnsi"/>
          <w:sz w:val="24"/>
          <w:szCs w:val="24"/>
          <w:shd w:val="clear" w:color="auto" w:fill="FFFFFF"/>
        </w:rPr>
        <w:t xml:space="preserve">also requires amendments to UK Link systems to ensure that there is a clear demarcation of responsibility prior to and following the appointment of an alternative Supplier entity after the </w:t>
      </w:r>
      <w:proofErr w:type="spellStart"/>
      <w:r w:rsidR="005F305E" w:rsidRPr="000D565E">
        <w:rPr>
          <w:rFonts w:asciiTheme="minorHAnsi" w:eastAsia="Times New Roman" w:hAnsiTheme="minorHAnsi" w:cstheme="minorHAnsi"/>
          <w:sz w:val="24"/>
          <w:szCs w:val="24"/>
          <w:shd w:val="clear" w:color="auto" w:fill="FFFFFF"/>
        </w:rPr>
        <w:t>SoLR</w:t>
      </w:r>
      <w:proofErr w:type="spellEnd"/>
      <w:r w:rsidR="005F305E" w:rsidRPr="000D565E">
        <w:rPr>
          <w:rFonts w:asciiTheme="minorHAnsi" w:eastAsia="Times New Roman" w:hAnsiTheme="minorHAnsi" w:cstheme="minorHAnsi"/>
          <w:sz w:val="24"/>
          <w:szCs w:val="24"/>
          <w:shd w:val="clear" w:color="auto" w:fill="FFFFFF"/>
        </w:rPr>
        <w:t xml:space="preserve"> effective date.  </w:t>
      </w:r>
      <w:r w:rsidRPr="000D565E">
        <w:rPr>
          <w:rFonts w:asciiTheme="minorHAnsi" w:eastAsia="Times New Roman" w:hAnsiTheme="minorHAnsi" w:cstheme="minorHAnsi"/>
          <w:sz w:val="24"/>
          <w:szCs w:val="24"/>
          <w:shd w:val="clear" w:color="auto" w:fill="FFFFFF"/>
        </w:rPr>
        <w:t xml:space="preserve">This distinction regarding the start and end of a given organisation’s responsibility is necessary to prevent inappropriate release of Protected Information (as defined under the Uniform Network Code (UNC)) </w:t>
      </w:r>
      <w:r w:rsidR="000842BF" w:rsidRPr="000D565E">
        <w:rPr>
          <w:rFonts w:asciiTheme="minorHAnsi" w:eastAsia="Times New Roman" w:hAnsiTheme="minorHAnsi" w:cstheme="minorHAnsi"/>
          <w:sz w:val="24"/>
          <w:szCs w:val="24"/>
          <w:shd w:val="clear" w:color="auto" w:fill="FFFFFF"/>
        </w:rPr>
        <w:t>to the wrong Market Participant.</w:t>
      </w:r>
    </w:p>
    <w:p w14:paraId="7DF347D5" w14:textId="77777777" w:rsidR="005F305E" w:rsidRPr="000D565E" w:rsidRDefault="005F305E" w:rsidP="009F103C">
      <w:pPr>
        <w:spacing w:line="360" w:lineRule="auto"/>
        <w:jc w:val="both"/>
        <w:rPr>
          <w:rFonts w:asciiTheme="minorHAnsi" w:eastAsia="Times New Roman" w:hAnsiTheme="minorHAnsi" w:cstheme="minorHAnsi"/>
          <w:sz w:val="24"/>
          <w:szCs w:val="24"/>
          <w:shd w:val="clear" w:color="auto" w:fill="FFFFFF"/>
        </w:rPr>
      </w:pPr>
    </w:p>
    <w:p w14:paraId="1B548004" w14:textId="77777777" w:rsidR="00A42861" w:rsidRPr="000D565E" w:rsidRDefault="005F305E" w:rsidP="009F103C">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 xml:space="preserve">Shippers have a significant role within the gas sector.  </w:t>
      </w:r>
      <w:r w:rsidR="006A410E" w:rsidRPr="000D565E">
        <w:rPr>
          <w:rFonts w:asciiTheme="minorHAnsi" w:eastAsia="Times New Roman" w:hAnsiTheme="minorHAnsi" w:cstheme="minorHAnsi"/>
          <w:sz w:val="24"/>
          <w:szCs w:val="24"/>
          <w:shd w:val="clear" w:color="auto" w:fill="FFFFFF"/>
        </w:rPr>
        <w:t>Under DB4</w:t>
      </w:r>
      <w:r w:rsidRPr="000D565E">
        <w:rPr>
          <w:rFonts w:asciiTheme="minorHAnsi" w:eastAsia="Times New Roman" w:hAnsiTheme="minorHAnsi" w:cstheme="minorHAnsi"/>
          <w:sz w:val="24"/>
          <w:szCs w:val="24"/>
          <w:shd w:val="clear" w:color="auto" w:fill="FFFFFF"/>
        </w:rPr>
        <w:t xml:space="preserve"> it is not proposed to re-assign the Shipper identity, in which case a </w:t>
      </w:r>
      <w:r w:rsidR="006A00F5" w:rsidRPr="000D565E">
        <w:rPr>
          <w:rFonts w:asciiTheme="minorHAnsi" w:eastAsia="Times New Roman" w:hAnsiTheme="minorHAnsi" w:cstheme="minorHAnsi"/>
          <w:sz w:val="24"/>
          <w:szCs w:val="24"/>
          <w:shd w:val="clear" w:color="auto" w:fill="FFFFFF"/>
        </w:rPr>
        <w:t>R</w:t>
      </w:r>
      <w:r w:rsidRPr="000D565E">
        <w:rPr>
          <w:rFonts w:asciiTheme="minorHAnsi" w:eastAsia="Times New Roman" w:hAnsiTheme="minorHAnsi" w:cstheme="minorHAnsi"/>
          <w:sz w:val="24"/>
          <w:szCs w:val="24"/>
          <w:shd w:val="clear" w:color="auto" w:fill="FFFFFF"/>
        </w:rPr>
        <w:t>egistration transaction would still be required to effect the Change of Shipper</w:t>
      </w:r>
      <w:r w:rsidR="00BA1EAE" w:rsidRPr="000D565E">
        <w:rPr>
          <w:rFonts w:asciiTheme="minorHAnsi" w:eastAsia="Times New Roman" w:hAnsiTheme="minorHAnsi" w:cstheme="minorHAnsi"/>
          <w:sz w:val="24"/>
          <w:szCs w:val="24"/>
          <w:shd w:val="clear" w:color="auto" w:fill="FFFFFF"/>
        </w:rPr>
        <w:t xml:space="preserve"> via CSS</w:t>
      </w:r>
      <w:r w:rsidRPr="000D565E">
        <w:rPr>
          <w:rFonts w:asciiTheme="minorHAnsi" w:eastAsia="Times New Roman" w:hAnsiTheme="minorHAnsi" w:cstheme="minorHAnsi"/>
          <w:sz w:val="24"/>
          <w:szCs w:val="24"/>
          <w:shd w:val="clear" w:color="auto" w:fill="FFFFFF"/>
        </w:rPr>
        <w:t>.</w:t>
      </w:r>
      <w:r w:rsidR="000E1202" w:rsidRPr="000D565E">
        <w:rPr>
          <w:rFonts w:asciiTheme="minorHAnsi" w:eastAsia="Times New Roman" w:hAnsiTheme="minorHAnsi" w:cstheme="minorHAnsi"/>
          <w:sz w:val="24"/>
          <w:szCs w:val="24"/>
          <w:shd w:val="clear" w:color="auto" w:fill="FFFFFF"/>
        </w:rPr>
        <w:t xml:space="preserve">  Until such a transaction occurs then </w:t>
      </w:r>
      <w:r w:rsidR="00FE470D" w:rsidRPr="000D565E">
        <w:rPr>
          <w:rFonts w:asciiTheme="minorHAnsi" w:eastAsia="Times New Roman" w:hAnsiTheme="minorHAnsi" w:cstheme="minorHAnsi"/>
          <w:sz w:val="24"/>
          <w:szCs w:val="24"/>
          <w:shd w:val="clear" w:color="auto" w:fill="FFFFFF"/>
        </w:rPr>
        <w:t>Settlement processes have significant</w:t>
      </w:r>
      <w:r w:rsidR="000E1202" w:rsidRPr="000D565E">
        <w:rPr>
          <w:rFonts w:asciiTheme="minorHAnsi" w:eastAsia="Times New Roman" w:hAnsiTheme="minorHAnsi" w:cstheme="minorHAnsi"/>
          <w:sz w:val="24"/>
          <w:szCs w:val="24"/>
          <w:shd w:val="clear" w:color="auto" w:fill="FFFFFF"/>
        </w:rPr>
        <w:t xml:space="preserve"> manual intervention </w:t>
      </w:r>
      <w:r w:rsidR="00FE470D" w:rsidRPr="000D565E">
        <w:rPr>
          <w:rFonts w:asciiTheme="minorHAnsi" w:eastAsia="Times New Roman" w:hAnsiTheme="minorHAnsi" w:cstheme="minorHAnsi"/>
          <w:sz w:val="24"/>
          <w:szCs w:val="24"/>
          <w:shd w:val="clear" w:color="auto" w:fill="FFFFFF"/>
        </w:rPr>
        <w:t>by the CDSP and the Shippers currently</w:t>
      </w:r>
      <w:r w:rsidR="00A42861" w:rsidRPr="000D565E">
        <w:rPr>
          <w:rFonts w:asciiTheme="minorHAnsi" w:eastAsia="Times New Roman" w:hAnsiTheme="minorHAnsi" w:cstheme="minorHAnsi"/>
          <w:sz w:val="24"/>
          <w:szCs w:val="24"/>
          <w:shd w:val="clear" w:color="auto" w:fill="FFFFFF"/>
        </w:rPr>
        <w:t xml:space="preserve">.  </w:t>
      </w:r>
    </w:p>
    <w:p w14:paraId="13BFE668" w14:textId="60034DFB" w:rsidR="000E1202" w:rsidRPr="000D565E" w:rsidRDefault="00A42861" w:rsidP="009F103C">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Where both the</w:t>
      </w:r>
      <w:r w:rsidR="00A55EB7" w:rsidRPr="000D565E">
        <w:rPr>
          <w:rFonts w:asciiTheme="minorHAnsi" w:eastAsia="Times New Roman" w:hAnsiTheme="minorHAnsi" w:cstheme="minorHAnsi"/>
          <w:sz w:val="24"/>
          <w:szCs w:val="24"/>
          <w:shd w:val="clear" w:color="auto" w:fill="FFFFFF"/>
        </w:rPr>
        <w:t xml:space="preserve"> </w:t>
      </w:r>
      <w:r w:rsidR="00BA1EAE" w:rsidRPr="000D565E">
        <w:rPr>
          <w:rFonts w:asciiTheme="minorHAnsi" w:eastAsia="Times New Roman" w:hAnsiTheme="minorHAnsi" w:cstheme="minorHAnsi"/>
          <w:sz w:val="24"/>
          <w:szCs w:val="24"/>
          <w:shd w:val="clear" w:color="auto" w:fill="FFFFFF"/>
        </w:rPr>
        <w:t>Shipper and Supplier fail</w:t>
      </w:r>
      <w:r w:rsidRPr="000D565E">
        <w:rPr>
          <w:rFonts w:asciiTheme="minorHAnsi" w:eastAsia="Times New Roman" w:hAnsiTheme="minorHAnsi" w:cstheme="minorHAnsi"/>
          <w:sz w:val="24"/>
          <w:szCs w:val="24"/>
          <w:shd w:val="clear" w:color="auto" w:fill="FFFFFF"/>
        </w:rPr>
        <w:t xml:space="preserve">s, currently the </w:t>
      </w:r>
      <w:proofErr w:type="spellStart"/>
      <w:r w:rsidRPr="000D565E">
        <w:rPr>
          <w:rFonts w:asciiTheme="minorHAnsi" w:eastAsia="Times New Roman" w:hAnsiTheme="minorHAnsi" w:cstheme="minorHAnsi"/>
          <w:sz w:val="24"/>
          <w:szCs w:val="24"/>
          <w:shd w:val="clear" w:color="auto" w:fill="FFFFFF"/>
        </w:rPr>
        <w:t>SoLR</w:t>
      </w:r>
      <w:proofErr w:type="spellEnd"/>
      <w:r w:rsidRPr="000D565E">
        <w:rPr>
          <w:rFonts w:asciiTheme="minorHAnsi" w:eastAsia="Times New Roman" w:hAnsiTheme="minorHAnsi" w:cstheme="minorHAnsi"/>
          <w:sz w:val="24"/>
          <w:szCs w:val="24"/>
          <w:shd w:val="clear" w:color="auto" w:fill="FFFFFF"/>
        </w:rPr>
        <w:t xml:space="preserve"> is appointed and the Deed of Undertaking is invoked so that the </w:t>
      </w:r>
      <w:proofErr w:type="spellStart"/>
      <w:r w:rsidRPr="000D565E">
        <w:rPr>
          <w:rFonts w:asciiTheme="minorHAnsi" w:eastAsia="Times New Roman" w:hAnsiTheme="minorHAnsi" w:cstheme="minorHAnsi"/>
          <w:sz w:val="24"/>
          <w:szCs w:val="24"/>
          <w:shd w:val="clear" w:color="auto" w:fill="FFFFFF"/>
        </w:rPr>
        <w:t>SoLR</w:t>
      </w:r>
      <w:proofErr w:type="spellEnd"/>
      <w:r w:rsidRPr="000D565E">
        <w:rPr>
          <w:rFonts w:asciiTheme="minorHAnsi" w:eastAsia="Times New Roman" w:hAnsiTheme="minorHAnsi" w:cstheme="minorHAnsi"/>
          <w:sz w:val="24"/>
          <w:szCs w:val="24"/>
          <w:shd w:val="clear" w:color="auto" w:fill="FFFFFF"/>
        </w:rPr>
        <w:t xml:space="preserve"> takes on the responsibilities of the terminated Shipper.  This requires the CDSP to manually issue invoices to the Supplier until such time as the Registration activities have been undertaken to move the </w:t>
      </w:r>
      <w:proofErr w:type="spellStart"/>
      <w:r w:rsidRPr="000D565E">
        <w:rPr>
          <w:rFonts w:asciiTheme="minorHAnsi" w:eastAsia="Times New Roman" w:hAnsiTheme="minorHAnsi" w:cstheme="minorHAnsi"/>
          <w:sz w:val="24"/>
          <w:szCs w:val="24"/>
          <w:shd w:val="clear" w:color="auto" w:fill="FFFFFF"/>
        </w:rPr>
        <w:t>SoLR</w:t>
      </w:r>
      <w:proofErr w:type="spellEnd"/>
      <w:r w:rsidRPr="000D565E">
        <w:rPr>
          <w:rFonts w:asciiTheme="minorHAnsi" w:eastAsia="Times New Roman" w:hAnsiTheme="minorHAnsi" w:cstheme="minorHAnsi"/>
          <w:sz w:val="24"/>
          <w:szCs w:val="24"/>
          <w:shd w:val="clear" w:color="auto" w:fill="FFFFFF"/>
        </w:rPr>
        <w:t xml:space="preserve"> portfolio to the Shipper chosen by the </w:t>
      </w:r>
      <w:proofErr w:type="spellStart"/>
      <w:r w:rsidRPr="000D565E">
        <w:rPr>
          <w:rFonts w:asciiTheme="minorHAnsi" w:eastAsia="Times New Roman" w:hAnsiTheme="minorHAnsi" w:cstheme="minorHAnsi"/>
          <w:sz w:val="24"/>
          <w:szCs w:val="24"/>
          <w:shd w:val="clear" w:color="auto" w:fill="FFFFFF"/>
        </w:rPr>
        <w:t>SoLR</w:t>
      </w:r>
      <w:proofErr w:type="spellEnd"/>
      <w:r w:rsidRPr="000D565E">
        <w:rPr>
          <w:rFonts w:asciiTheme="minorHAnsi" w:eastAsia="Times New Roman" w:hAnsiTheme="minorHAnsi" w:cstheme="minorHAnsi"/>
          <w:sz w:val="24"/>
          <w:szCs w:val="24"/>
          <w:shd w:val="clear" w:color="auto" w:fill="FFFFFF"/>
        </w:rPr>
        <w:t>.</w:t>
      </w:r>
    </w:p>
    <w:p w14:paraId="43F6EC29" w14:textId="77777777" w:rsidR="00EC7860" w:rsidRPr="000D565E" w:rsidRDefault="00EC7860" w:rsidP="005F305E">
      <w:pPr>
        <w:spacing w:line="360" w:lineRule="auto"/>
        <w:jc w:val="both"/>
        <w:rPr>
          <w:rStyle w:val="SubtleEmphasis"/>
          <w:rFonts w:asciiTheme="majorHAnsi" w:eastAsiaTheme="majorEastAsia" w:hAnsiTheme="majorHAnsi" w:cstheme="majorBidi"/>
          <w:i w:val="0"/>
          <w:iCs w:val="0"/>
          <w:color w:val="2F5496" w:themeColor="accent1" w:themeShade="BF"/>
          <w:sz w:val="32"/>
          <w:szCs w:val="32"/>
        </w:rPr>
      </w:pPr>
    </w:p>
    <w:p w14:paraId="18C963F3" w14:textId="77777777" w:rsidR="00F57535" w:rsidRPr="000D565E" w:rsidRDefault="00F57535">
      <w:pPr>
        <w:spacing w:after="160" w:line="259" w:lineRule="auto"/>
        <w:rPr>
          <w:rStyle w:val="SubtleEmphasis"/>
          <w:rFonts w:asciiTheme="majorHAnsi" w:eastAsiaTheme="majorEastAsia" w:hAnsiTheme="majorHAnsi" w:cstheme="majorBidi"/>
          <w:i w:val="0"/>
          <w:iCs w:val="0"/>
          <w:color w:val="2F5496" w:themeColor="accent1" w:themeShade="BF"/>
          <w:sz w:val="32"/>
          <w:szCs w:val="32"/>
        </w:rPr>
      </w:pPr>
      <w:r w:rsidRPr="000D565E">
        <w:rPr>
          <w:rStyle w:val="SubtleEmphasis"/>
          <w:rFonts w:asciiTheme="majorHAnsi" w:eastAsiaTheme="majorEastAsia" w:hAnsiTheme="majorHAnsi" w:cstheme="majorBidi"/>
          <w:i w:val="0"/>
          <w:iCs w:val="0"/>
          <w:color w:val="2F5496" w:themeColor="accent1" w:themeShade="BF"/>
          <w:sz w:val="32"/>
          <w:szCs w:val="32"/>
        </w:rPr>
        <w:br w:type="page"/>
      </w:r>
    </w:p>
    <w:p w14:paraId="72CECC90" w14:textId="4653D2C3" w:rsidR="005F305E" w:rsidRPr="000D565E" w:rsidRDefault="005F305E" w:rsidP="005F305E">
      <w:pPr>
        <w:spacing w:line="360" w:lineRule="auto"/>
        <w:jc w:val="both"/>
        <w:rPr>
          <w:rFonts w:asciiTheme="minorHAnsi" w:eastAsia="Times New Roman" w:hAnsiTheme="minorHAnsi" w:cstheme="minorHAnsi"/>
          <w:sz w:val="24"/>
          <w:szCs w:val="24"/>
          <w:shd w:val="clear" w:color="auto" w:fill="FFFFFF"/>
        </w:rPr>
      </w:pPr>
      <w:r w:rsidRPr="000D565E">
        <w:rPr>
          <w:rStyle w:val="SubtleEmphasis"/>
          <w:rFonts w:asciiTheme="majorHAnsi" w:eastAsiaTheme="majorEastAsia" w:hAnsiTheme="majorHAnsi" w:cstheme="majorBidi"/>
          <w:i w:val="0"/>
          <w:iCs w:val="0"/>
          <w:color w:val="2F5496" w:themeColor="accent1" w:themeShade="BF"/>
          <w:sz w:val="32"/>
          <w:szCs w:val="32"/>
        </w:rPr>
        <w:lastRenderedPageBreak/>
        <w:t>Options</w:t>
      </w:r>
      <w:r w:rsidRPr="000D565E">
        <w:rPr>
          <w:rFonts w:asciiTheme="minorHAnsi" w:eastAsia="Times New Roman" w:hAnsiTheme="minorHAnsi" w:cstheme="minorHAnsi"/>
          <w:sz w:val="24"/>
          <w:szCs w:val="24"/>
          <w:shd w:val="clear" w:color="auto" w:fill="FFFFFF"/>
        </w:rPr>
        <w:t xml:space="preserve"> </w:t>
      </w:r>
    </w:p>
    <w:p w14:paraId="028AB131" w14:textId="77777777" w:rsidR="005F305E" w:rsidRPr="000D565E" w:rsidRDefault="005F305E" w:rsidP="005F305E">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The CDSP undertook a preliminary feasibility assessment of options</w:t>
      </w:r>
      <w:r w:rsidR="00BA1EAE" w:rsidRPr="000D565E">
        <w:rPr>
          <w:rFonts w:asciiTheme="minorHAnsi" w:eastAsia="Times New Roman" w:hAnsiTheme="minorHAnsi" w:cstheme="minorHAnsi"/>
          <w:sz w:val="24"/>
          <w:szCs w:val="24"/>
          <w:shd w:val="clear" w:color="auto" w:fill="FFFFFF"/>
        </w:rPr>
        <w:t xml:space="preserve">.  </w:t>
      </w:r>
      <w:r w:rsidRPr="000D565E">
        <w:rPr>
          <w:rFonts w:asciiTheme="minorHAnsi" w:eastAsia="Times New Roman" w:hAnsiTheme="minorHAnsi" w:cstheme="minorHAnsi"/>
          <w:sz w:val="24"/>
          <w:szCs w:val="24"/>
          <w:shd w:val="clear" w:color="auto" w:fill="FFFFFF"/>
        </w:rPr>
        <w:t xml:space="preserve">This preliminary assessment is included as an Appendix for information.  Any options discounted during this feasibility assessment </w:t>
      </w:r>
      <w:r w:rsidR="00BA1EAE" w:rsidRPr="000D565E">
        <w:rPr>
          <w:rFonts w:asciiTheme="minorHAnsi" w:eastAsia="Times New Roman" w:hAnsiTheme="minorHAnsi" w:cstheme="minorHAnsi"/>
          <w:sz w:val="24"/>
          <w:szCs w:val="24"/>
          <w:shd w:val="clear" w:color="auto" w:fill="FFFFFF"/>
        </w:rPr>
        <w:t xml:space="preserve">are listed but </w:t>
      </w:r>
      <w:r w:rsidRPr="000D565E">
        <w:rPr>
          <w:rFonts w:asciiTheme="minorHAnsi" w:eastAsia="Times New Roman" w:hAnsiTheme="minorHAnsi" w:cstheme="minorHAnsi"/>
          <w:sz w:val="24"/>
          <w:szCs w:val="24"/>
          <w:shd w:val="clear" w:color="auto" w:fill="FFFFFF"/>
        </w:rPr>
        <w:t>a</w:t>
      </w:r>
      <w:r w:rsidR="003D3A4A" w:rsidRPr="000D565E">
        <w:rPr>
          <w:rFonts w:asciiTheme="minorHAnsi" w:eastAsia="Times New Roman" w:hAnsiTheme="minorHAnsi" w:cstheme="minorHAnsi"/>
          <w:sz w:val="24"/>
          <w:szCs w:val="24"/>
          <w:shd w:val="clear" w:color="auto" w:fill="FFFFFF"/>
        </w:rPr>
        <w:t xml:space="preserve">re </w:t>
      </w:r>
      <w:r w:rsidRPr="000D565E">
        <w:rPr>
          <w:rFonts w:asciiTheme="minorHAnsi" w:eastAsia="Times New Roman" w:hAnsiTheme="minorHAnsi" w:cstheme="minorHAnsi"/>
          <w:sz w:val="24"/>
          <w:szCs w:val="24"/>
          <w:shd w:val="clear" w:color="auto" w:fill="FFFFFF"/>
        </w:rPr>
        <w:t xml:space="preserve">not explored in further detail within this paper.  The reasons why an option has been discounted is summarised in the Appendix.  </w:t>
      </w:r>
    </w:p>
    <w:p w14:paraId="1DBC6877" w14:textId="77777777" w:rsidR="005F305E" w:rsidRPr="000D565E" w:rsidRDefault="005F305E" w:rsidP="005F305E">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The remaining options that the CDSP [and Ofgem] have considered to address the problem statement are detailed below:</w:t>
      </w:r>
    </w:p>
    <w:p w14:paraId="60005188" w14:textId="77777777" w:rsidR="005F305E" w:rsidRPr="000D565E" w:rsidRDefault="005F305E" w:rsidP="005F305E">
      <w:pPr>
        <w:pStyle w:val="ListParagraph"/>
        <w:numPr>
          <w:ilvl w:val="0"/>
          <w:numId w:val="49"/>
        </w:num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MPID / Supplier Short Code Re assignment as per DB4 baseline / implement XRN5144 (shown as Option 1 in the table in the Appendix)</w:t>
      </w:r>
    </w:p>
    <w:p w14:paraId="0744B703" w14:textId="35879557" w:rsidR="005F305E" w:rsidRPr="000D565E" w:rsidRDefault="0021140F" w:rsidP="005F305E">
      <w:pPr>
        <w:pStyle w:val="ListParagraph"/>
        <w:numPr>
          <w:ilvl w:val="0"/>
          <w:numId w:val="49"/>
        </w:num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Submission and processing of switch requests</w:t>
      </w:r>
      <w:r w:rsidR="00A55EB7" w:rsidRPr="000D565E">
        <w:rPr>
          <w:rFonts w:asciiTheme="minorHAnsi" w:eastAsia="Times New Roman" w:hAnsiTheme="minorHAnsi" w:cstheme="minorHAnsi"/>
          <w:sz w:val="24"/>
          <w:szCs w:val="24"/>
          <w:shd w:val="clear" w:color="auto" w:fill="FFFFFF"/>
        </w:rPr>
        <w:t xml:space="preserve"> by the </w:t>
      </w:r>
      <w:proofErr w:type="spellStart"/>
      <w:r w:rsidR="00A55EB7" w:rsidRPr="000D565E">
        <w:rPr>
          <w:rFonts w:asciiTheme="minorHAnsi" w:eastAsia="Times New Roman" w:hAnsiTheme="minorHAnsi" w:cstheme="minorHAnsi"/>
          <w:sz w:val="24"/>
          <w:szCs w:val="24"/>
          <w:shd w:val="clear" w:color="auto" w:fill="FFFFFF"/>
        </w:rPr>
        <w:t>SoLR</w:t>
      </w:r>
      <w:proofErr w:type="spellEnd"/>
      <w:r w:rsidRPr="000D565E">
        <w:rPr>
          <w:rFonts w:asciiTheme="minorHAnsi" w:eastAsia="Times New Roman" w:hAnsiTheme="minorHAnsi" w:cstheme="minorHAnsi"/>
          <w:sz w:val="24"/>
          <w:szCs w:val="24"/>
          <w:shd w:val="clear" w:color="auto" w:fill="FFFFFF"/>
        </w:rPr>
        <w:t xml:space="preserve"> over </w:t>
      </w:r>
      <w:proofErr w:type="gramStart"/>
      <w:r w:rsidRPr="000D565E">
        <w:rPr>
          <w:rFonts w:asciiTheme="minorHAnsi" w:eastAsia="Times New Roman" w:hAnsiTheme="minorHAnsi" w:cstheme="minorHAnsi"/>
          <w:sz w:val="24"/>
          <w:szCs w:val="24"/>
          <w:shd w:val="clear" w:color="auto" w:fill="FFFFFF"/>
        </w:rPr>
        <w:t>a number of</w:t>
      </w:r>
      <w:proofErr w:type="gramEnd"/>
      <w:r w:rsidRPr="000D565E">
        <w:rPr>
          <w:rFonts w:asciiTheme="minorHAnsi" w:eastAsia="Times New Roman" w:hAnsiTheme="minorHAnsi" w:cstheme="minorHAnsi"/>
          <w:sz w:val="24"/>
          <w:szCs w:val="24"/>
          <w:shd w:val="clear" w:color="auto" w:fill="FFFFFF"/>
        </w:rPr>
        <w:t xml:space="preserve"> days, but below the CSS NFR daily Peak of Peaks, to give effect to the </w:t>
      </w:r>
      <w:proofErr w:type="spellStart"/>
      <w:r w:rsidRPr="000D565E">
        <w:rPr>
          <w:rFonts w:asciiTheme="minorHAnsi" w:eastAsia="Times New Roman" w:hAnsiTheme="minorHAnsi" w:cstheme="minorHAnsi"/>
          <w:sz w:val="24"/>
          <w:szCs w:val="24"/>
          <w:shd w:val="clear" w:color="auto" w:fill="FFFFFF"/>
        </w:rPr>
        <w:t>SoLR</w:t>
      </w:r>
      <w:proofErr w:type="spellEnd"/>
      <w:r w:rsidRPr="000D565E" w:rsidDel="0021140F">
        <w:rPr>
          <w:rFonts w:asciiTheme="minorHAnsi" w:eastAsia="Times New Roman" w:hAnsiTheme="minorHAnsi" w:cstheme="minorHAnsi"/>
          <w:sz w:val="24"/>
          <w:szCs w:val="24"/>
          <w:shd w:val="clear" w:color="auto" w:fill="FFFFFF"/>
        </w:rPr>
        <w:t xml:space="preserve"> </w:t>
      </w:r>
      <w:r w:rsidR="005F305E" w:rsidRPr="000D565E">
        <w:rPr>
          <w:rFonts w:asciiTheme="minorHAnsi" w:eastAsia="Times New Roman" w:hAnsiTheme="minorHAnsi" w:cstheme="minorHAnsi"/>
          <w:sz w:val="24"/>
          <w:szCs w:val="24"/>
          <w:shd w:val="clear" w:color="auto" w:fill="FFFFFF"/>
        </w:rPr>
        <w:t>(shown as Option 3b in the table in the Appendix)</w:t>
      </w:r>
    </w:p>
    <w:p w14:paraId="722D9114" w14:textId="77777777" w:rsidR="005F305E" w:rsidRPr="000D565E" w:rsidRDefault="005F305E" w:rsidP="005F305E">
      <w:pPr>
        <w:pStyle w:val="ListParagraph"/>
        <w:numPr>
          <w:ilvl w:val="0"/>
          <w:numId w:val="49"/>
        </w:num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 xml:space="preserve">Retain separate process within UKL for maintaining Supplier in the event of </w:t>
      </w:r>
      <w:proofErr w:type="spellStart"/>
      <w:r w:rsidRPr="000D565E">
        <w:rPr>
          <w:rFonts w:asciiTheme="minorHAnsi" w:eastAsia="Times New Roman" w:hAnsiTheme="minorHAnsi" w:cstheme="minorHAnsi"/>
          <w:sz w:val="24"/>
          <w:szCs w:val="24"/>
          <w:shd w:val="clear" w:color="auto" w:fill="FFFFFF"/>
        </w:rPr>
        <w:t>SoLR</w:t>
      </w:r>
      <w:proofErr w:type="spellEnd"/>
      <w:r w:rsidRPr="000D565E">
        <w:rPr>
          <w:rFonts w:asciiTheme="minorHAnsi" w:eastAsia="Times New Roman" w:hAnsiTheme="minorHAnsi" w:cstheme="minorHAnsi"/>
          <w:sz w:val="24"/>
          <w:szCs w:val="24"/>
          <w:shd w:val="clear" w:color="auto" w:fill="FFFFFF"/>
        </w:rPr>
        <w:t xml:space="preserve"> event – retrospectively insert a break into the UKL history AND revert to original Supplier Id for </w:t>
      </w:r>
      <w:proofErr w:type="spellStart"/>
      <w:r w:rsidRPr="000D565E">
        <w:rPr>
          <w:rFonts w:asciiTheme="minorHAnsi" w:eastAsia="Times New Roman" w:hAnsiTheme="minorHAnsi" w:cstheme="minorHAnsi"/>
          <w:sz w:val="24"/>
          <w:szCs w:val="24"/>
          <w:shd w:val="clear" w:color="auto" w:fill="FFFFFF"/>
        </w:rPr>
        <w:t>SoLR</w:t>
      </w:r>
      <w:proofErr w:type="spellEnd"/>
      <w:r w:rsidRPr="000D565E">
        <w:rPr>
          <w:rFonts w:asciiTheme="minorHAnsi" w:eastAsia="Times New Roman" w:hAnsiTheme="minorHAnsi" w:cstheme="minorHAnsi"/>
          <w:sz w:val="24"/>
          <w:szCs w:val="24"/>
          <w:shd w:val="clear" w:color="auto" w:fill="FFFFFF"/>
        </w:rPr>
        <w:t xml:space="preserve"> (shown as Option 4a in the table in the Appendix).</w:t>
      </w:r>
    </w:p>
    <w:p w14:paraId="5923A5CC" w14:textId="77777777" w:rsidR="005F305E" w:rsidRPr="000D565E" w:rsidRDefault="005F305E" w:rsidP="005F305E">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Further detail on the options and the risks presented are included later in the paper.</w:t>
      </w:r>
    </w:p>
    <w:p w14:paraId="479C74ED" w14:textId="77777777" w:rsidR="00393ADE" w:rsidRPr="000D565E" w:rsidRDefault="00393ADE" w:rsidP="009F103C">
      <w:pPr>
        <w:spacing w:line="360" w:lineRule="auto"/>
        <w:jc w:val="both"/>
        <w:rPr>
          <w:rFonts w:asciiTheme="minorHAnsi" w:eastAsia="Times New Roman" w:hAnsiTheme="minorHAnsi" w:cstheme="minorHAnsi"/>
          <w:sz w:val="24"/>
          <w:szCs w:val="24"/>
          <w:shd w:val="clear" w:color="auto" w:fill="FFFFFF"/>
        </w:rPr>
      </w:pPr>
    </w:p>
    <w:p w14:paraId="583E7E90" w14:textId="77777777" w:rsidR="002C2A2D" w:rsidRPr="000D565E" w:rsidRDefault="008D2F24" w:rsidP="009F103C">
      <w:pPr>
        <w:spacing w:line="360" w:lineRule="auto"/>
        <w:jc w:val="both"/>
        <w:rPr>
          <w:rFonts w:asciiTheme="minorHAnsi" w:eastAsia="Times New Roman" w:hAnsiTheme="minorHAnsi" w:cstheme="minorHAnsi"/>
          <w:sz w:val="24"/>
          <w:szCs w:val="24"/>
        </w:rPr>
      </w:pPr>
      <w:r w:rsidRPr="000D565E">
        <w:rPr>
          <w:rFonts w:asciiTheme="minorHAnsi" w:eastAsia="Times New Roman" w:hAnsiTheme="minorHAnsi" w:cstheme="minorHAnsi"/>
          <w:sz w:val="24"/>
          <w:szCs w:val="24"/>
        </w:rPr>
        <w:t>  </w:t>
      </w:r>
    </w:p>
    <w:p w14:paraId="708A4BAD" w14:textId="77777777" w:rsidR="0097518E" w:rsidRPr="000D565E" w:rsidRDefault="0097518E" w:rsidP="009F103C">
      <w:pPr>
        <w:pStyle w:val="Heading2"/>
        <w:jc w:val="both"/>
        <w:rPr>
          <w:rStyle w:val="Heading2Char"/>
        </w:rPr>
      </w:pPr>
      <w:r w:rsidRPr="000D565E">
        <w:rPr>
          <w:rStyle w:val="Heading2Char"/>
        </w:rPr>
        <w:t xml:space="preserve">Option 1 – </w:t>
      </w:r>
      <w:r w:rsidR="005F305E" w:rsidRPr="000D565E">
        <w:rPr>
          <w:rStyle w:val="Heading2Char"/>
        </w:rPr>
        <w:t>MPID / Supplier Short Code Re assignment as per DB4 baseline / implement XRN5144</w:t>
      </w:r>
    </w:p>
    <w:p w14:paraId="0486253C" w14:textId="77777777" w:rsidR="00CD4B4D" w:rsidRPr="000D565E" w:rsidRDefault="00CD4B4D" w:rsidP="009F103C">
      <w:pPr>
        <w:spacing w:line="360" w:lineRule="auto"/>
        <w:jc w:val="both"/>
        <w:rPr>
          <w:rStyle w:val="SubtleEmphasis"/>
          <w:rFonts w:asciiTheme="minorHAnsi" w:hAnsiTheme="minorHAnsi" w:cstheme="minorHAnsi"/>
          <w:color w:val="auto"/>
          <w:sz w:val="24"/>
          <w:szCs w:val="24"/>
        </w:rPr>
      </w:pPr>
      <w:r w:rsidRPr="000D565E">
        <w:rPr>
          <w:rStyle w:val="SubtleEmphasis"/>
          <w:rFonts w:asciiTheme="minorHAnsi" w:hAnsiTheme="minorHAnsi" w:cstheme="minorHAnsi"/>
          <w:color w:val="auto"/>
          <w:sz w:val="24"/>
          <w:szCs w:val="24"/>
        </w:rPr>
        <w:t>Summary</w:t>
      </w:r>
    </w:p>
    <w:p w14:paraId="294F2C2A" w14:textId="77777777" w:rsidR="00486010" w:rsidRPr="000D565E" w:rsidRDefault="00CD4B4D" w:rsidP="009F103C">
      <w:pPr>
        <w:spacing w:line="360" w:lineRule="auto"/>
        <w:jc w:val="both"/>
        <w:rPr>
          <w:rFonts w:asciiTheme="minorHAnsi" w:hAnsiTheme="minorHAnsi" w:cstheme="minorHAnsi"/>
          <w:sz w:val="24"/>
          <w:szCs w:val="24"/>
        </w:rPr>
      </w:pPr>
      <w:r w:rsidRPr="000D565E">
        <w:rPr>
          <w:rFonts w:asciiTheme="minorHAnsi" w:hAnsiTheme="minorHAnsi" w:cstheme="minorHAnsi"/>
          <w:sz w:val="24"/>
          <w:szCs w:val="24"/>
        </w:rPr>
        <w:t xml:space="preserve">This option would require </w:t>
      </w:r>
      <w:r w:rsidR="005F305E" w:rsidRPr="000D565E">
        <w:rPr>
          <w:rFonts w:asciiTheme="minorHAnsi" w:hAnsiTheme="minorHAnsi" w:cstheme="minorHAnsi"/>
          <w:sz w:val="24"/>
          <w:szCs w:val="24"/>
        </w:rPr>
        <w:t>changes to gas industry market participants</w:t>
      </w:r>
      <w:r w:rsidRPr="000D565E">
        <w:rPr>
          <w:rFonts w:asciiTheme="minorHAnsi" w:hAnsiTheme="minorHAnsi" w:cstheme="minorHAnsi"/>
          <w:sz w:val="24"/>
          <w:szCs w:val="24"/>
        </w:rPr>
        <w:t>.</w:t>
      </w:r>
      <w:r w:rsidR="005F305E" w:rsidRPr="000D565E">
        <w:rPr>
          <w:rFonts w:asciiTheme="minorHAnsi" w:hAnsiTheme="minorHAnsi" w:cstheme="minorHAnsi"/>
          <w:sz w:val="24"/>
          <w:szCs w:val="24"/>
        </w:rPr>
        <w:t xml:space="preserve">  </w:t>
      </w:r>
      <w:r w:rsidR="00CD4D25" w:rsidRPr="000D565E">
        <w:rPr>
          <w:rFonts w:asciiTheme="minorHAnsi" w:hAnsiTheme="minorHAnsi" w:cstheme="minorHAnsi"/>
          <w:sz w:val="24"/>
          <w:szCs w:val="24"/>
        </w:rPr>
        <w:t>This would not require a change to CSS</w:t>
      </w:r>
      <w:r w:rsidR="005A208C" w:rsidRPr="000D565E">
        <w:rPr>
          <w:rFonts w:asciiTheme="minorHAnsi" w:hAnsiTheme="minorHAnsi" w:cstheme="minorHAnsi"/>
          <w:sz w:val="24"/>
          <w:szCs w:val="24"/>
        </w:rPr>
        <w:t xml:space="preserve"> Design</w:t>
      </w:r>
      <w:r w:rsidR="00CD4D25" w:rsidRPr="000D565E">
        <w:rPr>
          <w:rFonts w:asciiTheme="minorHAnsi" w:hAnsiTheme="minorHAnsi" w:cstheme="minorHAnsi"/>
          <w:sz w:val="24"/>
          <w:szCs w:val="24"/>
        </w:rPr>
        <w:t>.</w:t>
      </w:r>
    </w:p>
    <w:p w14:paraId="5D5E1807" w14:textId="5F5BB4C3" w:rsidR="003B5A72" w:rsidRPr="000D565E" w:rsidRDefault="00486010" w:rsidP="009F103C">
      <w:pPr>
        <w:spacing w:line="360" w:lineRule="auto"/>
        <w:jc w:val="both"/>
        <w:rPr>
          <w:rFonts w:asciiTheme="minorHAnsi" w:hAnsiTheme="minorHAnsi" w:cstheme="minorHAnsi"/>
          <w:sz w:val="24"/>
          <w:szCs w:val="24"/>
        </w:rPr>
      </w:pPr>
      <w:r w:rsidRPr="000D565E">
        <w:rPr>
          <w:rFonts w:asciiTheme="minorHAnsi" w:hAnsiTheme="minorHAnsi" w:cstheme="minorHAnsi"/>
          <w:sz w:val="24"/>
          <w:szCs w:val="24"/>
        </w:rPr>
        <w:t xml:space="preserve">XRN5144 was raised to effect the changes necessary to the UK Link system.  This change would amend some of the key tables within the UK Link system to apply start and end dates to specific organisation entities in relation to a Market Participant Identity, ensuring that such parties were only able to access data to which they were entitled.  </w:t>
      </w:r>
      <w:r w:rsidR="004A051C" w:rsidRPr="000D565E">
        <w:rPr>
          <w:rFonts w:asciiTheme="minorHAnsi" w:hAnsiTheme="minorHAnsi" w:cstheme="minorHAnsi"/>
          <w:sz w:val="24"/>
          <w:szCs w:val="24"/>
        </w:rPr>
        <w:t xml:space="preserve">This change </w:t>
      </w:r>
      <w:r w:rsidR="007436AD" w:rsidRPr="000D565E">
        <w:rPr>
          <w:rFonts w:asciiTheme="minorHAnsi" w:hAnsiTheme="minorHAnsi" w:cstheme="minorHAnsi"/>
          <w:sz w:val="24"/>
          <w:szCs w:val="24"/>
        </w:rPr>
        <w:t xml:space="preserve">would also mean that </w:t>
      </w:r>
      <w:r w:rsidR="004A051C" w:rsidRPr="000D565E">
        <w:rPr>
          <w:rFonts w:asciiTheme="minorHAnsi" w:hAnsiTheme="minorHAnsi" w:cstheme="minorHAnsi"/>
          <w:sz w:val="24"/>
          <w:szCs w:val="24"/>
        </w:rPr>
        <w:t>Market Role as well as the Market Participant Identity</w:t>
      </w:r>
      <w:r w:rsidR="007436AD" w:rsidRPr="000D565E">
        <w:rPr>
          <w:rFonts w:asciiTheme="minorHAnsi" w:hAnsiTheme="minorHAnsi" w:cstheme="minorHAnsi"/>
          <w:sz w:val="24"/>
          <w:szCs w:val="24"/>
        </w:rPr>
        <w:t xml:space="preserve"> would need to be used to determine </w:t>
      </w:r>
      <w:r w:rsidR="004A051C" w:rsidRPr="000D565E">
        <w:rPr>
          <w:rFonts w:asciiTheme="minorHAnsi" w:hAnsiTheme="minorHAnsi" w:cstheme="minorHAnsi"/>
          <w:sz w:val="24"/>
          <w:szCs w:val="24"/>
        </w:rPr>
        <w:t>an organisational entity</w:t>
      </w:r>
      <w:r w:rsidR="004A09D5" w:rsidRPr="000D565E">
        <w:rPr>
          <w:rFonts w:asciiTheme="minorHAnsi" w:hAnsiTheme="minorHAnsi" w:cstheme="minorHAnsi"/>
          <w:sz w:val="24"/>
          <w:szCs w:val="24"/>
        </w:rPr>
        <w:t xml:space="preserve">.  </w:t>
      </w:r>
      <w:r w:rsidR="007436AD" w:rsidRPr="000D565E">
        <w:rPr>
          <w:rFonts w:asciiTheme="minorHAnsi" w:hAnsiTheme="minorHAnsi" w:cstheme="minorHAnsi"/>
          <w:sz w:val="24"/>
          <w:szCs w:val="24"/>
        </w:rPr>
        <w:t>It is likely that t</w:t>
      </w:r>
      <w:r w:rsidR="004A09D5" w:rsidRPr="000D565E">
        <w:rPr>
          <w:rFonts w:asciiTheme="minorHAnsi" w:hAnsiTheme="minorHAnsi" w:cstheme="minorHAnsi"/>
          <w:sz w:val="24"/>
          <w:szCs w:val="24"/>
        </w:rPr>
        <w:t>hi</w:t>
      </w:r>
      <w:r w:rsidR="007436AD" w:rsidRPr="000D565E">
        <w:rPr>
          <w:rFonts w:asciiTheme="minorHAnsi" w:hAnsiTheme="minorHAnsi" w:cstheme="minorHAnsi"/>
          <w:sz w:val="24"/>
          <w:szCs w:val="24"/>
        </w:rPr>
        <w:t>s</w:t>
      </w:r>
      <w:r w:rsidR="004A09D5" w:rsidRPr="000D565E">
        <w:rPr>
          <w:rFonts w:asciiTheme="minorHAnsi" w:hAnsiTheme="minorHAnsi" w:cstheme="minorHAnsi"/>
          <w:sz w:val="24"/>
          <w:szCs w:val="24"/>
        </w:rPr>
        <w:t xml:space="preserve"> change </w:t>
      </w:r>
      <w:r w:rsidR="007436AD" w:rsidRPr="000D565E">
        <w:rPr>
          <w:rFonts w:asciiTheme="minorHAnsi" w:hAnsiTheme="minorHAnsi" w:cstheme="minorHAnsi"/>
          <w:sz w:val="24"/>
          <w:szCs w:val="24"/>
        </w:rPr>
        <w:t xml:space="preserve">would also need to be applied to other </w:t>
      </w:r>
      <w:r w:rsidR="004A09D5" w:rsidRPr="000D565E">
        <w:rPr>
          <w:rFonts w:asciiTheme="minorHAnsi" w:hAnsiTheme="minorHAnsi" w:cstheme="minorHAnsi"/>
          <w:sz w:val="24"/>
          <w:szCs w:val="24"/>
        </w:rPr>
        <w:t xml:space="preserve">gas </w:t>
      </w:r>
      <w:r w:rsidR="007436AD" w:rsidRPr="000D565E">
        <w:rPr>
          <w:rFonts w:asciiTheme="minorHAnsi" w:hAnsiTheme="minorHAnsi" w:cstheme="minorHAnsi"/>
          <w:sz w:val="24"/>
          <w:szCs w:val="24"/>
        </w:rPr>
        <w:t xml:space="preserve">market </w:t>
      </w:r>
      <w:r w:rsidR="007436AD" w:rsidRPr="000D565E">
        <w:rPr>
          <w:rFonts w:asciiTheme="minorHAnsi" w:hAnsiTheme="minorHAnsi" w:cstheme="minorHAnsi"/>
          <w:sz w:val="24"/>
          <w:szCs w:val="24"/>
        </w:rPr>
        <w:lastRenderedPageBreak/>
        <w:t xml:space="preserve">participant </w:t>
      </w:r>
      <w:r w:rsidR="004A09D5" w:rsidRPr="000D565E">
        <w:rPr>
          <w:rFonts w:asciiTheme="minorHAnsi" w:hAnsiTheme="minorHAnsi" w:cstheme="minorHAnsi"/>
          <w:sz w:val="24"/>
          <w:szCs w:val="24"/>
        </w:rPr>
        <w:t>systems</w:t>
      </w:r>
      <w:r w:rsidR="004A051C" w:rsidRPr="000D565E">
        <w:rPr>
          <w:rFonts w:asciiTheme="minorHAnsi" w:hAnsiTheme="minorHAnsi" w:cstheme="minorHAnsi"/>
          <w:sz w:val="24"/>
          <w:szCs w:val="24"/>
        </w:rPr>
        <w:t xml:space="preserve">.  </w:t>
      </w:r>
      <w:r w:rsidR="003B5A72" w:rsidRPr="000D565E">
        <w:rPr>
          <w:rFonts w:asciiTheme="minorHAnsi" w:hAnsiTheme="minorHAnsi" w:cstheme="minorHAnsi"/>
          <w:sz w:val="24"/>
          <w:szCs w:val="24"/>
        </w:rPr>
        <w:t>This</w:t>
      </w:r>
      <w:r w:rsidRPr="000D565E">
        <w:rPr>
          <w:rFonts w:asciiTheme="minorHAnsi" w:hAnsiTheme="minorHAnsi" w:cstheme="minorHAnsi"/>
          <w:sz w:val="24"/>
          <w:szCs w:val="24"/>
        </w:rPr>
        <w:t xml:space="preserve"> would also generat</w:t>
      </w:r>
      <w:r w:rsidR="003B5A72" w:rsidRPr="000D565E">
        <w:rPr>
          <w:rFonts w:asciiTheme="minorHAnsi" w:hAnsiTheme="minorHAnsi" w:cstheme="minorHAnsi"/>
          <w:sz w:val="24"/>
          <w:szCs w:val="24"/>
        </w:rPr>
        <w:t>e</w:t>
      </w:r>
      <w:r w:rsidRPr="000D565E">
        <w:rPr>
          <w:rFonts w:asciiTheme="minorHAnsi" w:hAnsiTheme="minorHAnsi" w:cstheme="minorHAnsi"/>
          <w:sz w:val="24"/>
          <w:szCs w:val="24"/>
        </w:rPr>
        <w:t xml:space="preserve"> notification to Transporters when </w:t>
      </w:r>
      <w:r w:rsidR="003B5A72" w:rsidRPr="000D565E">
        <w:rPr>
          <w:rFonts w:asciiTheme="minorHAnsi" w:hAnsiTheme="minorHAnsi" w:cstheme="minorHAnsi"/>
          <w:sz w:val="24"/>
          <w:szCs w:val="24"/>
        </w:rPr>
        <w:t>there was a change in Supplier entity and Market Participant Identity relationship.  It was also proposed that the Settlement processes would be amended to create a variance in the Shipper invoices for the respective Suppliers</w:t>
      </w:r>
      <w:r w:rsidR="00F66DD2" w:rsidRPr="000D565E">
        <w:rPr>
          <w:rFonts w:asciiTheme="minorHAnsi" w:hAnsiTheme="minorHAnsi" w:cstheme="minorHAnsi"/>
          <w:sz w:val="24"/>
          <w:szCs w:val="24"/>
        </w:rPr>
        <w:t>[, this may need to be descoped as part of the CSSC Implementation].</w:t>
      </w:r>
    </w:p>
    <w:p w14:paraId="7DCCBD66" w14:textId="596F9D1A" w:rsidR="00CD4B4D" w:rsidRPr="000D565E" w:rsidRDefault="005F305E" w:rsidP="009F103C">
      <w:pPr>
        <w:spacing w:line="360" w:lineRule="auto"/>
        <w:jc w:val="both"/>
        <w:rPr>
          <w:rFonts w:asciiTheme="minorHAnsi" w:hAnsiTheme="minorHAnsi" w:cstheme="minorHAnsi"/>
          <w:sz w:val="24"/>
          <w:szCs w:val="24"/>
        </w:rPr>
      </w:pPr>
      <w:r w:rsidRPr="000D565E">
        <w:rPr>
          <w:rFonts w:asciiTheme="minorHAnsi" w:hAnsiTheme="minorHAnsi" w:cstheme="minorHAnsi"/>
          <w:sz w:val="24"/>
          <w:szCs w:val="24"/>
        </w:rPr>
        <w:t xml:space="preserve">When this </w:t>
      </w:r>
      <w:r w:rsidR="00486010" w:rsidRPr="000D565E">
        <w:rPr>
          <w:rFonts w:asciiTheme="minorHAnsi" w:hAnsiTheme="minorHAnsi" w:cstheme="minorHAnsi"/>
          <w:sz w:val="24"/>
          <w:szCs w:val="24"/>
        </w:rPr>
        <w:t>option was proposed to DSC Customers all Large Transporters indicated that there would</w:t>
      </w:r>
      <w:r w:rsidR="00BC5C69" w:rsidRPr="000D565E">
        <w:rPr>
          <w:rFonts w:asciiTheme="minorHAnsi" w:hAnsiTheme="minorHAnsi" w:cstheme="minorHAnsi"/>
          <w:sz w:val="24"/>
          <w:szCs w:val="24"/>
        </w:rPr>
        <w:t xml:space="preserve"> </w:t>
      </w:r>
      <w:r w:rsidR="00486010" w:rsidRPr="000D565E">
        <w:rPr>
          <w:rFonts w:asciiTheme="minorHAnsi" w:hAnsiTheme="minorHAnsi" w:cstheme="minorHAnsi"/>
          <w:sz w:val="24"/>
          <w:szCs w:val="24"/>
        </w:rPr>
        <w:t>be</w:t>
      </w:r>
      <w:r w:rsidR="00095F0B" w:rsidRPr="000D565E">
        <w:rPr>
          <w:rFonts w:asciiTheme="minorHAnsi" w:hAnsiTheme="minorHAnsi" w:cstheme="minorHAnsi"/>
          <w:sz w:val="24"/>
          <w:szCs w:val="24"/>
        </w:rPr>
        <w:t xml:space="preserve"> significant</w:t>
      </w:r>
      <w:r w:rsidR="00486010" w:rsidRPr="000D565E">
        <w:rPr>
          <w:rFonts w:asciiTheme="minorHAnsi" w:hAnsiTheme="minorHAnsi" w:cstheme="minorHAnsi"/>
          <w:sz w:val="24"/>
          <w:szCs w:val="24"/>
        </w:rPr>
        <w:t xml:space="preserve"> changes to their </w:t>
      </w:r>
      <w:proofErr w:type="gramStart"/>
      <w:r w:rsidR="00486010" w:rsidRPr="000D565E">
        <w:rPr>
          <w:rFonts w:asciiTheme="minorHAnsi" w:hAnsiTheme="minorHAnsi" w:cstheme="minorHAnsi"/>
          <w:sz w:val="24"/>
          <w:szCs w:val="24"/>
        </w:rPr>
        <w:t>systems, and</w:t>
      </w:r>
      <w:proofErr w:type="gramEnd"/>
      <w:r w:rsidR="00486010" w:rsidRPr="000D565E">
        <w:rPr>
          <w:rFonts w:asciiTheme="minorHAnsi" w:hAnsiTheme="minorHAnsi" w:cstheme="minorHAnsi"/>
          <w:sz w:val="24"/>
          <w:szCs w:val="24"/>
        </w:rPr>
        <w:t xml:space="preserve"> rejected the proposed </w:t>
      </w:r>
      <w:r w:rsidR="003B5A72" w:rsidRPr="000D565E">
        <w:rPr>
          <w:rFonts w:asciiTheme="minorHAnsi" w:hAnsiTheme="minorHAnsi" w:cstheme="minorHAnsi"/>
          <w:sz w:val="24"/>
          <w:szCs w:val="24"/>
        </w:rPr>
        <w:t xml:space="preserve">change.  Shippers that responded indicated that </w:t>
      </w:r>
      <w:r w:rsidR="0022087A" w:rsidRPr="000D565E">
        <w:rPr>
          <w:rFonts w:asciiTheme="minorHAnsi" w:hAnsiTheme="minorHAnsi" w:cstheme="minorHAnsi"/>
          <w:sz w:val="24"/>
          <w:szCs w:val="24"/>
        </w:rPr>
        <w:t>any</w:t>
      </w:r>
      <w:r w:rsidR="003B5A72" w:rsidRPr="000D565E">
        <w:rPr>
          <w:rFonts w:asciiTheme="minorHAnsi" w:hAnsiTheme="minorHAnsi" w:cstheme="minorHAnsi"/>
          <w:sz w:val="24"/>
          <w:szCs w:val="24"/>
        </w:rPr>
        <w:t xml:space="preserve"> support</w:t>
      </w:r>
      <w:r w:rsidR="0022087A" w:rsidRPr="000D565E">
        <w:rPr>
          <w:rFonts w:asciiTheme="minorHAnsi" w:hAnsiTheme="minorHAnsi" w:cstheme="minorHAnsi"/>
          <w:sz w:val="24"/>
          <w:szCs w:val="24"/>
        </w:rPr>
        <w:t xml:space="preserve"> of</w:t>
      </w:r>
      <w:r w:rsidR="003B5A72" w:rsidRPr="000D565E">
        <w:rPr>
          <w:rFonts w:asciiTheme="minorHAnsi" w:hAnsiTheme="minorHAnsi" w:cstheme="minorHAnsi"/>
          <w:sz w:val="24"/>
          <w:szCs w:val="24"/>
        </w:rPr>
        <w:t xml:space="preserve"> th</w:t>
      </w:r>
      <w:r w:rsidR="0022087A" w:rsidRPr="000D565E">
        <w:rPr>
          <w:rFonts w:asciiTheme="minorHAnsi" w:hAnsiTheme="minorHAnsi" w:cstheme="minorHAnsi"/>
          <w:sz w:val="24"/>
          <w:szCs w:val="24"/>
        </w:rPr>
        <w:t>e</w:t>
      </w:r>
      <w:r w:rsidR="003B5A72" w:rsidRPr="000D565E">
        <w:rPr>
          <w:rFonts w:asciiTheme="minorHAnsi" w:hAnsiTheme="minorHAnsi" w:cstheme="minorHAnsi"/>
          <w:sz w:val="24"/>
          <w:szCs w:val="24"/>
        </w:rPr>
        <w:t xml:space="preserve"> change </w:t>
      </w:r>
      <w:r w:rsidR="0022087A" w:rsidRPr="000D565E">
        <w:rPr>
          <w:rFonts w:asciiTheme="minorHAnsi" w:hAnsiTheme="minorHAnsi" w:cstheme="minorHAnsi"/>
          <w:sz w:val="24"/>
          <w:szCs w:val="24"/>
        </w:rPr>
        <w:t>was conditio</w:t>
      </w:r>
      <w:r w:rsidR="00B347DC" w:rsidRPr="000D565E">
        <w:rPr>
          <w:rFonts w:asciiTheme="minorHAnsi" w:hAnsiTheme="minorHAnsi" w:cstheme="minorHAnsi"/>
          <w:sz w:val="24"/>
          <w:szCs w:val="24"/>
        </w:rPr>
        <w:t>nal upon</w:t>
      </w:r>
      <w:r w:rsidR="003B5A72" w:rsidRPr="000D565E">
        <w:rPr>
          <w:rFonts w:asciiTheme="minorHAnsi" w:hAnsiTheme="minorHAnsi" w:cstheme="minorHAnsi"/>
          <w:sz w:val="24"/>
          <w:szCs w:val="24"/>
        </w:rPr>
        <w:t xml:space="preserve"> re-assignment of the Market Participant Identity not </w:t>
      </w:r>
      <w:r w:rsidR="00B347DC" w:rsidRPr="000D565E">
        <w:rPr>
          <w:rFonts w:asciiTheme="minorHAnsi" w:hAnsiTheme="minorHAnsi" w:cstheme="minorHAnsi"/>
          <w:sz w:val="24"/>
          <w:szCs w:val="24"/>
        </w:rPr>
        <w:t xml:space="preserve">being </w:t>
      </w:r>
      <w:r w:rsidR="003B5A72" w:rsidRPr="000D565E">
        <w:rPr>
          <w:rFonts w:asciiTheme="minorHAnsi" w:hAnsiTheme="minorHAnsi" w:cstheme="minorHAnsi"/>
          <w:sz w:val="24"/>
          <w:szCs w:val="24"/>
        </w:rPr>
        <w:t>mandated.</w:t>
      </w:r>
    </w:p>
    <w:p w14:paraId="328AF1BC" w14:textId="77777777" w:rsidR="00BA1EAE" w:rsidRPr="000D565E" w:rsidRDefault="00BA1EAE" w:rsidP="006A410E">
      <w:pPr>
        <w:spacing w:line="360" w:lineRule="auto"/>
        <w:jc w:val="both"/>
        <w:rPr>
          <w:rFonts w:asciiTheme="minorHAnsi" w:hAnsiTheme="minorHAnsi" w:cstheme="minorHAnsi"/>
          <w:sz w:val="24"/>
          <w:szCs w:val="24"/>
        </w:rPr>
      </w:pPr>
      <w:r w:rsidRPr="000D565E">
        <w:rPr>
          <w:rFonts w:asciiTheme="minorHAnsi" w:hAnsiTheme="minorHAnsi" w:cstheme="minorHAnsi"/>
          <w:sz w:val="24"/>
          <w:szCs w:val="24"/>
        </w:rPr>
        <w:t>The ROM Cost assessment for implementation of this change within the CSSC Programme timescales was [£1M</w:t>
      </w:r>
      <w:r w:rsidR="0094470E" w:rsidRPr="000D565E">
        <w:rPr>
          <w:rFonts w:asciiTheme="minorHAnsi" w:hAnsiTheme="minorHAnsi" w:cstheme="minorHAnsi"/>
          <w:sz w:val="24"/>
          <w:szCs w:val="24"/>
        </w:rPr>
        <w:t xml:space="preserve"> (+/- 50%)</w:t>
      </w:r>
      <w:r w:rsidRPr="000D565E">
        <w:rPr>
          <w:rFonts w:asciiTheme="minorHAnsi" w:hAnsiTheme="minorHAnsi" w:cstheme="minorHAnsi"/>
          <w:sz w:val="24"/>
          <w:szCs w:val="24"/>
        </w:rPr>
        <w:t>] for changes to UK Link systems.  This figure did not take account of the changes to other industry systems</w:t>
      </w:r>
      <w:r w:rsidR="0096384E" w:rsidRPr="000D565E">
        <w:rPr>
          <w:rFonts w:asciiTheme="minorHAnsi" w:hAnsiTheme="minorHAnsi" w:cstheme="minorHAnsi"/>
          <w:sz w:val="24"/>
          <w:szCs w:val="24"/>
        </w:rPr>
        <w:t xml:space="preserve">, </w:t>
      </w:r>
      <w:r w:rsidR="006A2A63" w:rsidRPr="000D565E">
        <w:rPr>
          <w:rFonts w:asciiTheme="minorHAnsi" w:hAnsiTheme="minorHAnsi" w:cstheme="minorHAnsi"/>
          <w:sz w:val="24"/>
          <w:szCs w:val="24"/>
        </w:rPr>
        <w:t>and</w:t>
      </w:r>
      <w:r w:rsidR="0096384E" w:rsidRPr="000D565E">
        <w:rPr>
          <w:rFonts w:asciiTheme="minorHAnsi" w:hAnsiTheme="minorHAnsi" w:cstheme="minorHAnsi"/>
          <w:sz w:val="24"/>
          <w:szCs w:val="24"/>
        </w:rPr>
        <w:t xml:space="preserve"> these would be additional costs above the UK Link cost quoted above</w:t>
      </w:r>
      <w:r w:rsidRPr="000D565E">
        <w:rPr>
          <w:rFonts w:asciiTheme="minorHAnsi" w:hAnsiTheme="minorHAnsi" w:cstheme="minorHAnsi"/>
          <w:sz w:val="24"/>
          <w:szCs w:val="24"/>
        </w:rPr>
        <w:t>.</w:t>
      </w:r>
      <w:r w:rsidR="00694462" w:rsidRPr="000D565E">
        <w:rPr>
          <w:rFonts w:asciiTheme="minorHAnsi" w:hAnsiTheme="minorHAnsi" w:cstheme="minorHAnsi"/>
          <w:sz w:val="24"/>
          <w:szCs w:val="24"/>
        </w:rPr>
        <w:t xml:space="preserve">  </w:t>
      </w:r>
      <w:r w:rsidR="00694462" w:rsidRPr="000D565E">
        <w:rPr>
          <w:rFonts w:asciiTheme="minorHAnsi" w:hAnsiTheme="minorHAnsi" w:cstheme="minorHAnsi"/>
          <w:b/>
          <w:sz w:val="24"/>
          <w:szCs w:val="24"/>
        </w:rPr>
        <w:t>Industry participants have not shared their estimated implementation costs of this option.</w:t>
      </w:r>
    </w:p>
    <w:p w14:paraId="1768808E" w14:textId="77777777" w:rsidR="00A82F2D" w:rsidRPr="000D565E" w:rsidRDefault="00A82F2D" w:rsidP="009F103C">
      <w:pPr>
        <w:spacing w:line="360" w:lineRule="auto"/>
        <w:jc w:val="both"/>
        <w:rPr>
          <w:rStyle w:val="SubtleEmphasis"/>
          <w:rFonts w:asciiTheme="minorHAnsi" w:hAnsiTheme="minorHAnsi" w:cstheme="minorHAnsi"/>
          <w:color w:val="auto"/>
          <w:sz w:val="24"/>
          <w:szCs w:val="24"/>
        </w:rPr>
      </w:pPr>
    </w:p>
    <w:p w14:paraId="1F189776" w14:textId="77777777" w:rsidR="00CD4B4D" w:rsidRPr="000D565E" w:rsidRDefault="00CD4B4D" w:rsidP="009F103C">
      <w:pPr>
        <w:spacing w:line="360" w:lineRule="auto"/>
        <w:jc w:val="both"/>
        <w:rPr>
          <w:rStyle w:val="SubtleEmphasis"/>
          <w:rFonts w:asciiTheme="minorHAnsi" w:hAnsiTheme="minorHAnsi" w:cstheme="minorHAnsi"/>
          <w:color w:val="auto"/>
          <w:sz w:val="24"/>
          <w:szCs w:val="24"/>
        </w:rPr>
      </w:pPr>
      <w:r w:rsidRPr="000D565E">
        <w:rPr>
          <w:rStyle w:val="SubtleEmphasis"/>
          <w:rFonts w:asciiTheme="minorHAnsi" w:hAnsiTheme="minorHAnsi" w:cstheme="minorHAnsi"/>
          <w:color w:val="auto"/>
          <w:sz w:val="24"/>
          <w:szCs w:val="24"/>
        </w:rPr>
        <w:t>Impacts</w:t>
      </w:r>
      <w:r w:rsidR="00FF5FE8" w:rsidRPr="000D565E">
        <w:rPr>
          <w:rStyle w:val="SubtleEmphasis"/>
          <w:rFonts w:asciiTheme="minorHAnsi" w:hAnsiTheme="minorHAnsi" w:cstheme="minorHAnsi"/>
          <w:color w:val="auto"/>
          <w:sz w:val="24"/>
          <w:szCs w:val="24"/>
        </w:rPr>
        <w:t>:</w:t>
      </w:r>
    </w:p>
    <w:p w14:paraId="0D775579" w14:textId="77777777" w:rsidR="00B140E0" w:rsidRPr="000D565E" w:rsidRDefault="003B5A72" w:rsidP="009F103C">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The CSS system has been built to allow MP Id reassignment</w:t>
      </w:r>
      <w:r w:rsidR="00CD4B4D" w:rsidRPr="000D565E">
        <w:rPr>
          <w:rFonts w:asciiTheme="minorHAnsi" w:eastAsia="Times New Roman" w:hAnsiTheme="minorHAnsi" w:cstheme="minorHAnsi"/>
          <w:sz w:val="24"/>
          <w:szCs w:val="24"/>
          <w:shd w:val="clear" w:color="auto" w:fill="FFFFFF"/>
        </w:rPr>
        <w:t>.</w:t>
      </w:r>
      <w:r w:rsidRPr="000D565E">
        <w:rPr>
          <w:rFonts w:asciiTheme="minorHAnsi" w:eastAsia="Times New Roman" w:hAnsiTheme="minorHAnsi" w:cstheme="minorHAnsi"/>
          <w:sz w:val="24"/>
          <w:szCs w:val="24"/>
          <w:shd w:val="clear" w:color="auto" w:fill="FFFFFF"/>
        </w:rPr>
        <w:t xml:space="preserve">  UK Link </w:t>
      </w:r>
      <w:r w:rsidR="00BA1EAE" w:rsidRPr="000D565E">
        <w:rPr>
          <w:rFonts w:asciiTheme="minorHAnsi" w:eastAsia="Times New Roman" w:hAnsiTheme="minorHAnsi" w:cstheme="minorHAnsi"/>
          <w:sz w:val="24"/>
          <w:szCs w:val="24"/>
          <w:shd w:val="clear" w:color="auto" w:fill="FFFFFF"/>
        </w:rPr>
        <w:t xml:space="preserve">does not </w:t>
      </w:r>
      <w:r w:rsidR="00D51922" w:rsidRPr="000D565E">
        <w:rPr>
          <w:rFonts w:asciiTheme="minorHAnsi" w:eastAsia="Times New Roman" w:hAnsiTheme="minorHAnsi" w:cstheme="minorHAnsi"/>
          <w:sz w:val="24"/>
          <w:szCs w:val="24"/>
          <w:shd w:val="clear" w:color="auto" w:fill="FFFFFF"/>
        </w:rPr>
        <w:t>currently</w:t>
      </w:r>
      <w:r w:rsidR="00BA1EAE" w:rsidRPr="000D565E">
        <w:rPr>
          <w:rFonts w:asciiTheme="minorHAnsi" w:eastAsia="Times New Roman" w:hAnsiTheme="minorHAnsi" w:cstheme="minorHAnsi"/>
          <w:sz w:val="24"/>
          <w:szCs w:val="24"/>
          <w:shd w:val="clear" w:color="auto" w:fill="FFFFFF"/>
        </w:rPr>
        <w:t xml:space="preserve"> allow this</w:t>
      </w:r>
      <w:r w:rsidRPr="000D565E">
        <w:rPr>
          <w:rFonts w:asciiTheme="minorHAnsi" w:eastAsia="Times New Roman" w:hAnsiTheme="minorHAnsi" w:cstheme="minorHAnsi"/>
          <w:sz w:val="24"/>
          <w:szCs w:val="24"/>
          <w:shd w:val="clear" w:color="auto" w:fill="FFFFFF"/>
        </w:rPr>
        <w:t xml:space="preserve">, so would require significant change.  Whilst this change can be implemented </w:t>
      </w:r>
      <w:r w:rsidR="00017089" w:rsidRPr="000D565E">
        <w:rPr>
          <w:rFonts w:asciiTheme="minorHAnsi" w:eastAsia="Times New Roman" w:hAnsiTheme="minorHAnsi" w:cstheme="minorHAnsi"/>
          <w:sz w:val="24"/>
          <w:szCs w:val="24"/>
          <w:shd w:val="clear" w:color="auto" w:fill="FFFFFF"/>
        </w:rPr>
        <w:t>within the timescales of the</w:t>
      </w:r>
      <w:r w:rsidRPr="000D565E">
        <w:rPr>
          <w:rFonts w:asciiTheme="minorHAnsi" w:eastAsia="Times New Roman" w:hAnsiTheme="minorHAnsi" w:cstheme="minorHAnsi"/>
          <w:sz w:val="24"/>
          <w:szCs w:val="24"/>
          <w:shd w:val="clear" w:color="auto" w:fill="FFFFFF"/>
        </w:rPr>
        <w:t xml:space="preserve"> CSS Consequential Change (CSSC) Programme it would be a material </w:t>
      </w:r>
      <w:proofErr w:type="gramStart"/>
      <w:r w:rsidRPr="000D565E">
        <w:rPr>
          <w:rFonts w:asciiTheme="minorHAnsi" w:eastAsia="Times New Roman" w:hAnsiTheme="minorHAnsi" w:cstheme="minorHAnsi"/>
          <w:sz w:val="24"/>
          <w:szCs w:val="24"/>
          <w:shd w:val="clear" w:color="auto" w:fill="FFFFFF"/>
        </w:rPr>
        <w:t>change, and</w:t>
      </w:r>
      <w:proofErr w:type="gramEnd"/>
      <w:r w:rsidRPr="000D565E">
        <w:rPr>
          <w:rFonts w:asciiTheme="minorHAnsi" w:eastAsia="Times New Roman" w:hAnsiTheme="minorHAnsi" w:cstheme="minorHAnsi"/>
          <w:sz w:val="24"/>
          <w:szCs w:val="24"/>
          <w:shd w:val="clear" w:color="auto" w:fill="FFFFFF"/>
        </w:rPr>
        <w:t xml:space="preserve"> would require significant testing given the nature of the changes to the UK Link systems.  </w:t>
      </w:r>
      <w:r w:rsidR="00B140E0" w:rsidRPr="000D565E">
        <w:rPr>
          <w:rFonts w:asciiTheme="minorHAnsi" w:eastAsia="Times New Roman" w:hAnsiTheme="minorHAnsi" w:cstheme="minorHAnsi"/>
          <w:sz w:val="24"/>
          <w:szCs w:val="24"/>
          <w:shd w:val="clear" w:color="auto" w:fill="FFFFFF"/>
        </w:rPr>
        <w:t xml:space="preserve">It </w:t>
      </w:r>
      <w:r w:rsidR="00BA1EAE" w:rsidRPr="000D565E">
        <w:rPr>
          <w:rFonts w:asciiTheme="minorHAnsi" w:eastAsia="Times New Roman" w:hAnsiTheme="minorHAnsi" w:cstheme="minorHAnsi"/>
          <w:sz w:val="24"/>
          <w:szCs w:val="24"/>
          <w:shd w:val="clear" w:color="auto" w:fill="FFFFFF"/>
        </w:rPr>
        <w:t>c</w:t>
      </w:r>
      <w:r w:rsidR="00B140E0" w:rsidRPr="000D565E">
        <w:rPr>
          <w:rFonts w:asciiTheme="minorHAnsi" w:eastAsia="Times New Roman" w:hAnsiTheme="minorHAnsi" w:cstheme="minorHAnsi"/>
          <w:sz w:val="24"/>
          <w:szCs w:val="24"/>
          <w:shd w:val="clear" w:color="auto" w:fill="FFFFFF"/>
        </w:rPr>
        <w:t>ould be implemented at the same time as the CSS Go Live.</w:t>
      </w:r>
    </w:p>
    <w:p w14:paraId="3616C100" w14:textId="77777777" w:rsidR="00CD4B4D" w:rsidRPr="000D565E" w:rsidRDefault="00B140E0" w:rsidP="009F103C">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 xml:space="preserve">Distribution Networks – who have </w:t>
      </w:r>
      <w:proofErr w:type="gramStart"/>
      <w:r w:rsidRPr="000D565E">
        <w:rPr>
          <w:rFonts w:asciiTheme="minorHAnsi" w:eastAsia="Times New Roman" w:hAnsiTheme="minorHAnsi" w:cstheme="minorHAnsi"/>
          <w:sz w:val="24"/>
          <w:szCs w:val="24"/>
          <w:shd w:val="clear" w:color="auto" w:fill="FFFFFF"/>
        </w:rPr>
        <w:t>limited</w:t>
      </w:r>
      <w:proofErr w:type="gramEnd"/>
      <w:r w:rsidRPr="000D565E">
        <w:rPr>
          <w:rFonts w:asciiTheme="minorHAnsi" w:eastAsia="Times New Roman" w:hAnsiTheme="minorHAnsi" w:cstheme="minorHAnsi"/>
          <w:sz w:val="24"/>
          <w:szCs w:val="24"/>
          <w:shd w:val="clear" w:color="auto" w:fill="FFFFFF"/>
        </w:rPr>
        <w:t xml:space="preserve"> or no change programmes associated with the CSS Implementation would need to </w:t>
      </w:r>
      <w:r w:rsidR="003D1541" w:rsidRPr="000D565E">
        <w:rPr>
          <w:rFonts w:asciiTheme="minorHAnsi" w:eastAsia="Times New Roman" w:hAnsiTheme="minorHAnsi" w:cstheme="minorHAnsi"/>
          <w:sz w:val="24"/>
          <w:szCs w:val="24"/>
          <w:shd w:val="clear" w:color="auto" w:fill="FFFFFF"/>
        </w:rPr>
        <w:t xml:space="preserve">implement changes no later than the first </w:t>
      </w:r>
      <w:proofErr w:type="spellStart"/>
      <w:r w:rsidR="003D1541" w:rsidRPr="000D565E">
        <w:rPr>
          <w:rFonts w:asciiTheme="minorHAnsi" w:eastAsia="Times New Roman" w:hAnsiTheme="minorHAnsi" w:cstheme="minorHAnsi"/>
          <w:sz w:val="24"/>
          <w:szCs w:val="24"/>
          <w:shd w:val="clear" w:color="auto" w:fill="FFFFFF"/>
        </w:rPr>
        <w:t>SoLR</w:t>
      </w:r>
      <w:proofErr w:type="spellEnd"/>
      <w:r w:rsidR="003D1541" w:rsidRPr="000D565E">
        <w:rPr>
          <w:rFonts w:asciiTheme="minorHAnsi" w:eastAsia="Times New Roman" w:hAnsiTheme="minorHAnsi" w:cstheme="minorHAnsi"/>
          <w:sz w:val="24"/>
          <w:szCs w:val="24"/>
          <w:shd w:val="clear" w:color="auto" w:fill="FFFFFF"/>
        </w:rPr>
        <w:t xml:space="preserve"> post CSS that reassigns the Supplier Market Participant Identity</w:t>
      </w:r>
      <w:r w:rsidR="003B4C7F" w:rsidRPr="000D565E">
        <w:rPr>
          <w:rFonts w:asciiTheme="minorHAnsi" w:eastAsia="Times New Roman" w:hAnsiTheme="minorHAnsi" w:cstheme="minorHAnsi"/>
          <w:sz w:val="24"/>
          <w:szCs w:val="24"/>
          <w:shd w:val="clear" w:color="auto" w:fill="FFFFFF"/>
        </w:rPr>
        <w:t xml:space="preserve"> – this is a risk given that it is not known when the first </w:t>
      </w:r>
      <w:proofErr w:type="spellStart"/>
      <w:r w:rsidR="003B4C7F" w:rsidRPr="000D565E">
        <w:rPr>
          <w:rFonts w:asciiTheme="minorHAnsi" w:eastAsia="Times New Roman" w:hAnsiTheme="minorHAnsi" w:cstheme="minorHAnsi"/>
          <w:sz w:val="24"/>
          <w:szCs w:val="24"/>
          <w:shd w:val="clear" w:color="auto" w:fill="FFFFFF"/>
        </w:rPr>
        <w:t>SoLR</w:t>
      </w:r>
      <w:proofErr w:type="spellEnd"/>
      <w:r w:rsidR="003B4C7F" w:rsidRPr="000D565E">
        <w:rPr>
          <w:rFonts w:asciiTheme="minorHAnsi" w:eastAsia="Times New Roman" w:hAnsiTheme="minorHAnsi" w:cstheme="minorHAnsi"/>
          <w:sz w:val="24"/>
          <w:szCs w:val="24"/>
          <w:shd w:val="clear" w:color="auto" w:fill="FFFFFF"/>
        </w:rPr>
        <w:t xml:space="preserve"> will need to be appointed post CSS go-live</w:t>
      </w:r>
      <w:r w:rsidR="003D1541" w:rsidRPr="000D565E">
        <w:rPr>
          <w:rFonts w:asciiTheme="minorHAnsi" w:eastAsia="Times New Roman" w:hAnsiTheme="minorHAnsi" w:cstheme="minorHAnsi"/>
          <w:sz w:val="24"/>
          <w:szCs w:val="24"/>
          <w:shd w:val="clear" w:color="auto" w:fill="FFFFFF"/>
        </w:rPr>
        <w:t>.</w:t>
      </w:r>
    </w:p>
    <w:p w14:paraId="21F6DFC3" w14:textId="77777777" w:rsidR="00CD4B4D" w:rsidRPr="000D565E" w:rsidRDefault="00CD4B4D" w:rsidP="009F103C">
      <w:pPr>
        <w:spacing w:line="360" w:lineRule="auto"/>
        <w:jc w:val="both"/>
        <w:rPr>
          <w:rFonts w:asciiTheme="minorHAnsi" w:eastAsia="Times New Roman" w:hAnsiTheme="minorHAnsi" w:cstheme="minorHAnsi"/>
          <w:sz w:val="24"/>
          <w:szCs w:val="24"/>
          <w:shd w:val="clear" w:color="auto" w:fill="FFFFFF"/>
        </w:rPr>
      </w:pPr>
    </w:p>
    <w:p w14:paraId="16F30F9D" w14:textId="03E99C04" w:rsidR="000D2645" w:rsidRPr="000D565E" w:rsidRDefault="000D2645" w:rsidP="009F103C">
      <w:pPr>
        <w:pStyle w:val="Heading2"/>
        <w:jc w:val="both"/>
        <w:rPr>
          <w:rStyle w:val="Heading2Char"/>
        </w:rPr>
      </w:pPr>
      <w:r w:rsidRPr="000D565E">
        <w:rPr>
          <w:rStyle w:val="Heading2Char"/>
        </w:rPr>
        <w:lastRenderedPageBreak/>
        <w:t xml:space="preserve">Option </w:t>
      </w:r>
      <w:r w:rsidR="006A0D09" w:rsidRPr="000D565E">
        <w:rPr>
          <w:rStyle w:val="Heading2Char"/>
        </w:rPr>
        <w:t>2</w:t>
      </w:r>
      <w:r w:rsidRPr="000D565E">
        <w:t xml:space="preserve"> – </w:t>
      </w:r>
      <w:r w:rsidR="0021140F" w:rsidRPr="000D565E">
        <w:rPr>
          <w:color w:val="000000"/>
        </w:rPr>
        <w:t>Submission and processing of switch requests</w:t>
      </w:r>
      <w:r w:rsidR="00A55EB7" w:rsidRPr="000D565E">
        <w:rPr>
          <w:color w:val="000000"/>
        </w:rPr>
        <w:t xml:space="preserve"> by the </w:t>
      </w:r>
      <w:proofErr w:type="spellStart"/>
      <w:r w:rsidR="00A55EB7" w:rsidRPr="000D565E">
        <w:rPr>
          <w:color w:val="000000"/>
        </w:rPr>
        <w:t>SoLR</w:t>
      </w:r>
      <w:proofErr w:type="spellEnd"/>
      <w:r w:rsidR="0021140F" w:rsidRPr="000D565E">
        <w:rPr>
          <w:color w:val="000000"/>
        </w:rPr>
        <w:t xml:space="preserve"> over </w:t>
      </w:r>
      <w:proofErr w:type="gramStart"/>
      <w:r w:rsidR="0021140F" w:rsidRPr="000D565E">
        <w:rPr>
          <w:color w:val="000000"/>
        </w:rPr>
        <w:t>a number of</w:t>
      </w:r>
      <w:proofErr w:type="gramEnd"/>
      <w:r w:rsidR="0021140F" w:rsidRPr="000D565E">
        <w:rPr>
          <w:color w:val="000000"/>
        </w:rPr>
        <w:t xml:space="preserve"> days, but below the CSS NFR daily Peak of Peaks, to give effect to the </w:t>
      </w:r>
      <w:proofErr w:type="spellStart"/>
      <w:r w:rsidR="0021140F" w:rsidRPr="000D565E">
        <w:rPr>
          <w:color w:val="000000"/>
        </w:rPr>
        <w:t>SoLR</w:t>
      </w:r>
      <w:proofErr w:type="spellEnd"/>
    </w:p>
    <w:p w14:paraId="05AAB05D" w14:textId="77777777" w:rsidR="000D2645" w:rsidRPr="000D565E" w:rsidRDefault="00FF5FE8" w:rsidP="009F103C">
      <w:pPr>
        <w:spacing w:line="360" w:lineRule="auto"/>
        <w:jc w:val="both"/>
        <w:rPr>
          <w:rStyle w:val="SubtleEmphasis"/>
          <w:rFonts w:asciiTheme="minorHAnsi" w:hAnsiTheme="minorHAnsi" w:cstheme="minorHAnsi"/>
          <w:color w:val="auto"/>
          <w:sz w:val="24"/>
          <w:szCs w:val="24"/>
        </w:rPr>
      </w:pPr>
      <w:r w:rsidRPr="000D565E">
        <w:rPr>
          <w:rStyle w:val="SubtleEmphasis"/>
          <w:rFonts w:asciiTheme="minorHAnsi" w:hAnsiTheme="minorHAnsi" w:cstheme="minorHAnsi"/>
          <w:color w:val="auto"/>
          <w:sz w:val="24"/>
          <w:szCs w:val="24"/>
        </w:rPr>
        <w:t>Summary</w:t>
      </w:r>
    </w:p>
    <w:p w14:paraId="003C875A" w14:textId="6C4579F1" w:rsidR="00EC7860" w:rsidRPr="000D565E" w:rsidRDefault="00DD2D7A" w:rsidP="009F103C">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 xml:space="preserve">This option </w:t>
      </w:r>
      <w:r w:rsidR="00EC7860" w:rsidRPr="000D565E">
        <w:rPr>
          <w:rFonts w:asciiTheme="minorHAnsi" w:eastAsia="Times New Roman" w:hAnsiTheme="minorHAnsi" w:cstheme="minorHAnsi"/>
          <w:sz w:val="24"/>
          <w:szCs w:val="24"/>
          <w:shd w:val="clear" w:color="auto" w:fill="FFFFFF"/>
        </w:rPr>
        <w:t xml:space="preserve">uses the </w:t>
      </w:r>
      <w:r w:rsidR="00694462" w:rsidRPr="000D565E">
        <w:rPr>
          <w:rFonts w:asciiTheme="minorHAnsi" w:eastAsia="Times New Roman" w:hAnsiTheme="minorHAnsi" w:cstheme="minorHAnsi"/>
          <w:sz w:val="24"/>
          <w:szCs w:val="24"/>
          <w:shd w:val="clear" w:color="auto" w:fill="FFFFFF"/>
        </w:rPr>
        <w:t xml:space="preserve">Ofgem </w:t>
      </w:r>
      <w:r w:rsidR="00EC7860" w:rsidRPr="000D565E">
        <w:rPr>
          <w:rFonts w:asciiTheme="minorHAnsi" w:eastAsia="Times New Roman" w:hAnsiTheme="minorHAnsi" w:cstheme="minorHAnsi"/>
          <w:sz w:val="24"/>
          <w:szCs w:val="24"/>
          <w:shd w:val="clear" w:color="auto" w:fill="FFFFFF"/>
        </w:rPr>
        <w:t xml:space="preserve">notice of the </w:t>
      </w:r>
      <w:proofErr w:type="spellStart"/>
      <w:r w:rsidR="00EC7860" w:rsidRPr="000D565E">
        <w:rPr>
          <w:rFonts w:asciiTheme="minorHAnsi" w:eastAsia="Times New Roman" w:hAnsiTheme="minorHAnsi" w:cstheme="minorHAnsi"/>
          <w:sz w:val="24"/>
          <w:szCs w:val="24"/>
          <w:shd w:val="clear" w:color="auto" w:fill="FFFFFF"/>
        </w:rPr>
        <w:t>SoLR</w:t>
      </w:r>
      <w:proofErr w:type="spellEnd"/>
      <w:r w:rsidR="00EC7860" w:rsidRPr="000D565E">
        <w:rPr>
          <w:rFonts w:asciiTheme="minorHAnsi" w:eastAsia="Times New Roman" w:hAnsiTheme="minorHAnsi" w:cstheme="minorHAnsi"/>
          <w:sz w:val="24"/>
          <w:szCs w:val="24"/>
          <w:shd w:val="clear" w:color="auto" w:fill="FFFFFF"/>
        </w:rPr>
        <w:t xml:space="preserve"> Appointment to define the effective date of the </w:t>
      </w:r>
      <w:proofErr w:type="spellStart"/>
      <w:r w:rsidR="00EC7860" w:rsidRPr="000D565E">
        <w:rPr>
          <w:rFonts w:asciiTheme="minorHAnsi" w:eastAsia="Times New Roman" w:hAnsiTheme="minorHAnsi" w:cstheme="minorHAnsi"/>
          <w:sz w:val="24"/>
          <w:szCs w:val="24"/>
          <w:shd w:val="clear" w:color="auto" w:fill="FFFFFF"/>
        </w:rPr>
        <w:t>SoLR</w:t>
      </w:r>
      <w:proofErr w:type="spellEnd"/>
      <w:r w:rsidR="00EC7860" w:rsidRPr="000D565E">
        <w:rPr>
          <w:rFonts w:asciiTheme="minorHAnsi" w:eastAsia="Times New Roman" w:hAnsiTheme="minorHAnsi" w:cstheme="minorHAnsi"/>
          <w:sz w:val="24"/>
          <w:szCs w:val="24"/>
          <w:shd w:val="clear" w:color="auto" w:fill="FFFFFF"/>
        </w:rPr>
        <w:t xml:space="preserve"> </w:t>
      </w:r>
      <w:proofErr w:type="gramStart"/>
      <w:r w:rsidR="00EC7860" w:rsidRPr="000D565E">
        <w:rPr>
          <w:rFonts w:asciiTheme="minorHAnsi" w:eastAsia="Times New Roman" w:hAnsiTheme="minorHAnsi" w:cstheme="minorHAnsi"/>
          <w:sz w:val="24"/>
          <w:szCs w:val="24"/>
          <w:shd w:val="clear" w:color="auto" w:fill="FFFFFF"/>
        </w:rPr>
        <w:t>appointment, and</w:t>
      </w:r>
      <w:proofErr w:type="gramEnd"/>
      <w:r w:rsidR="00EC7860" w:rsidRPr="000D565E">
        <w:rPr>
          <w:rFonts w:asciiTheme="minorHAnsi" w:eastAsia="Times New Roman" w:hAnsiTheme="minorHAnsi" w:cstheme="minorHAnsi"/>
          <w:sz w:val="24"/>
          <w:szCs w:val="24"/>
          <w:shd w:val="clear" w:color="auto" w:fill="FFFFFF"/>
        </w:rPr>
        <w:t xml:space="preserve"> requiring the </w:t>
      </w:r>
      <w:r w:rsidR="00694462" w:rsidRPr="000D565E">
        <w:rPr>
          <w:rFonts w:asciiTheme="minorHAnsi" w:eastAsia="Times New Roman" w:hAnsiTheme="minorHAnsi" w:cstheme="minorHAnsi"/>
          <w:sz w:val="24"/>
          <w:szCs w:val="24"/>
          <w:shd w:val="clear" w:color="auto" w:fill="FFFFFF"/>
        </w:rPr>
        <w:t xml:space="preserve">subsequent </w:t>
      </w:r>
      <w:r w:rsidR="00EC7860" w:rsidRPr="000D565E">
        <w:rPr>
          <w:rFonts w:asciiTheme="minorHAnsi" w:eastAsia="Times New Roman" w:hAnsiTheme="minorHAnsi" w:cstheme="minorHAnsi"/>
          <w:sz w:val="24"/>
          <w:szCs w:val="24"/>
          <w:shd w:val="clear" w:color="auto" w:fill="FFFFFF"/>
        </w:rPr>
        <w:t>submission of Registration transactions</w:t>
      </w:r>
      <w:r w:rsidR="005A2377" w:rsidRPr="000D565E">
        <w:rPr>
          <w:rFonts w:asciiTheme="minorHAnsi" w:eastAsia="Times New Roman" w:hAnsiTheme="minorHAnsi" w:cstheme="minorHAnsi"/>
          <w:sz w:val="24"/>
          <w:szCs w:val="24"/>
          <w:shd w:val="clear" w:color="auto" w:fill="FFFFFF"/>
        </w:rPr>
        <w:t xml:space="preserve"> (switch requests)</w:t>
      </w:r>
      <w:r w:rsidR="00EC42B9" w:rsidRPr="000D565E">
        <w:rPr>
          <w:rFonts w:asciiTheme="minorHAnsi" w:eastAsia="Times New Roman" w:hAnsiTheme="minorHAnsi" w:cstheme="minorHAnsi"/>
          <w:sz w:val="24"/>
          <w:szCs w:val="24"/>
          <w:shd w:val="clear" w:color="auto" w:fill="FFFFFF"/>
        </w:rPr>
        <w:t xml:space="preserve"> by the </w:t>
      </w:r>
      <w:proofErr w:type="spellStart"/>
      <w:r w:rsidR="00EC42B9" w:rsidRPr="000D565E">
        <w:rPr>
          <w:rFonts w:asciiTheme="minorHAnsi" w:eastAsia="Times New Roman" w:hAnsiTheme="minorHAnsi" w:cstheme="minorHAnsi"/>
          <w:sz w:val="24"/>
          <w:szCs w:val="24"/>
          <w:shd w:val="clear" w:color="auto" w:fill="FFFFFF"/>
        </w:rPr>
        <w:t>SoLR</w:t>
      </w:r>
      <w:proofErr w:type="spellEnd"/>
      <w:r w:rsidR="00EC7860" w:rsidRPr="000D565E">
        <w:rPr>
          <w:rFonts w:asciiTheme="minorHAnsi" w:eastAsia="Times New Roman" w:hAnsiTheme="minorHAnsi" w:cstheme="minorHAnsi"/>
          <w:sz w:val="24"/>
          <w:szCs w:val="24"/>
          <w:shd w:val="clear" w:color="auto" w:fill="FFFFFF"/>
        </w:rPr>
        <w:t xml:space="preserve"> to effect the change to the appointed Supplier</w:t>
      </w:r>
      <w:r w:rsidR="00FF5FE8" w:rsidRPr="000D565E">
        <w:rPr>
          <w:rFonts w:asciiTheme="minorHAnsi" w:eastAsia="Times New Roman" w:hAnsiTheme="minorHAnsi" w:cstheme="minorHAnsi"/>
          <w:sz w:val="24"/>
          <w:szCs w:val="24"/>
          <w:shd w:val="clear" w:color="auto" w:fill="FFFFFF"/>
        </w:rPr>
        <w:t>.</w:t>
      </w:r>
      <w:r w:rsidR="00EC7860" w:rsidRPr="000D565E">
        <w:rPr>
          <w:rFonts w:asciiTheme="minorHAnsi" w:eastAsia="Times New Roman" w:hAnsiTheme="minorHAnsi" w:cstheme="minorHAnsi"/>
          <w:sz w:val="24"/>
          <w:szCs w:val="24"/>
          <w:shd w:val="clear" w:color="auto" w:fill="FFFFFF"/>
        </w:rPr>
        <w:t xml:space="preserve">  The CSS system would receive Registration transactions, in accordance with agreed volumetrics, </w:t>
      </w:r>
      <w:r w:rsidR="001F4174" w:rsidRPr="000D565E">
        <w:rPr>
          <w:rFonts w:asciiTheme="minorHAnsi" w:eastAsia="Times New Roman" w:hAnsiTheme="minorHAnsi" w:cstheme="minorHAnsi"/>
          <w:sz w:val="24"/>
          <w:szCs w:val="24"/>
          <w:shd w:val="clear" w:color="auto" w:fill="FFFFFF"/>
        </w:rPr>
        <w:t>to mana</w:t>
      </w:r>
      <w:r w:rsidR="0045461A" w:rsidRPr="000D565E">
        <w:rPr>
          <w:rFonts w:asciiTheme="minorHAnsi" w:eastAsia="Times New Roman" w:hAnsiTheme="minorHAnsi" w:cstheme="minorHAnsi"/>
          <w:sz w:val="24"/>
          <w:szCs w:val="24"/>
          <w:shd w:val="clear" w:color="auto" w:fill="FFFFFF"/>
        </w:rPr>
        <w:t>ge the transfer of t</w:t>
      </w:r>
      <w:r w:rsidR="00EC7860" w:rsidRPr="000D565E">
        <w:rPr>
          <w:rFonts w:asciiTheme="minorHAnsi" w:eastAsia="Times New Roman" w:hAnsiTheme="minorHAnsi" w:cstheme="minorHAnsi"/>
          <w:sz w:val="24"/>
          <w:szCs w:val="24"/>
          <w:shd w:val="clear" w:color="auto" w:fill="FFFFFF"/>
        </w:rPr>
        <w:t xml:space="preserve">he [terminated] Supplier </w:t>
      </w:r>
      <w:r w:rsidR="0045461A" w:rsidRPr="000D565E">
        <w:rPr>
          <w:rFonts w:asciiTheme="minorHAnsi" w:eastAsia="Times New Roman" w:hAnsiTheme="minorHAnsi" w:cstheme="minorHAnsi"/>
          <w:sz w:val="24"/>
          <w:szCs w:val="24"/>
          <w:shd w:val="clear" w:color="auto" w:fill="FFFFFF"/>
        </w:rPr>
        <w:t xml:space="preserve">portfolio </w:t>
      </w:r>
      <w:r w:rsidR="00EC7860" w:rsidRPr="000D565E">
        <w:rPr>
          <w:rFonts w:asciiTheme="minorHAnsi" w:eastAsia="Times New Roman" w:hAnsiTheme="minorHAnsi" w:cstheme="minorHAnsi"/>
          <w:sz w:val="24"/>
          <w:szCs w:val="24"/>
          <w:shd w:val="clear" w:color="auto" w:fill="FFFFFF"/>
        </w:rPr>
        <w:t xml:space="preserve">to the appointed Supplier.  This transfer </w:t>
      </w:r>
      <w:r w:rsidR="0045461A" w:rsidRPr="000D565E">
        <w:rPr>
          <w:rFonts w:asciiTheme="minorHAnsi" w:eastAsia="Times New Roman" w:hAnsiTheme="minorHAnsi" w:cstheme="minorHAnsi"/>
          <w:sz w:val="24"/>
          <w:szCs w:val="24"/>
          <w:shd w:val="clear" w:color="auto" w:fill="FFFFFF"/>
        </w:rPr>
        <w:t>may be required to</w:t>
      </w:r>
      <w:r w:rsidR="00BC269E" w:rsidRPr="000D565E">
        <w:rPr>
          <w:rFonts w:asciiTheme="minorHAnsi" w:eastAsia="Times New Roman" w:hAnsiTheme="minorHAnsi" w:cstheme="minorHAnsi"/>
          <w:sz w:val="24"/>
          <w:szCs w:val="24"/>
          <w:shd w:val="clear" w:color="auto" w:fill="FFFFFF"/>
        </w:rPr>
        <w:t xml:space="preserve"> happen over </w:t>
      </w:r>
      <w:proofErr w:type="gramStart"/>
      <w:r w:rsidR="00BC269E" w:rsidRPr="000D565E">
        <w:rPr>
          <w:rFonts w:asciiTheme="minorHAnsi" w:eastAsia="Times New Roman" w:hAnsiTheme="minorHAnsi" w:cstheme="minorHAnsi"/>
          <w:sz w:val="24"/>
          <w:szCs w:val="24"/>
          <w:shd w:val="clear" w:color="auto" w:fill="FFFFFF"/>
        </w:rPr>
        <w:t>a number of</w:t>
      </w:r>
      <w:proofErr w:type="gramEnd"/>
      <w:r w:rsidR="00BC269E" w:rsidRPr="000D565E">
        <w:rPr>
          <w:rFonts w:asciiTheme="minorHAnsi" w:eastAsia="Times New Roman" w:hAnsiTheme="minorHAnsi" w:cstheme="minorHAnsi"/>
          <w:sz w:val="24"/>
          <w:szCs w:val="24"/>
          <w:shd w:val="clear" w:color="auto" w:fill="FFFFFF"/>
        </w:rPr>
        <w:t xml:space="preserve"> days where</w:t>
      </w:r>
      <w:r w:rsidR="000D4327" w:rsidRPr="000D565E">
        <w:rPr>
          <w:rFonts w:asciiTheme="minorHAnsi" w:eastAsia="Times New Roman" w:hAnsiTheme="minorHAnsi" w:cstheme="minorHAnsi"/>
          <w:sz w:val="24"/>
          <w:szCs w:val="24"/>
          <w:shd w:val="clear" w:color="auto" w:fill="FFFFFF"/>
        </w:rPr>
        <w:t xml:space="preserve"> the number of Registerable Meter Points in the failed Supplier portfolio</w:t>
      </w:r>
      <w:r w:rsidR="00BC269E" w:rsidRPr="000D565E">
        <w:rPr>
          <w:rFonts w:asciiTheme="minorHAnsi" w:eastAsia="Times New Roman" w:hAnsiTheme="minorHAnsi" w:cstheme="minorHAnsi"/>
          <w:sz w:val="24"/>
          <w:szCs w:val="24"/>
          <w:shd w:val="clear" w:color="auto" w:fill="FFFFFF"/>
        </w:rPr>
        <w:t xml:space="preserve"> </w:t>
      </w:r>
      <w:r w:rsidR="000D4327" w:rsidRPr="000D565E">
        <w:rPr>
          <w:rFonts w:asciiTheme="minorHAnsi" w:eastAsia="Times New Roman" w:hAnsiTheme="minorHAnsi" w:cstheme="minorHAnsi"/>
          <w:sz w:val="24"/>
          <w:szCs w:val="24"/>
          <w:shd w:val="clear" w:color="auto" w:fill="FFFFFF"/>
        </w:rPr>
        <w:t xml:space="preserve">exceeds </w:t>
      </w:r>
      <w:r w:rsidR="00BC269E" w:rsidRPr="000D565E">
        <w:rPr>
          <w:rFonts w:asciiTheme="minorHAnsi" w:eastAsia="Times New Roman" w:hAnsiTheme="minorHAnsi" w:cstheme="minorHAnsi"/>
          <w:sz w:val="24"/>
          <w:szCs w:val="24"/>
          <w:shd w:val="clear" w:color="auto" w:fill="FFFFFF"/>
        </w:rPr>
        <w:t xml:space="preserve">the </w:t>
      </w:r>
      <w:r w:rsidR="000D4327" w:rsidRPr="000D565E">
        <w:rPr>
          <w:rFonts w:asciiTheme="minorHAnsi" w:eastAsia="Times New Roman" w:hAnsiTheme="minorHAnsi" w:cstheme="minorHAnsi"/>
          <w:sz w:val="24"/>
          <w:szCs w:val="24"/>
          <w:shd w:val="clear" w:color="auto" w:fill="FFFFFF"/>
        </w:rPr>
        <w:t>available</w:t>
      </w:r>
      <w:r w:rsidR="000D4327" w:rsidRPr="000D565E" w:rsidDel="000D4327">
        <w:rPr>
          <w:rFonts w:asciiTheme="minorHAnsi" w:eastAsia="Times New Roman" w:hAnsiTheme="minorHAnsi" w:cstheme="minorHAnsi"/>
          <w:sz w:val="24"/>
          <w:szCs w:val="24"/>
          <w:shd w:val="clear" w:color="auto" w:fill="FFFFFF"/>
        </w:rPr>
        <w:t xml:space="preserve"> </w:t>
      </w:r>
      <w:r w:rsidR="000D4327" w:rsidRPr="000D565E">
        <w:rPr>
          <w:rFonts w:asciiTheme="minorHAnsi" w:eastAsia="Times New Roman" w:hAnsiTheme="minorHAnsi" w:cstheme="minorHAnsi"/>
          <w:sz w:val="24"/>
          <w:szCs w:val="24"/>
          <w:shd w:val="clear" w:color="auto" w:fill="FFFFFF"/>
        </w:rPr>
        <w:t>number of</w:t>
      </w:r>
      <w:r w:rsidR="00BC269E" w:rsidRPr="000D565E">
        <w:rPr>
          <w:rFonts w:asciiTheme="minorHAnsi" w:eastAsia="Times New Roman" w:hAnsiTheme="minorHAnsi" w:cstheme="minorHAnsi"/>
          <w:sz w:val="24"/>
          <w:szCs w:val="24"/>
          <w:shd w:val="clear" w:color="auto" w:fill="FFFFFF"/>
        </w:rPr>
        <w:t xml:space="preserve"> </w:t>
      </w:r>
      <w:r w:rsidR="000D4327" w:rsidRPr="000D565E">
        <w:rPr>
          <w:rFonts w:asciiTheme="minorHAnsi" w:eastAsia="Times New Roman" w:hAnsiTheme="minorHAnsi" w:cstheme="minorHAnsi"/>
          <w:sz w:val="24"/>
          <w:szCs w:val="24"/>
          <w:shd w:val="clear" w:color="auto" w:fill="FFFFFF"/>
        </w:rPr>
        <w:t>Switch transactions through CSS and UK Link systems</w:t>
      </w:r>
      <w:r w:rsidR="00EC7860" w:rsidRPr="000D565E">
        <w:rPr>
          <w:rFonts w:asciiTheme="minorHAnsi" w:eastAsia="Times New Roman" w:hAnsiTheme="minorHAnsi" w:cstheme="minorHAnsi"/>
          <w:sz w:val="24"/>
          <w:szCs w:val="24"/>
          <w:shd w:val="clear" w:color="auto" w:fill="FFFFFF"/>
        </w:rPr>
        <w:t>.</w:t>
      </w:r>
      <w:r w:rsidR="00EC42B9" w:rsidRPr="000D565E">
        <w:rPr>
          <w:rFonts w:asciiTheme="minorHAnsi" w:eastAsia="Times New Roman" w:hAnsiTheme="minorHAnsi" w:cstheme="minorHAnsi"/>
          <w:sz w:val="24"/>
          <w:szCs w:val="24"/>
          <w:shd w:val="clear" w:color="auto" w:fill="FFFFFF"/>
        </w:rPr>
        <w:t xml:space="preserve"> It is anticipated that the number of switch requests submitted on any given day (average daily switch requests + switch requests to give effect to the </w:t>
      </w:r>
      <w:proofErr w:type="spellStart"/>
      <w:r w:rsidR="00EC42B9" w:rsidRPr="000D565E">
        <w:rPr>
          <w:rFonts w:asciiTheme="minorHAnsi" w:eastAsia="Times New Roman" w:hAnsiTheme="minorHAnsi" w:cstheme="minorHAnsi"/>
          <w:sz w:val="24"/>
          <w:szCs w:val="24"/>
          <w:shd w:val="clear" w:color="auto" w:fill="FFFFFF"/>
        </w:rPr>
        <w:t>SoLR</w:t>
      </w:r>
      <w:proofErr w:type="spellEnd"/>
      <w:r w:rsidR="00EC42B9" w:rsidRPr="000D565E">
        <w:rPr>
          <w:rFonts w:asciiTheme="minorHAnsi" w:eastAsia="Times New Roman" w:hAnsiTheme="minorHAnsi" w:cstheme="minorHAnsi"/>
          <w:sz w:val="24"/>
          <w:szCs w:val="24"/>
          <w:shd w:val="clear" w:color="auto" w:fill="FFFFFF"/>
        </w:rPr>
        <w:t>) would not exceed the daily Peak of Peaks volume set out in the CSS NFRs.</w:t>
      </w:r>
    </w:p>
    <w:p w14:paraId="2D213793" w14:textId="77777777" w:rsidR="00694462" w:rsidRPr="000D565E" w:rsidRDefault="00694462" w:rsidP="009F103C">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 xml:space="preserve">Ofgem have indicated that the effective date of the </w:t>
      </w:r>
      <w:proofErr w:type="spellStart"/>
      <w:r w:rsidRPr="000D565E">
        <w:rPr>
          <w:rFonts w:asciiTheme="minorHAnsi" w:eastAsia="Times New Roman" w:hAnsiTheme="minorHAnsi" w:cstheme="minorHAnsi"/>
          <w:sz w:val="24"/>
          <w:szCs w:val="24"/>
          <w:shd w:val="clear" w:color="auto" w:fill="FFFFFF"/>
        </w:rPr>
        <w:t>SoLR</w:t>
      </w:r>
      <w:proofErr w:type="spellEnd"/>
      <w:r w:rsidRPr="000D565E">
        <w:rPr>
          <w:rFonts w:asciiTheme="minorHAnsi" w:eastAsia="Times New Roman" w:hAnsiTheme="minorHAnsi" w:cstheme="minorHAnsi"/>
          <w:sz w:val="24"/>
          <w:szCs w:val="24"/>
          <w:shd w:val="clear" w:color="auto" w:fill="FFFFFF"/>
        </w:rPr>
        <w:t xml:space="preserve"> would apply to the legal notice served as part of the appointment of the Supplier of Last Resort, and not the date recorded in the CSS system (and UK Link systems).  From a Settlement perspective, until the Registration is made to align to the </w:t>
      </w:r>
      <w:proofErr w:type="spellStart"/>
      <w:r w:rsidRPr="000D565E">
        <w:rPr>
          <w:rFonts w:asciiTheme="minorHAnsi" w:eastAsia="Times New Roman" w:hAnsiTheme="minorHAnsi" w:cstheme="minorHAnsi"/>
          <w:sz w:val="24"/>
          <w:szCs w:val="24"/>
          <w:shd w:val="clear" w:color="auto" w:fill="FFFFFF"/>
        </w:rPr>
        <w:t>SoLR</w:t>
      </w:r>
      <w:proofErr w:type="spellEnd"/>
      <w:r w:rsidRPr="000D565E">
        <w:rPr>
          <w:rFonts w:asciiTheme="minorHAnsi" w:eastAsia="Times New Roman" w:hAnsiTheme="minorHAnsi" w:cstheme="minorHAnsi"/>
          <w:sz w:val="24"/>
          <w:szCs w:val="24"/>
          <w:shd w:val="clear" w:color="auto" w:fill="FFFFFF"/>
        </w:rPr>
        <w:t xml:space="preserve"> the Settlement processes have significant manual intervention.  This option would reduce the period of such intervention, but Shippers and Suppliers would need to ensure that their interactions, including Settlement processes, takes account of the date set out in the legal notice issued by Ofgem and potentially NOT the date recorded in CSS and UK Link systems.</w:t>
      </w:r>
    </w:p>
    <w:p w14:paraId="6E5DDEDD" w14:textId="77777777" w:rsidR="00FF5FE8" w:rsidRPr="000D565E" w:rsidRDefault="00FE470D" w:rsidP="009F103C">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 xml:space="preserve">Provided that the allowable volume of Registration transactions </w:t>
      </w:r>
      <w:proofErr w:type="gramStart"/>
      <w:r w:rsidRPr="000D565E">
        <w:rPr>
          <w:rFonts w:asciiTheme="minorHAnsi" w:eastAsia="Times New Roman" w:hAnsiTheme="minorHAnsi" w:cstheme="minorHAnsi"/>
          <w:sz w:val="24"/>
          <w:szCs w:val="24"/>
          <w:shd w:val="clear" w:color="auto" w:fill="FFFFFF"/>
        </w:rPr>
        <w:t>were</w:t>
      </w:r>
      <w:proofErr w:type="gramEnd"/>
      <w:r w:rsidRPr="000D565E">
        <w:rPr>
          <w:rFonts w:asciiTheme="minorHAnsi" w:eastAsia="Times New Roman" w:hAnsiTheme="minorHAnsi" w:cstheme="minorHAnsi"/>
          <w:sz w:val="24"/>
          <w:szCs w:val="24"/>
          <w:shd w:val="clear" w:color="auto" w:fill="FFFFFF"/>
        </w:rPr>
        <w:t xml:space="preserve"> consistent in CSS and UK Link systems</w:t>
      </w:r>
      <w:r w:rsidR="003303AE" w:rsidRPr="000D565E">
        <w:rPr>
          <w:rFonts w:asciiTheme="minorHAnsi" w:eastAsia="Times New Roman" w:hAnsiTheme="minorHAnsi" w:cstheme="minorHAnsi"/>
          <w:sz w:val="24"/>
          <w:szCs w:val="24"/>
          <w:shd w:val="clear" w:color="auto" w:fill="FFFFFF"/>
        </w:rPr>
        <w:t>,</w:t>
      </w:r>
      <w:r w:rsidRPr="000D565E">
        <w:rPr>
          <w:rFonts w:asciiTheme="minorHAnsi" w:eastAsia="Times New Roman" w:hAnsiTheme="minorHAnsi" w:cstheme="minorHAnsi"/>
          <w:sz w:val="24"/>
          <w:szCs w:val="24"/>
          <w:shd w:val="clear" w:color="auto" w:fill="FFFFFF"/>
        </w:rPr>
        <w:t xml:space="preserve"> t</w:t>
      </w:r>
      <w:r w:rsidR="00EC7860" w:rsidRPr="000D565E">
        <w:rPr>
          <w:rFonts w:asciiTheme="minorHAnsi" w:eastAsia="Times New Roman" w:hAnsiTheme="minorHAnsi" w:cstheme="minorHAnsi"/>
          <w:sz w:val="24"/>
          <w:szCs w:val="24"/>
          <w:shd w:val="clear" w:color="auto" w:fill="FFFFFF"/>
        </w:rPr>
        <w:t xml:space="preserve">his option would mean that the </w:t>
      </w:r>
      <w:r w:rsidRPr="000D565E">
        <w:rPr>
          <w:rFonts w:asciiTheme="minorHAnsi" w:eastAsia="Times New Roman" w:hAnsiTheme="minorHAnsi" w:cstheme="minorHAnsi"/>
          <w:sz w:val="24"/>
          <w:szCs w:val="24"/>
          <w:shd w:val="clear" w:color="auto" w:fill="FFFFFF"/>
        </w:rPr>
        <w:t>Supplier effective dates would align between the systems</w:t>
      </w:r>
      <w:r w:rsidR="00BC269E" w:rsidRPr="000D565E">
        <w:rPr>
          <w:rFonts w:asciiTheme="minorHAnsi" w:eastAsia="Times New Roman" w:hAnsiTheme="minorHAnsi" w:cstheme="minorHAnsi"/>
          <w:sz w:val="24"/>
          <w:szCs w:val="24"/>
          <w:shd w:val="clear" w:color="auto" w:fill="FFFFFF"/>
        </w:rPr>
        <w:t>, and any Change o</w:t>
      </w:r>
      <w:r w:rsidR="0045461A" w:rsidRPr="000D565E">
        <w:rPr>
          <w:rFonts w:asciiTheme="minorHAnsi" w:eastAsia="Times New Roman" w:hAnsiTheme="minorHAnsi" w:cstheme="minorHAnsi"/>
          <w:sz w:val="24"/>
          <w:szCs w:val="24"/>
          <w:shd w:val="clear" w:color="auto" w:fill="FFFFFF"/>
        </w:rPr>
        <w:t>f S</w:t>
      </w:r>
      <w:r w:rsidR="00BC269E" w:rsidRPr="000D565E">
        <w:rPr>
          <w:rFonts w:asciiTheme="minorHAnsi" w:eastAsia="Times New Roman" w:hAnsiTheme="minorHAnsi" w:cstheme="minorHAnsi"/>
          <w:sz w:val="24"/>
          <w:szCs w:val="24"/>
          <w:shd w:val="clear" w:color="auto" w:fill="FFFFFF"/>
        </w:rPr>
        <w:t xml:space="preserve">hipper requirements could be </w:t>
      </w:r>
      <w:r w:rsidR="0045461A" w:rsidRPr="000D565E">
        <w:rPr>
          <w:rFonts w:asciiTheme="minorHAnsi" w:eastAsia="Times New Roman" w:hAnsiTheme="minorHAnsi" w:cstheme="minorHAnsi"/>
          <w:sz w:val="24"/>
          <w:szCs w:val="24"/>
          <w:shd w:val="clear" w:color="auto" w:fill="FFFFFF"/>
        </w:rPr>
        <w:t>undertaken as part of this Registration transaction</w:t>
      </w:r>
      <w:r w:rsidR="00BC269E" w:rsidRPr="000D565E">
        <w:rPr>
          <w:rFonts w:asciiTheme="minorHAnsi" w:eastAsia="Times New Roman" w:hAnsiTheme="minorHAnsi" w:cstheme="minorHAnsi"/>
          <w:sz w:val="24"/>
          <w:szCs w:val="24"/>
          <w:shd w:val="clear" w:color="auto" w:fill="FFFFFF"/>
        </w:rPr>
        <w:t>.</w:t>
      </w:r>
      <w:r w:rsidR="004948D8" w:rsidRPr="000D565E">
        <w:rPr>
          <w:rFonts w:asciiTheme="minorHAnsi" w:eastAsia="Times New Roman" w:hAnsiTheme="minorHAnsi" w:cstheme="minorHAnsi"/>
          <w:sz w:val="24"/>
          <w:szCs w:val="24"/>
          <w:shd w:val="clear" w:color="auto" w:fill="FFFFFF"/>
        </w:rPr>
        <w:t xml:space="preserve">  The ROM Cost of this option would be less than Option 1</w:t>
      </w:r>
      <w:r w:rsidR="00EB502D" w:rsidRPr="000D565E">
        <w:rPr>
          <w:rFonts w:asciiTheme="minorHAnsi" w:eastAsia="Times New Roman" w:hAnsiTheme="minorHAnsi" w:cstheme="minorHAnsi"/>
          <w:sz w:val="24"/>
          <w:szCs w:val="24"/>
          <w:shd w:val="clear" w:color="auto" w:fill="FFFFFF"/>
        </w:rPr>
        <w:t>, but this option has the expected benefit that it has less impacts on other industry participants.</w:t>
      </w:r>
    </w:p>
    <w:p w14:paraId="223BB20F" w14:textId="77777777" w:rsidR="00FF5FE8" w:rsidRPr="000D565E" w:rsidRDefault="00FF5FE8" w:rsidP="009F103C">
      <w:pPr>
        <w:spacing w:line="360" w:lineRule="auto"/>
        <w:jc w:val="both"/>
        <w:rPr>
          <w:rFonts w:asciiTheme="minorHAnsi" w:eastAsia="Times New Roman" w:hAnsiTheme="minorHAnsi" w:cstheme="minorHAnsi"/>
          <w:sz w:val="24"/>
          <w:szCs w:val="24"/>
          <w:shd w:val="clear" w:color="auto" w:fill="FFFFFF"/>
        </w:rPr>
      </w:pPr>
    </w:p>
    <w:p w14:paraId="672AA0F8" w14:textId="77777777" w:rsidR="00FF5FE8" w:rsidRPr="000D565E" w:rsidRDefault="00FF5FE8" w:rsidP="009F103C">
      <w:pPr>
        <w:spacing w:line="360" w:lineRule="auto"/>
        <w:jc w:val="both"/>
        <w:rPr>
          <w:rStyle w:val="SubtleEmphasis"/>
          <w:rFonts w:asciiTheme="minorHAnsi" w:hAnsiTheme="minorHAnsi" w:cstheme="minorHAnsi"/>
          <w:color w:val="auto"/>
          <w:sz w:val="24"/>
          <w:szCs w:val="24"/>
        </w:rPr>
      </w:pPr>
      <w:r w:rsidRPr="000D565E">
        <w:rPr>
          <w:rStyle w:val="SubtleEmphasis"/>
          <w:rFonts w:asciiTheme="minorHAnsi" w:hAnsiTheme="minorHAnsi" w:cstheme="minorHAnsi"/>
          <w:color w:val="auto"/>
          <w:sz w:val="24"/>
          <w:szCs w:val="24"/>
        </w:rPr>
        <w:t>Impacts</w:t>
      </w:r>
    </w:p>
    <w:p w14:paraId="696E3AC9" w14:textId="5730CA50" w:rsidR="0045461A" w:rsidRPr="000D565E" w:rsidRDefault="0045461A" w:rsidP="0045461A">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lastRenderedPageBreak/>
        <w:t xml:space="preserve">At present, the Supplier update can happen retrospectively in UK Link systems, but the </w:t>
      </w:r>
      <w:proofErr w:type="spellStart"/>
      <w:r w:rsidRPr="000D565E">
        <w:rPr>
          <w:rFonts w:asciiTheme="minorHAnsi" w:eastAsia="Times New Roman" w:hAnsiTheme="minorHAnsi" w:cstheme="minorHAnsi"/>
          <w:sz w:val="24"/>
          <w:szCs w:val="24"/>
          <w:shd w:val="clear" w:color="auto" w:fill="FFFFFF"/>
        </w:rPr>
        <w:t>SoLR</w:t>
      </w:r>
      <w:proofErr w:type="spellEnd"/>
      <w:r w:rsidRPr="000D565E">
        <w:rPr>
          <w:rFonts w:asciiTheme="minorHAnsi" w:eastAsia="Times New Roman" w:hAnsiTheme="minorHAnsi" w:cstheme="minorHAnsi"/>
          <w:sz w:val="24"/>
          <w:szCs w:val="24"/>
          <w:shd w:val="clear" w:color="auto" w:fill="FFFFFF"/>
        </w:rPr>
        <w:t xml:space="preserve"> effective date is applied consistently when this is set in UK Link systems.  In this option, if the portfolio size exceeds the </w:t>
      </w:r>
      <w:r w:rsidR="003303AE" w:rsidRPr="000D565E">
        <w:rPr>
          <w:rFonts w:asciiTheme="minorHAnsi" w:eastAsia="Times New Roman" w:hAnsiTheme="minorHAnsi" w:cstheme="minorHAnsi"/>
          <w:sz w:val="24"/>
          <w:szCs w:val="24"/>
          <w:shd w:val="clear" w:color="auto" w:fill="FFFFFF"/>
        </w:rPr>
        <w:t>daily</w:t>
      </w:r>
      <w:r w:rsidRPr="000D565E">
        <w:rPr>
          <w:rFonts w:asciiTheme="minorHAnsi" w:eastAsia="Times New Roman" w:hAnsiTheme="minorHAnsi" w:cstheme="minorHAnsi"/>
          <w:sz w:val="24"/>
          <w:szCs w:val="24"/>
          <w:shd w:val="clear" w:color="auto" w:fill="FFFFFF"/>
        </w:rPr>
        <w:t xml:space="preserve"> Registration transaction volumetrics</w:t>
      </w:r>
      <w:r w:rsidR="006F34E5" w:rsidRPr="000D565E">
        <w:rPr>
          <w:rFonts w:asciiTheme="minorHAnsi" w:eastAsia="Times New Roman" w:hAnsiTheme="minorHAnsi" w:cstheme="minorHAnsi"/>
          <w:sz w:val="24"/>
          <w:szCs w:val="24"/>
          <w:shd w:val="clear" w:color="auto" w:fill="FFFFFF"/>
        </w:rPr>
        <w:t xml:space="preserve"> that the CSS; the UK Link system OR the </w:t>
      </w:r>
      <w:proofErr w:type="spellStart"/>
      <w:r w:rsidR="006F34E5" w:rsidRPr="000D565E">
        <w:rPr>
          <w:rFonts w:asciiTheme="minorHAnsi" w:eastAsia="Times New Roman" w:hAnsiTheme="minorHAnsi" w:cstheme="minorHAnsi"/>
          <w:sz w:val="24"/>
          <w:szCs w:val="24"/>
          <w:shd w:val="clear" w:color="auto" w:fill="FFFFFF"/>
        </w:rPr>
        <w:t>SoLR’s</w:t>
      </w:r>
      <w:proofErr w:type="spellEnd"/>
      <w:r w:rsidR="006F34E5" w:rsidRPr="000D565E">
        <w:rPr>
          <w:rFonts w:asciiTheme="minorHAnsi" w:eastAsia="Times New Roman" w:hAnsiTheme="minorHAnsi" w:cstheme="minorHAnsi"/>
          <w:sz w:val="24"/>
          <w:szCs w:val="24"/>
          <w:shd w:val="clear" w:color="auto" w:fill="FFFFFF"/>
        </w:rPr>
        <w:t xml:space="preserve"> system can </w:t>
      </w:r>
      <w:r w:rsidR="000D4327" w:rsidRPr="000D565E">
        <w:rPr>
          <w:rFonts w:asciiTheme="minorHAnsi" w:eastAsia="Times New Roman" w:hAnsiTheme="minorHAnsi" w:cstheme="minorHAnsi"/>
          <w:sz w:val="24"/>
          <w:szCs w:val="24"/>
          <w:shd w:val="clear" w:color="auto" w:fill="FFFFFF"/>
        </w:rPr>
        <w:t>accommodate</w:t>
      </w:r>
      <w:r w:rsidRPr="000D565E">
        <w:rPr>
          <w:rFonts w:asciiTheme="minorHAnsi" w:eastAsia="Times New Roman" w:hAnsiTheme="minorHAnsi" w:cstheme="minorHAnsi"/>
          <w:sz w:val="24"/>
          <w:szCs w:val="24"/>
          <w:shd w:val="clear" w:color="auto" w:fill="FFFFFF"/>
        </w:rPr>
        <w:t xml:space="preserve"> the </w:t>
      </w:r>
      <w:proofErr w:type="spellStart"/>
      <w:r w:rsidRPr="000D565E">
        <w:rPr>
          <w:rFonts w:asciiTheme="minorHAnsi" w:eastAsia="Times New Roman" w:hAnsiTheme="minorHAnsi" w:cstheme="minorHAnsi"/>
          <w:sz w:val="24"/>
          <w:szCs w:val="24"/>
          <w:shd w:val="clear" w:color="auto" w:fill="FFFFFF"/>
        </w:rPr>
        <w:t>SoLR</w:t>
      </w:r>
      <w:proofErr w:type="spellEnd"/>
      <w:r w:rsidRPr="000D565E">
        <w:rPr>
          <w:rFonts w:asciiTheme="minorHAnsi" w:eastAsia="Times New Roman" w:hAnsiTheme="minorHAnsi" w:cstheme="minorHAnsi"/>
          <w:sz w:val="24"/>
          <w:szCs w:val="24"/>
          <w:shd w:val="clear" w:color="auto" w:fill="FFFFFF"/>
        </w:rPr>
        <w:t xml:space="preserve"> the recorded effective date will vary within the portfolio</w:t>
      </w:r>
      <w:r w:rsidR="006F34E5" w:rsidRPr="000D565E">
        <w:rPr>
          <w:rFonts w:asciiTheme="minorHAnsi" w:eastAsia="Times New Roman" w:hAnsiTheme="minorHAnsi" w:cstheme="minorHAnsi"/>
          <w:sz w:val="24"/>
          <w:szCs w:val="24"/>
          <w:shd w:val="clear" w:color="auto" w:fill="FFFFFF"/>
        </w:rPr>
        <w:t xml:space="preserve"> (i.e. that the Supply Start Dates in CSS will be different for different proportions of the customers taken on by the </w:t>
      </w:r>
      <w:proofErr w:type="spellStart"/>
      <w:r w:rsidR="006F34E5" w:rsidRPr="000D565E">
        <w:rPr>
          <w:rFonts w:asciiTheme="minorHAnsi" w:eastAsia="Times New Roman" w:hAnsiTheme="minorHAnsi" w:cstheme="minorHAnsi"/>
          <w:sz w:val="24"/>
          <w:szCs w:val="24"/>
          <w:shd w:val="clear" w:color="auto" w:fill="FFFFFF"/>
        </w:rPr>
        <w:t>SoLR</w:t>
      </w:r>
      <w:proofErr w:type="spellEnd"/>
      <w:r w:rsidR="006F34E5" w:rsidRPr="000D565E">
        <w:rPr>
          <w:rFonts w:asciiTheme="minorHAnsi" w:eastAsia="Times New Roman" w:hAnsiTheme="minorHAnsi" w:cstheme="minorHAnsi"/>
          <w:sz w:val="24"/>
          <w:szCs w:val="24"/>
          <w:shd w:val="clear" w:color="auto" w:fill="FFFFFF"/>
        </w:rPr>
        <w:t xml:space="preserve"> (e.g. some will have a Supply Start Date on the </w:t>
      </w:r>
      <w:proofErr w:type="spellStart"/>
      <w:r w:rsidR="006F34E5" w:rsidRPr="000D565E">
        <w:rPr>
          <w:rFonts w:asciiTheme="minorHAnsi" w:eastAsia="Times New Roman" w:hAnsiTheme="minorHAnsi" w:cstheme="minorHAnsi"/>
          <w:sz w:val="24"/>
          <w:szCs w:val="24"/>
          <w:shd w:val="clear" w:color="auto" w:fill="FFFFFF"/>
        </w:rPr>
        <w:t>SoLR</w:t>
      </w:r>
      <w:proofErr w:type="spellEnd"/>
      <w:r w:rsidR="006F34E5" w:rsidRPr="000D565E">
        <w:rPr>
          <w:rFonts w:asciiTheme="minorHAnsi" w:eastAsia="Times New Roman" w:hAnsiTheme="minorHAnsi" w:cstheme="minorHAnsi"/>
          <w:sz w:val="24"/>
          <w:szCs w:val="24"/>
          <w:shd w:val="clear" w:color="auto" w:fill="FFFFFF"/>
        </w:rPr>
        <w:t xml:space="preserve"> Effective Date, some will be on </w:t>
      </w:r>
      <w:proofErr w:type="spellStart"/>
      <w:r w:rsidR="006F34E5" w:rsidRPr="000D565E">
        <w:rPr>
          <w:rFonts w:asciiTheme="minorHAnsi" w:eastAsia="Times New Roman" w:hAnsiTheme="minorHAnsi" w:cstheme="minorHAnsi"/>
          <w:sz w:val="24"/>
          <w:szCs w:val="24"/>
          <w:shd w:val="clear" w:color="auto" w:fill="FFFFFF"/>
        </w:rPr>
        <w:t>SoLR</w:t>
      </w:r>
      <w:proofErr w:type="spellEnd"/>
      <w:r w:rsidR="006F34E5" w:rsidRPr="000D565E">
        <w:rPr>
          <w:rFonts w:asciiTheme="minorHAnsi" w:eastAsia="Times New Roman" w:hAnsiTheme="minorHAnsi" w:cstheme="minorHAnsi"/>
          <w:sz w:val="24"/>
          <w:szCs w:val="24"/>
          <w:shd w:val="clear" w:color="auto" w:fill="FFFFFF"/>
        </w:rPr>
        <w:t xml:space="preserve"> Effective Date +1 etc.)</w:t>
      </w:r>
      <w:r w:rsidR="00775CDF" w:rsidRPr="000D565E">
        <w:rPr>
          <w:rFonts w:asciiTheme="minorHAnsi" w:eastAsia="Times New Roman" w:hAnsiTheme="minorHAnsi" w:cstheme="minorHAnsi"/>
          <w:sz w:val="24"/>
          <w:szCs w:val="24"/>
          <w:shd w:val="clear" w:color="auto" w:fill="FFFFFF"/>
        </w:rPr>
        <w:t>)</w:t>
      </w:r>
      <w:r w:rsidRPr="000D565E">
        <w:rPr>
          <w:rFonts w:asciiTheme="minorHAnsi" w:eastAsia="Times New Roman" w:hAnsiTheme="minorHAnsi" w:cstheme="minorHAnsi"/>
          <w:sz w:val="24"/>
          <w:szCs w:val="24"/>
          <w:shd w:val="clear" w:color="auto" w:fill="FFFFFF"/>
        </w:rPr>
        <w:t>.</w:t>
      </w:r>
    </w:p>
    <w:p w14:paraId="44D2120D" w14:textId="77777777" w:rsidR="003D3A4A" w:rsidRPr="000D565E" w:rsidRDefault="00E41146" w:rsidP="009F103C">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 xml:space="preserve">Transporters receive amendments to Shippers and Suppliers within their portfolio files from the CDSP, this is currently received retrospectively.  Under this option the period where an incorrect Supplier could be recorded is minimal, and probably shorter than the existing period whilst awaiting the new Shipper to generate the relevant Supplier appointment transactions, consequently this option is probably of limited impact to Transporters – but it should be noted that some emergency processes may rely on the field force being informed of the </w:t>
      </w:r>
      <w:proofErr w:type="spellStart"/>
      <w:r w:rsidRPr="000D565E">
        <w:rPr>
          <w:rFonts w:asciiTheme="minorHAnsi" w:eastAsia="Times New Roman" w:hAnsiTheme="minorHAnsi" w:cstheme="minorHAnsi"/>
          <w:sz w:val="24"/>
          <w:szCs w:val="24"/>
          <w:shd w:val="clear" w:color="auto" w:fill="FFFFFF"/>
        </w:rPr>
        <w:t>SoLR</w:t>
      </w:r>
      <w:proofErr w:type="spellEnd"/>
      <w:r w:rsidRPr="000D565E">
        <w:rPr>
          <w:rFonts w:asciiTheme="minorHAnsi" w:eastAsia="Times New Roman" w:hAnsiTheme="minorHAnsi" w:cstheme="minorHAnsi"/>
          <w:sz w:val="24"/>
          <w:szCs w:val="24"/>
          <w:shd w:val="clear" w:color="auto" w:fill="FFFFFF"/>
        </w:rPr>
        <w:t xml:space="preserve"> so that there is continuity of such services – such as Post Emergency Meter Work.</w:t>
      </w:r>
    </w:p>
    <w:p w14:paraId="4A0B5F2E" w14:textId="77777777" w:rsidR="00233ED6" w:rsidRPr="000D565E" w:rsidRDefault="004708E3" w:rsidP="00233ED6">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 xml:space="preserve">The cost of this option would depend upon </w:t>
      </w:r>
      <w:proofErr w:type="gramStart"/>
      <w:r w:rsidRPr="000D565E">
        <w:rPr>
          <w:rFonts w:asciiTheme="minorHAnsi" w:eastAsia="Times New Roman" w:hAnsiTheme="minorHAnsi" w:cstheme="minorHAnsi"/>
          <w:sz w:val="24"/>
          <w:szCs w:val="24"/>
          <w:shd w:val="clear" w:color="auto" w:fill="FFFFFF"/>
        </w:rPr>
        <w:t>a number of</w:t>
      </w:r>
      <w:proofErr w:type="gramEnd"/>
      <w:r w:rsidRPr="000D565E">
        <w:rPr>
          <w:rFonts w:asciiTheme="minorHAnsi" w:eastAsia="Times New Roman" w:hAnsiTheme="minorHAnsi" w:cstheme="minorHAnsi"/>
          <w:sz w:val="24"/>
          <w:szCs w:val="24"/>
          <w:shd w:val="clear" w:color="auto" w:fill="FFFFFF"/>
        </w:rPr>
        <w:t xml:space="preserve"> factors – not least outcomes of UK Link performance testing, and any performance tuning to reach existing obligations.  It will also depend on what proportion of the 250,000 additional peak day Switches (PERF160) through CSS would be required to be processed in gas versus electricity.  </w:t>
      </w:r>
      <w:proofErr w:type="gramStart"/>
      <w:r w:rsidRPr="000D565E">
        <w:rPr>
          <w:rFonts w:asciiTheme="minorHAnsi" w:eastAsia="Times New Roman" w:hAnsiTheme="minorHAnsi" w:cstheme="minorHAnsi"/>
          <w:sz w:val="24"/>
          <w:szCs w:val="24"/>
          <w:shd w:val="clear" w:color="auto" w:fill="FFFFFF"/>
        </w:rPr>
        <w:t>At the moment</w:t>
      </w:r>
      <w:proofErr w:type="gramEnd"/>
      <w:r w:rsidRPr="000D565E">
        <w:rPr>
          <w:rFonts w:asciiTheme="minorHAnsi" w:eastAsia="Times New Roman" w:hAnsiTheme="minorHAnsi" w:cstheme="minorHAnsi"/>
          <w:sz w:val="24"/>
          <w:szCs w:val="24"/>
          <w:shd w:val="clear" w:color="auto" w:fill="FFFFFF"/>
        </w:rPr>
        <w:t xml:space="preserve"> the assumption provided by the SI is that 45% of this value may be undertaken by UK Link systems on a gas peak day.  It would be expected that this volume would be increased in the event of a </w:t>
      </w:r>
      <w:proofErr w:type="spellStart"/>
      <w:r w:rsidRPr="000D565E">
        <w:rPr>
          <w:rFonts w:asciiTheme="minorHAnsi" w:eastAsia="Times New Roman" w:hAnsiTheme="minorHAnsi" w:cstheme="minorHAnsi"/>
          <w:sz w:val="24"/>
          <w:szCs w:val="24"/>
          <w:shd w:val="clear" w:color="auto" w:fill="FFFFFF"/>
        </w:rPr>
        <w:t>SoLR</w:t>
      </w:r>
      <w:proofErr w:type="spellEnd"/>
      <w:r w:rsidRPr="000D565E">
        <w:rPr>
          <w:rFonts w:asciiTheme="minorHAnsi" w:eastAsia="Times New Roman" w:hAnsiTheme="minorHAnsi" w:cstheme="minorHAnsi"/>
          <w:sz w:val="24"/>
          <w:szCs w:val="24"/>
          <w:shd w:val="clear" w:color="auto" w:fill="FFFFFF"/>
        </w:rPr>
        <w:t xml:space="preserve"> under this option.</w:t>
      </w:r>
      <w:r w:rsidR="00233ED6" w:rsidRPr="000D565E">
        <w:rPr>
          <w:rFonts w:asciiTheme="minorHAnsi" w:eastAsia="Times New Roman" w:hAnsiTheme="minorHAnsi" w:cstheme="minorHAnsi"/>
          <w:sz w:val="24"/>
          <w:szCs w:val="24"/>
          <w:shd w:val="clear" w:color="auto" w:fill="FFFFFF"/>
        </w:rPr>
        <w:t xml:space="preserve">  </w:t>
      </w:r>
    </w:p>
    <w:p w14:paraId="314F351D" w14:textId="77777777" w:rsidR="00554983" w:rsidRPr="000D565E" w:rsidRDefault="00554983" w:rsidP="00233ED6">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 xml:space="preserve">Performance testing has </w:t>
      </w:r>
      <w:proofErr w:type="gramStart"/>
      <w:r w:rsidRPr="000D565E">
        <w:rPr>
          <w:rFonts w:asciiTheme="minorHAnsi" w:eastAsia="Times New Roman" w:hAnsiTheme="minorHAnsi" w:cstheme="minorHAnsi"/>
          <w:sz w:val="24"/>
          <w:szCs w:val="24"/>
          <w:shd w:val="clear" w:color="auto" w:fill="FFFFFF"/>
        </w:rPr>
        <w:t>completed</w:t>
      </w:r>
      <w:proofErr w:type="gramEnd"/>
      <w:r w:rsidRPr="000D565E">
        <w:rPr>
          <w:rFonts w:asciiTheme="minorHAnsi" w:eastAsia="Times New Roman" w:hAnsiTheme="minorHAnsi" w:cstheme="minorHAnsi"/>
          <w:sz w:val="24"/>
          <w:szCs w:val="24"/>
          <w:shd w:val="clear" w:color="auto" w:fill="FFFFFF"/>
        </w:rPr>
        <w:t xml:space="preserve"> and we have proven we can meet the current requirements as stated.  Once it is confirmed in the event of a SOLR the number of transactions to be processed we may need to re-test numbers if greater than current.</w:t>
      </w:r>
    </w:p>
    <w:p w14:paraId="46B5655D" w14:textId="77777777" w:rsidR="00BF58B9" w:rsidRPr="000D565E" w:rsidRDefault="00BF58B9" w:rsidP="00554983">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 xml:space="preserve">This option relies on the </w:t>
      </w:r>
      <w:proofErr w:type="spellStart"/>
      <w:r w:rsidRPr="000D565E">
        <w:rPr>
          <w:rFonts w:asciiTheme="minorHAnsi" w:eastAsia="Times New Roman" w:hAnsiTheme="minorHAnsi" w:cstheme="minorHAnsi"/>
          <w:sz w:val="24"/>
          <w:szCs w:val="24"/>
          <w:shd w:val="clear" w:color="auto" w:fill="FFFFFF"/>
        </w:rPr>
        <w:t>SoLR</w:t>
      </w:r>
      <w:proofErr w:type="spellEnd"/>
      <w:r w:rsidRPr="000D565E">
        <w:rPr>
          <w:rFonts w:asciiTheme="minorHAnsi" w:eastAsia="Times New Roman" w:hAnsiTheme="minorHAnsi" w:cstheme="minorHAnsi"/>
          <w:sz w:val="24"/>
          <w:szCs w:val="24"/>
          <w:shd w:val="clear" w:color="auto" w:fill="FFFFFF"/>
        </w:rPr>
        <w:t xml:space="preserve"> party being able to generate the requisite number of Switching transactions.</w:t>
      </w:r>
    </w:p>
    <w:p w14:paraId="37FE73BB" w14:textId="77777777" w:rsidR="00BF58B9" w:rsidRPr="000D565E" w:rsidRDefault="00BF58B9" w:rsidP="009F103C">
      <w:pPr>
        <w:pStyle w:val="Heading2"/>
        <w:jc w:val="both"/>
        <w:rPr>
          <w:rStyle w:val="Heading2Char"/>
        </w:rPr>
      </w:pPr>
    </w:p>
    <w:p w14:paraId="37AAA9B2" w14:textId="77777777" w:rsidR="006A0D09" w:rsidRPr="000D565E" w:rsidRDefault="006A0D09" w:rsidP="009F103C">
      <w:pPr>
        <w:pStyle w:val="Heading2"/>
        <w:jc w:val="both"/>
      </w:pPr>
      <w:r w:rsidRPr="000D565E">
        <w:rPr>
          <w:rStyle w:val="Heading2Char"/>
        </w:rPr>
        <w:t>Option 3</w:t>
      </w:r>
      <w:r w:rsidRPr="000D565E">
        <w:t xml:space="preserve"> </w:t>
      </w:r>
      <w:r w:rsidRPr="000D565E">
        <w:rPr>
          <w:rStyle w:val="Heading2Char"/>
        </w:rPr>
        <w:t xml:space="preserve">– </w:t>
      </w:r>
      <w:r w:rsidR="00E41146" w:rsidRPr="000D565E">
        <w:rPr>
          <w:rStyle w:val="Heading2Char"/>
        </w:rPr>
        <w:t xml:space="preserve">Retain separate process within UKL for maintaining Supplier in the event of </w:t>
      </w:r>
      <w:proofErr w:type="spellStart"/>
      <w:r w:rsidR="00E41146" w:rsidRPr="000D565E">
        <w:rPr>
          <w:rStyle w:val="Heading2Char"/>
        </w:rPr>
        <w:t>SoLR</w:t>
      </w:r>
      <w:proofErr w:type="spellEnd"/>
      <w:r w:rsidR="00E41146" w:rsidRPr="000D565E">
        <w:rPr>
          <w:rStyle w:val="Heading2Char"/>
        </w:rPr>
        <w:t xml:space="preserve"> event – retrospectively insert a break into the UKL history AND revert to original Supplier Id for </w:t>
      </w:r>
      <w:proofErr w:type="spellStart"/>
      <w:r w:rsidR="00E41146" w:rsidRPr="000D565E">
        <w:rPr>
          <w:rStyle w:val="Heading2Char"/>
        </w:rPr>
        <w:t>SoLR</w:t>
      </w:r>
      <w:proofErr w:type="spellEnd"/>
    </w:p>
    <w:p w14:paraId="293CE68F" w14:textId="77777777" w:rsidR="006A0D09" w:rsidRPr="000D565E" w:rsidRDefault="00FF5FE8" w:rsidP="009F103C">
      <w:pPr>
        <w:spacing w:line="360" w:lineRule="auto"/>
        <w:jc w:val="both"/>
        <w:rPr>
          <w:rStyle w:val="SubtleEmphasis"/>
          <w:rFonts w:asciiTheme="minorHAnsi" w:hAnsiTheme="minorHAnsi" w:cstheme="minorHAnsi"/>
          <w:color w:val="auto"/>
          <w:sz w:val="24"/>
          <w:szCs w:val="24"/>
        </w:rPr>
      </w:pPr>
      <w:r w:rsidRPr="000D565E">
        <w:rPr>
          <w:rStyle w:val="SubtleEmphasis"/>
          <w:rFonts w:asciiTheme="minorHAnsi" w:hAnsiTheme="minorHAnsi" w:cstheme="minorHAnsi"/>
          <w:color w:val="auto"/>
          <w:sz w:val="24"/>
          <w:szCs w:val="24"/>
        </w:rPr>
        <w:t>Summary</w:t>
      </w:r>
    </w:p>
    <w:p w14:paraId="2065CE13" w14:textId="5743BB3B" w:rsidR="006A0D09" w:rsidRPr="000D565E" w:rsidRDefault="004A008B" w:rsidP="009F103C">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 xml:space="preserve">This option </w:t>
      </w:r>
      <w:r w:rsidR="00E41146" w:rsidRPr="000D565E">
        <w:rPr>
          <w:rFonts w:asciiTheme="minorHAnsi" w:eastAsia="Times New Roman" w:hAnsiTheme="minorHAnsi" w:cstheme="minorHAnsi"/>
          <w:sz w:val="24"/>
          <w:szCs w:val="24"/>
          <w:shd w:val="clear" w:color="auto" w:fill="FFFFFF"/>
        </w:rPr>
        <w:t xml:space="preserve">proposes that the Supplier Market Participant Identity </w:t>
      </w:r>
      <w:r w:rsidR="00766885" w:rsidRPr="000D565E">
        <w:rPr>
          <w:rFonts w:asciiTheme="minorHAnsi" w:eastAsia="Times New Roman" w:hAnsiTheme="minorHAnsi" w:cstheme="minorHAnsi"/>
          <w:sz w:val="24"/>
          <w:szCs w:val="24"/>
          <w:shd w:val="clear" w:color="auto" w:fill="FFFFFF"/>
        </w:rPr>
        <w:t>can be</w:t>
      </w:r>
      <w:r w:rsidR="00E41146" w:rsidRPr="000D565E">
        <w:rPr>
          <w:rFonts w:asciiTheme="minorHAnsi" w:eastAsia="Times New Roman" w:hAnsiTheme="minorHAnsi" w:cstheme="minorHAnsi"/>
          <w:sz w:val="24"/>
          <w:szCs w:val="24"/>
          <w:shd w:val="clear" w:color="auto" w:fill="FFFFFF"/>
        </w:rPr>
        <w:t xml:space="preserve"> re-a</w:t>
      </w:r>
      <w:r w:rsidR="00766885" w:rsidRPr="000D565E">
        <w:rPr>
          <w:rFonts w:asciiTheme="minorHAnsi" w:eastAsia="Times New Roman" w:hAnsiTheme="minorHAnsi" w:cstheme="minorHAnsi"/>
          <w:sz w:val="24"/>
          <w:szCs w:val="24"/>
          <w:shd w:val="clear" w:color="auto" w:fill="FFFFFF"/>
        </w:rPr>
        <w:t>s</w:t>
      </w:r>
      <w:r w:rsidR="00E41146" w:rsidRPr="000D565E">
        <w:rPr>
          <w:rFonts w:asciiTheme="minorHAnsi" w:eastAsia="Times New Roman" w:hAnsiTheme="minorHAnsi" w:cstheme="minorHAnsi"/>
          <w:sz w:val="24"/>
          <w:szCs w:val="24"/>
          <w:shd w:val="clear" w:color="auto" w:fill="FFFFFF"/>
        </w:rPr>
        <w:t>signed, but in order to try to minimise the impacts to the gas sector</w:t>
      </w:r>
      <w:r w:rsidR="000D02C7" w:rsidRPr="000D565E">
        <w:rPr>
          <w:rFonts w:asciiTheme="minorHAnsi" w:eastAsia="Times New Roman" w:hAnsiTheme="minorHAnsi" w:cstheme="minorHAnsi"/>
          <w:sz w:val="24"/>
          <w:szCs w:val="24"/>
          <w:shd w:val="clear" w:color="auto" w:fill="FFFFFF"/>
        </w:rPr>
        <w:t>,</w:t>
      </w:r>
      <w:r w:rsidR="00E41146" w:rsidRPr="000D565E">
        <w:rPr>
          <w:rFonts w:asciiTheme="minorHAnsi" w:eastAsia="Times New Roman" w:hAnsiTheme="minorHAnsi" w:cstheme="minorHAnsi"/>
          <w:sz w:val="24"/>
          <w:szCs w:val="24"/>
          <w:shd w:val="clear" w:color="auto" w:fill="FFFFFF"/>
        </w:rPr>
        <w:t xml:space="preserve"> the UK Link system </w:t>
      </w:r>
      <w:r w:rsidR="000D02C7" w:rsidRPr="000D565E">
        <w:rPr>
          <w:rFonts w:asciiTheme="minorHAnsi" w:eastAsia="Times New Roman" w:hAnsiTheme="minorHAnsi" w:cstheme="minorHAnsi"/>
          <w:sz w:val="24"/>
          <w:szCs w:val="24"/>
          <w:shd w:val="clear" w:color="auto" w:fill="FFFFFF"/>
        </w:rPr>
        <w:t xml:space="preserve">will </w:t>
      </w:r>
      <w:r w:rsidR="00E41146" w:rsidRPr="000D565E">
        <w:rPr>
          <w:rFonts w:asciiTheme="minorHAnsi" w:eastAsia="Times New Roman" w:hAnsiTheme="minorHAnsi" w:cstheme="minorHAnsi"/>
          <w:sz w:val="24"/>
          <w:szCs w:val="24"/>
          <w:shd w:val="clear" w:color="auto" w:fill="FFFFFF"/>
        </w:rPr>
        <w:t xml:space="preserve">retain the GEA File to update the Supplier identity and utilises this to insert an entry into the Supplier history for [D-1 from the </w:t>
      </w:r>
      <w:proofErr w:type="spellStart"/>
      <w:r w:rsidR="00E41146" w:rsidRPr="000D565E">
        <w:rPr>
          <w:rFonts w:asciiTheme="minorHAnsi" w:eastAsia="Times New Roman" w:hAnsiTheme="minorHAnsi" w:cstheme="minorHAnsi"/>
          <w:sz w:val="24"/>
          <w:szCs w:val="24"/>
          <w:shd w:val="clear" w:color="auto" w:fill="FFFFFF"/>
        </w:rPr>
        <w:t>SoLR</w:t>
      </w:r>
      <w:proofErr w:type="spellEnd"/>
      <w:r w:rsidR="00E41146" w:rsidRPr="000D565E">
        <w:rPr>
          <w:rFonts w:asciiTheme="minorHAnsi" w:eastAsia="Times New Roman" w:hAnsiTheme="minorHAnsi" w:cstheme="minorHAnsi"/>
          <w:sz w:val="24"/>
          <w:szCs w:val="24"/>
          <w:shd w:val="clear" w:color="auto" w:fill="FFFFFF"/>
        </w:rPr>
        <w:t xml:space="preserve"> Effective Date], and then the Market Participant is then re-instated with effect </w:t>
      </w:r>
      <w:r w:rsidR="00766885" w:rsidRPr="000D565E">
        <w:rPr>
          <w:rFonts w:asciiTheme="minorHAnsi" w:eastAsia="Times New Roman" w:hAnsiTheme="minorHAnsi" w:cstheme="minorHAnsi"/>
          <w:sz w:val="24"/>
          <w:szCs w:val="24"/>
          <w:shd w:val="clear" w:color="auto" w:fill="FFFFFF"/>
        </w:rPr>
        <w:t xml:space="preserve">from the </w:t>
      </w:r>
      <w:proofErr w:type="spellStart"/>
      <w:r w:rsidR="00766885" w:rsidRPr="000D565E">
        <w:rPr>
          <w:rFonts w:asciiTheme="minorHAnsi" w:eastAsia="Times New Roman" w:hAnsiTheme="minorHAnsi" w:cstheme="minorHAnsi"/>
          <w:sz w:val="24"/>
          <w:szCs w:val="24"/>
          <w:shd w:val="clear" w:color="auto" w:fill="FFFFFF"/>
        </w:rPr>
        <w:t>SoLR</w:t>
      </w:r>
      <w:proofErr w:type="spellEnd"/>
      <w:r w:rsidR="00766885" w:rsidRPr="000D565E">
        <w:rPr>
          <w:rFonts w:asciiTheme="minorHAnsi" w:eastAsia="Times New Roman" w:hAnsiTheme="minorHAnsi" w:cstheme="minorHAnsi"/>
          <w:sz w:val="24"/>
          <w:szCs w:val="24"/>
          <w:shd w:val="clear" w:color="auto" w:fill="FFFFFF"/>
        </w:rPr>
        <w:t xml:space="preserve"> Effective Date</w:t>
      </w:r>
      <w:r w:rsidR="00E41146" w:rsidRPr="000D565E">
        <w:rPr>
          <w:rFonts w:asciiTheme="minorHAnsi" w:eastAsia="Times New Roman" w:hAnsiTheme="minorHAnsi" w:cstheme="minorHAnsi"/>
          <w:sz w:val="24"/>
          <w:szCs w:val="24"/>
          <w:shd w:val="clear" w:color="auto" w:fill="FFFFFF"/>
        </w:rPr>
        <w:t xml:space="preserve">.  The benefit of doing so is that the </w:t>
      </w:r>
      <w:r w:rsidR="00FB5D39" w:rsidRPr="000D565E">
        <w:rPr>
          <w:rFonts w:asciiTheme="minorHAnsi" w:eastAsia="Times New Roman" w:hAnsiTheme="minorHAnsi" w:cstheme="minorHAnsi"/>
          <w:sz w:val="24"/>
          <w:szCs w:val="24"/>
          <w:shd w:val="clear" w:color="auto" w:fill="FFFFFF"/>
        </w:rPr>
        <w:t xml:space="preserve">history in UK Link </w:t>
      </w:r>
      <w:r w:rsidR="000B5A2F" w:rsidRPr="000D565E">
        <w:rPr>
          <w:rFonts w:asciiTheme="minorHAnsi" w:eastAsia="Times New Roman" w:hAnsiTheme="minorHAnsi" w:cstheme="minorHAnsi"/>
          <w:sz w:val="24"/>
          <w:szCs w:val="24"/>
          <w:shd w:val="clear" w:color="auto" w:fill="FFFFFF"/>
        </w:rPr>
        <w:t>system i</w:t>
      </w:r>
      <w:r w:rsidR="00FB5D39" w:rsidRPr="000D565E">
        <w:rPr>
          <w:rFonts w:asciiTheme="minorHAnsi" w:eastAsia="Times New Roman" w:hAnsiTheme="minorHAnsi" w:cstheme="minorHAnsi"/>
          <w:sz w:val="24"/>
          <w:szCs w:val="24"/>
          <w:shd w:val="clear" w:color="auto" w:fill="FFFFFF"/>
        </w:rPr>
        <w:t>s broken so that there is no need to amend the structure of the UK Link system tables to record the different start and end dates entities as the Supplier</w:t>
      </w:r>
      <w:r w:rsidR="006F34E5" w:rsidRPr="000D565E">
        <w:rPr>
          <w:rFonts w:asciiTheme="minorHAnsi" w:eastAsia="Times New Roman" w:hAnsiTheme="minorHAnsi" w:cstheme="minorHAnsi"/>
          <w:sz w:val="24"/>
          <w:szCs w:val="24"/>
          <w:shd w:val="clear" w:color="auto" w:fill="FFFFFF"/>
        </w:rPr>
        <w:t xml:space="preserve"> in order to eliminate the risk of inappropriate data disclosure</w:t>
      </w:r>
      <w:r w:rsidR="003D1541" w:rsidRPr="000D565E">
        <w:rPr>
          <w:rFonts w:asciiTheme="minorHAnsi" w:eastAsia="Times New Roman" w:hAnsiTheme="minorHAnsi" w:cstheme="minorHAnsi"/>
          <w:sz w:val="24"/>
          <w:szCs w:val="24"/>
          <w:shd w:val="clear" w:color="auto" w:fill="FFFFFF"/>
        </w:rPr>
        <w:t>.</w:t>
      </w:r>
      <w:r w:rsidR="000B5A2F" w:rsidRPr="000D565E">
        <w:rPr>
          <w:rFonts w:asciiTheme="minorHAnsi" w:eastAsia="Times New Roman" w:hAnsiTheme="minorHAnsi" w:cstheme="minorHAnsi"/>
          <w:sz w:val="24"/>
          <w:szCs w:val="24"/>
          <w:shd w:val="clear" w:color="auto" w:fill="FFFFFF"/>
        </w:rPr>
        <w:t xml:space="preserve">  Further</w:t>
      </w:r>
      <w:r w:rsidR="00EA5824" w:rsidRPr="000D565E">
        <w:rPr>
          <w:rFonts w:asciiTheme="minorHAnsi" w:eastAsia="Times New Roman" w:hAnsiTheme="minorHAnsi" w:cstheme="minorHAnsi"/>
          <w:sz w:val="24"/>
          <w:szCs w:val="24"/>
          <w:shd w:val="clear" w:color="auto" w:fill="FFFFFF"/>
        </w:rPr>
        <w:t>,</w:t>
      </w:r>
      <w:r w:rsidR="000B5A2F" w:rsidRPr="000D565E">
        <w:rPr>
          <w:rFonts w:asciiTheme="minorHAnsi" w:eastAsia="Times New Roman" w:hAnsiTheme="minorHAnsi" w:cstheme="minorHAnsi"/>
          <w:sz w:val="24"/>
          <w:szCs w:val="24"/>
          <w:shd w:val="clear" w:color="auto" w:fill="FFFFFF"/>
        </w:rPr>
        <w:t xml:space="preserve"> it is expected that the impact to other industry parties would be minimal as all relevant dates would align – i.e. the effective date of the legal notice of the </w:t>
      </w:r>
      <w:proofErr w:type="spellStart"/>
      <w:r w:rsidR="000B5A2F" w:rsidRPr="000D565E">
        <w:rPr>
          <w:rFonts w:asciiTheme="minorHAnsi" w:eastAsia="Times New Roman" w:hAnsiTheme="minorHAnsi" w:cstheme="minorHAnsi"/>
          <w:sz w:val="24"/>
          <w:szCs w:val="24"/>
          <w:shd w:val="clear" w:color="auto" w:fill="FFFFFF"/>
        </w:rPr>
        <w:t>SoLR</w:t>
      </w:r>
      <w:proofErr w:type="spellEnd"/>
      <w:r w:rsidR="000B5A2F" w:rsidRPr="000D565E">
        <w:rPr>
          <w:rFonts w:asciiTheme="minorHAnsi" w:eastAsia="Times New Roman" w:hAnsiTheme="minorHAnsi" w:cstheme="minorHAnsi"/>
          <w:sz w:val="24"/>
          <w:szCs w:val="24"/>
          <w:shd w:val="clear" w:color="auto" w:fill="FFFFFF"/>
        </w:rPr>
        <w:t xml:space="preserve"> and the Registration on both CSS and UK Link systems would align.  Transporters would receive notices of the appointment of the new entity.  This option would however require the existing MDD processes to be amended to ensure that Market Participant re-assignment can take effect – this will impact </w:t>
      </w:r>
      <w:proofErr w:type="gramStart"/>
      <w:r w:rsidR="000B5A2F" w:rsidRPr="000D565E">
        <w:rPr>
          <w:rFonts w:asciiTheme="minorHAnsi" w:eastAsia="Times New Roman" w:hAnsiTheme="minorHAnsi" w:cstheme="minorHAnsi"/>
          <w:sz w:val="24"/>
          <w:szCs w:val="24"/>
          <w:shd w:val="clear" w:color="auto" w:fill="FFFFFF"/>
        </w:rPr>
        <w:t>a number of</w:t>
      </w:r>
      <w:proofErr w:type="gramEnd"/>
      <w:r w:rsidR="000B5A2F" w:rsidRPr="000D565E">
        <w:rPr>
          <w:rFonts w:asciiTheme="minorHAnsi" w:eastAsia="Times New Roman" w:hAnsiTheme="minorHAnsi" w:cstheme="minorHAnsi"/>
          <w:sz w:val="24"/>
          <w:szCs w:val="24"/>
          <w:shd w:val="clear" w:color="auto" w:fill="FFFFFF"/>
        </w:rPr>
        <w:t xml:space="preserve"> industry participants. </w:t>
      </w:r>
    </w:p>
    <w:p w14:paraId="7C9F655F" w14:textId="77777777" w:rsidR="004A008B" w:rsidRPr="000D565E" w:rsidRDefault="00FF5FE8" w:rsidP="009F103C">
      <w:pPr>
        <w:spacing w:line="360" w:lineRule="auto"/>
        <w:jc w:val="both"/>
        <w:rPr>
          <w:rStyle w:val="SubtleEmphasis"/>
          <w:rFonts w:asciiTheme="minorHAnsi" w:hAnsiTheme="minorHAnsi" w:cstheme="minorHAnsi"/>
          <w:color w:val="auto"/>
          <w:sz w:val="24"/>
          <w:szCs w:val="24"/>
        </w:rPr>
      </w:pPr>
      <w:r w:rsidRPr="000D565E">
        <w:rPr>
          <w:rStyle w:val="SubtleEmphasis"/>
          <w:rFonts w:asciiTheme="minorHAnsi" w:hAnsiTheme="minorHAnsi" w:cstheme="minorHAnsi"/>
          <w:color w:val="auto"/>
          <w:sz w:val="24"/>
          <w:szCs w:val="24"/>
        </w:rPr>
        <w:t>Impacts</w:t>
      </w:r>
    </w:p>
    <w:p w14:paraId="0A00EFBE" w14:textId="77777777" w:rsidR="000B5A2F" w:rsidRPr="000D565E" w:rsidRDefault="000B5A2F" w:rsidP="009F103C">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 xml:space="preserve">No impacts to </w:t>
      </w:r>
      <w:r w:rsidR="00672CE3" w:rsidRPr="000D565E">
        <w:rPr>
          <w:rFonts w:asciiTheme="minorHAnsi" w:eastAsia="Times New Roman" w:hAnsiTheme="minorHAnsi" w:cstheme="minorHAnsi"/>
          <w:sz w:val="24"/>
          <w:szCs w:val="24"/>
          <w:shd w:val="clear" w:color="auto" w:fill="FFFFFF"/>
        </w:rPr>
        <w:t xml:space="preserve">the </w:t>
      </w:r>
      <w:r w:rsidRPr="000D565E">
        <w:rPr>
          <w:rFonts w:asciiTheme="minorHAnsi" w:eastAsia="Times New Roman" w:hAnsiTheme="minorHAnsi" w:cstheme="minorHAnsi"/>
          <w:sz w:val="24"/>
          <w:szCs w:val="24"/>
          <w:shd w:val="clear" w:color="auto" w:fill="FFFFFF"/>
        </w:rPr>
        <w:t xml:space="preserve">CSS system.  This will require detailed impact assessment from the UK Link CSSC Programme as it will require that the GEA is retained – whereas this was intended to be </w:t>
      </w:r>
      <w:r w:rsidR="00672CE3" w:rsidRPr="000D565E">
        <w:rPr>
          <w:rFonts w:asciiTheme="minorHAnsi" w:eastAsia="Times New Roman" w:hAnsiTheme="minorHAnsi" w:cstheme="minorHAnsi"/>
          <w:sz w:val="24"/>
          <w:szCs w:val="24"/>
          <w:shd w:val="clear" w:color="auto" w:fill="FFFFFF"/>
        </w:rPr>
        <w:t>decommissioned</w:t>
      </w:r>
      <w:r w:rsidRPr="000D565E">
        <w:rPr>
          <w:rFonts w:asciiTheme="minorHAnsi" w:eastAsia="Times New Roman" w:hAnsiTheme="minorHAnsi" w:cstheme="minorHAnsi"/>
          <w:sz w:val="24"/>
          <w:szCs w:val="24"/>
          <w:shd w:val="clear" w:color="auto" w:fill="FFFFFF"/>
        </w:rPr>
        <w:t xml:space="preserve"> at CSS Implementa</w:t>
      </w:r>
      <w:r w:rsidR="00672CE3" w:rsidRPr="000D565E">
        <w:rPr>
          <w:rFonts w:asciiTheme="minorHAnsi" w:eastAsia="Times New Roman" w:hAnsiTheme="minorHAnsi" w:cstheme="minorHAnsi"/>
          <w:sz w:val="24"/>
          <w:szCs w:val="24"/>
          <w:shd w:val="clear" w:color="auto" w:fill="FFFFFF"/>
        </w:rPr>
        <w:t>t</w:t>
      </w:r>
      <w:r w:rsidRPr="000D565E">
        <w:rPr>
          <w:rFonts w:asciiTheme="minorHAnsi" w:eastAsia="Times New Roman" w:hAnsiTheme="minorHAnsi" w:cstheme="minorHAnsi"/>
          <w:sz w:val="24"/>
          <w:szCs w:val="24"/>
          <w:shd w:val="clear" w:color="auto" w:fill="FFFFFF"/>
        </w:rPr>
        <w:t xml:space="preserve">ion for the purposes of Supplier appointment.  This will require detailed assessment to the UNC </w:t>
      </w:r>
      <w:r w:rsidR="00BF58B9" w:rsidRPr="000D565E">
        <w:rPr>
          <w:rFonts w:asciiTheme="minorHAnsi" w:eastAsia="Times New Roman" w:hAnsiTheme="minorHAnsi" w:cstheme="minorHAnsi"/>
          <w:sz w:val="24"/>
          <w:szCs w:val="24"/>
          <w:shd w:val="clear" w:color="auto" w:fill="FFFFFF"/>
        </w:rPr>
        <w:t xml:space="preserve">text </w:t>
      </w:r>
      <w:r w:rsidRPr="000D565E">
        <w:rPr>
          <w:rFonts w:asciiTheme="minorHAnsi" w:eastAsia="Times New Roman" w:hAnsiTheme="minorHAnsi" w:cstheme="minorHAnsi"/>
          <w:sz w:val="24"/>
          <w:szCs w:val="24"/>
          <w:shd w:val="clear" w:color="auto" w:fill="FFFFFF"/>
        </w:rPr>
        <w:t>changes proposed</w:t>
      </w:r>
      <w:r w:rsidR="002F3CA5" w:rsidRPr="000D565E">
        <w:rPr>
          <w:rFonts w:asciiTheme="minorHAnsi" w:eastAsia="Times New Roman" w:hAnsiTheme="minorHAnsi" w:cstheme="minorHAnsi"/>
          <w:sz w:val="24"/>
          <w:szCs w:val="24"/>
          <w:shd w:val="clear" w:color="auto" w:fill="FFFFFF"/>
        </w:rPr>
        <w:t>.</w:t>
      </w:r>
    </w:p>
    <w:p w14:paraId="60F9F3CF" w14:textId="77777777" w:rsidR="00BF58B9" w:rsidRPr="000D565E" w:rsidRDefault="00BF58B9" w:rsidP="009F103C">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 xml:space="preserve">[This option will need to be assessed by gas sector participants.  The benefit of this option is that it gives a clear demarcation to participants about the effective date from which the </w:t>
      </w:r>
      <w:proofErr w:type="spellStart"/>
      <w:r w:rsidRPr="000D565E">
        <w:rPr>
          <w:rFonts w:asciiTheme="minorHAnsi" w:eastAsia="Times New Roman" w:hAnsiTheme="minorHAnsi" w:cstheme="minorHAnsi"/>
          <w:sz w:val="24"/>
          <w:szCs w:val="24"/>
          <w:shd w:val="clear" w:color="auto" w:fill="FFFFFF"/>
        </w:rPr>
        <w:t>SoLR</w:t>
      </w:r>
      <w:proofErr w:type="spellEnd"/>
      <w:r w:rsidRPr="000D565E">
        <w:rPr>
          <w:rFonts w:asciiTheme="minorHAnsi" w:eastAsia="Times New Roman" w:hAnsiTheme="minorHAnsi" w:cstheme="minorHAnsi"/>
          <w:sz w:val="24"/>
          <w:szCs w:val="24"/>
          <w:shd w:val="clear" w:color="auto" w:fill="FFFFFF"/>
        </w:rPr>
        <w:t xml:space="preserve"> takes effect, but it does require parties to be able to amend the entity associated with a given MP Id.  If gas sector parties are unable to do so, then this option will be </w:t>
      </w:r>
      <w:r w:rsidR="000D02C7" w:rsidRPr="000D565E">
        <w:rPr>
          <w:rFonts w:asciiTheme="minorHAnsi" w:eastAsia="Times New Roman" w:hAnsiTheme="minorHAnsi" w:cstheme="minorHAnsi"/>
          <w:sz w:val="24"/>
          <w:szCs w:val="24"/>
          <w:shd w:val="clear" w:color="auto" w:fill="FFFFFF"/>
        </w:rPr>
        <w:t>discounted [?]</w:t>
      </w:r>
    </w:p>
    <w:p w14:paraId="700B3758" w14:textId="77777777" w:rsidR="00233F9B" w:rsidRPr="000D565E" w:rsidRDefault="00233F9B" w:rsidP="009F103C">
      <w:pPr>
        <w:spacing w:line="360" w:lineRule="auto"/>
        <w:jc w:val="both"/>
        <w:rPr>
          <w:rFonts w:asciiTheme="minorHAnsi" w:eastAsia="Times New Roman" w:hAnsiTheme="minorHAnsi" w:cstheme="minorHAnsi"/>
          <w:sz w:val="24"/>
          <w:szCs w:val="24"/>
          <w:shd w:val="clear" w:color="auto" w:fill="FFFFFF"/>
        </w:rPr>
      </w:pPr>
    </w:p>
    <w:p w14:paraId="7957216D" w14:textId="77777777" w:rsidR="00062299" w:rsidRPr="000D565E" w:rsidRDefault="00062299" w:rsidP="00062299">
      <w:pPr>
        <w:pStyle w:val="Heading1"/>
        <w:jc w:val="both"/>
        <w:rPr>
          <w:rStyle w:val="SubtleEmphasis"/>
          <w:i w:val="0"/>
          <w:iCs w:val="0"/>
          <w:color w:val="2F5496" w:themeColor="accent1" w:themeShade="BF"/>
        </w:rPr>
      </w:pPr>
      <w:r w:rsidRPr="000D565E">
        <w:rPr>
          <w:rStyle w:val="SubtleEmphasis"/>
          <w:i w:val="0"/>
          <w:iCs w:val="0"/>
          <w:color w:val="2F5496" w:themeColor="accent1" w:themeShade="BF"/>
        </w:rPr>
        <w:lastRenderedPageBreak/>
        <w:t>Current Position</w:t>
      </w:r>
    </w:p>
    <w:p w14:paraId="1EAA598C" w14:textId="134FE4C5" w:rsidR="00AB3AD9" w:rsidRPr="000D565E" w:rsidRDefault="00A27620" w:rsidP="009F103C">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Do nothing is not an option</w:t>
      </w:r>
      <w:r w:rsidR="000D4327" w:rsidRPr="000D565E">
        <w:rPr>
          <w:rFonts w:asciiTheme="minorHAnsi" w:eastAsia="Times New Roman" w:hAnsiTheme="minorHAnsi" w:cstheme="minorHAnsi"/>
          <w:sz w:val="24"/>
          <w:szCs w:val="24"/>
          <w:shd w:val="clear" w:color="auto" w:fill="FFFFFF"/>
        </w:rPr>
        <w:t xml:space="preserve"> for the gas sector</w:t>
      </w:r>
      <w:r w:rsidRPr="000D565E">
        <w:rPr>
          <w:rFonts w:asciiTheme="minorHAnsi" w:eastAsia="Times New Roman" w:hAnsiTheme="minorHAnsi" w:cstheme="minorHAnsi"/>
          <w:sz w:val="24"/>
          <w:szCs w:val="24"/>
          <w:shd w:val="clear" w:color="auto" w:fill="FFFFFF"/>
        </w:rPr>
        <w:t>.  DB4 baseline indicates that the Supplier Identity should be reassigned.  To implement this design will require material changes to gas sector processes and systems.</w:t>
      </w:r>
    </w:p>
    <w:p w14:paraId="083A0895" w14:textId="77777777" w:rsidR="002D3BD0" w:rsidRPr="000D565E" w:rsidRDefault="002D3BD0" w:rsidP="009F103C">
      <w:pPr>
        <w:pStyle w:val="Heading1"/>
        <w:jc w:val="both"/>
        <w:rPr>
          <w:rStyle w:val="SubtleEmphasis"/>
          <w:i w:val="0"/>
          <w:iCs w:val="0"/>
          <w:color w:val="2F5496" w:themeColor="accent1" w:themeShade="BF"/>
        </w:rPr>
      </w:pPr>
      <w:r w:rsidRPr="000D565E">
        <w:rPr>
          <w:rStyle w:val="SubtleEmphasis"/>
          <w:i w:val="0"/>
          <w:iCs w:val="0"/>
          <w:color w:val="2F5496" w:themeColor="accent1" w:themeShade="BF"/>
        </w:rPr>
        <w:t>Summary Risk Position</w:t>
      </w:r>
    </w:p>
    <w:p w14:paraId="356802DD" w14:textId="5C72A5BE" w:rsidR="002F3CA5" w:rsidRPr="000D565E" w:rsidRDefault="00A27620" w:rsidP="009F103C">
      <w:pPr>
        <w:spacing w:line="360" w:lineRule="auto"/>
        <w:jc w:val="both"/>
        <w:rPr>
          <w:rStyle w:val="SubtleEmphasis"/>
          <w:rFonts w:asciiTheme="minorHAnsi" w:eastAsiaTheme="majorEastAsia" w:hAnsiTheme="minorHAnsi" w:cstheme="minorHAnsi"/>
          <w:i w:val="0"/>
          <w:iCs w:val="0"/>
          <w:color w:val="auto"/>
          <w:sz w:val="24"/>
          <w:szCs w:val="24"/>
        </w:rPr>
      </w:pPr>
      <w:r w:rsidRPr="000D565E">
        <w:rPr>
          <w:rStyle w:val="SubtleEmphasis"/>
          <w:rFonts w:asciiTheme="minorHAnsi" w:eastAsiaTheme="majorEastAsia" w:hAnsiTheme="minorHAnsi" w:cstheme="minorHAnsi"/>
          <w:i w:val="0"/>
          <w:iCs w:val="0"/>
          <w:color w:val="auto"/>
          <w:sz w:val="24"/>
          <w:szCs w:val="24"/>
        </w:rPr>
        <w:t>Any options that impact the CSS system have been discounted, but the options have been assessed against a broader risk to the CSS Programme, to make the consequential changes to the UK Link system, impacts to Settlement, increased financial exposure to the industry and any impacts to the consumer.</w:t>
      </w:r>
    </w:p>
    <w:p w14:paraId="72429DBE" w14:textId="77777777" w:rsidR="00A27620" w:rsidRPr="000D565E" w:rsidRDefault="00A27620" w:rsidP="009F103C">
      <w:pPr>
        <w:spacing w:line="360" w:lineRule="auto"/>
        <w:jc w:val="both"/>
        <w:rPr>
          <w:rStyle w:val="SubtleEmphasis"/>
          <w:rFonts w:asciiTheme="minorHAnsi" w:eastAsiaTheme="majorEastAsia" w:hAnsiTheme="minorHAnsi" w:cstheme="minorHAnsi"/>
          <w:i w:val="0"/>
          <w:iCs w:val="0"/>
          <w:color w:val="auto"/>
          <w:sz w:val="24"/>
          <w:szCs w:val="24"/>
        </w:rPr>
      </w:pPr>
      <w:r w:rsidRPr="000D565E">
        <w:rPr>
          <w:rStyle w:val="SubtleEmphasis"/>
          <w:rFonts w:asciiTheme="minorHAnsi" w:eastAsiaTheme="majorEastAsia" w:hAnsiTheme="minorHAnsi" w:cstheme="minorHAnsi"/>
          <w:i w:val="0"/>
          <w:iCs w:val="0"/>
          <w:color w:val="auto"/>
          <w:sz w:val="24"/>
          <w:szCs w:val="24"/>
        </w:rPr>
        <w:t>This has been assessed on an impact assessment only.  Since any options must be implemented within the CSS Programme timescales a likelihood / timescale for maturity assessment is not required.</w:t>
      </w:r>
    </w:p>
    <w:p w14:paraId="00AA6A7A" w14:textId="77777777" w:rsidR="0014536F" w:rsidRPr="000D565E" w:rsidRDefault="0014536F" w:rsidP="009F103C">
      <w:pPr>
        <w:spacing w:line="360" w:lineRule="auto"/>
        <w:jc w:val="both"/>
        <w:rPr>
          <w:rStyle w:val="SubtleEmphasis"/>
          <w:rFonts w:asciiTheme="minorHAnsi" w:eastAsiaTheme="majorEastAsia" w:hAnsiTheme="minorHAnsi" w:cstheme="minorHAnsi"/>
          <w:i w:val="0"/>
          <w:iCs w:val="0"/>
          <w:color w:val="auto"/>
          <w:sz w:val="24"/>
          <w:szCs w:val="24"/>
        </w:rPr>
      </w:pPr>
      <w:r w:rsidRPr="000D565E">
        <w:rPr>
          <w:rStyle w:val="SubtleEmphasis"/>
          <w:rFonts w:asciiTheme="minorHAnsi" w:eastAsiaTheme="majorEastAsia" w:hAnsiTheme="minorHAnsi" w:cstheme="minorHAnsi"/>
          <w:i w:val="0"/>
          <w:iCs w:val="0"/>
          <w:color w:val="auto"/>
          <w:sz w:val="24"/>
          <w:szCs w:val="24"/>
        </w:rPr>
        <w:t>Having considered</w:t>
      </w:r>
      <w:r w:rsidR="000F5415" w:rsidRPr="000D565E">
        <w:rPr>
          <w:rStyle w:val="SubtleEmphasis"/>
          <w:rFonts w:asciiTheme="minorHAnsi" w:eastAsiaTheme="majorEastAsia" w:hAnsiTheme="minorHAnsi" w:cstheme="minorHAnsi"/>
          <w:i w:val="0"/>
          <w:iCs w:val="0"/>
          <w:color w:val="auto"/>
          <w:sz w:val="24"/>
          <w:szCs w:val="24"/>
        </w:rPr>
        <w:t xml:space="preserve"> the</w:t>
      </w:r>
      <w:r w:rsidRPr="000D565E">
        <w:rPr>
          <w:rStyle w:val="SubtleEmphasis"/>
          <w:rFonts w:asciiTheme="minorHAnsi" w:eastAsiaTheme="majorEastAsia" w:hAnsiTheme="minorHAnsi" w:cstheme="minorHAnsi"/>
          <w:i w:val="0"/>
          <w:iCs w:val="0"/>
          <w:color w:val="auto"/>
          <w:sz w:val="24"/>
          <w:szCs w:val="24"/>
        </w:rPr>
        <w:t xml:space="preserve"> impact to</w:t>
      </w:r>
      <w:r w:rsidR="000F5415" w:rsidRPr="000D565E">
        <w:rPr>
          <w:rStyle w:val="SubtleEmphasis"/>
          <w:rFonts w:asciiTheme="minorHAnsi" w:eastAsiaTheme="majorEastAsia" w:hAnsiTheme="minorHAnsi" w:cstheme="minorHAnsi"/>
          <w:i w:val="0"/>
          <w:iCs w:val="0"/>
          <w:color w:val="auto"/>
          <w:sz w:val="24"/>
          <w:szCs w:val="24"/>
        </w:rPr>
        <w:t xml:space="preserve"> the following</w:t>
      </w:r>
      <w:r w:rsidR="00694462" w:rsidRPr="000D565E">
        <w:rPr>
          <w:rStyle w:val="SubtleEmphasis"/>
          <w:rFonts w:asciiTheme="minorHAnsi" w:eastAsiaTheme="majorEastAsia" w:hAnsiTheme="minorHAnsi" w:cstheme="minorHAnsi"/>
          <w:i w:val="0"/>
          <w:iCs w:val="0"/>
          <w:color w:val="auto"/>
          <w:sz w:val="24"/>
          <w:szCs w:val="24"/>
        </w:rPr>
        <w:t xml:space="preserve"> </w:t>
      </w:r>
      <w:r w:rsidRPr="000D565E">
        <w:rPr>
          <w:rStyle w:val="SubtleEmphasis"/>
          <w:rFonts w:asciiTheme="minorHAnsi" w:eastAsiaTheme="majorEastAsia" w:hAnsiTheme="minorHAnsi" w:cstheme="minorHAnsi"/>
          <w:i w:val="0"/>
          <w:iCs w:val="0"/>
          <w:color w:val="auto"/>
          <w:sz w:val="24"/>
          <w:szCs w:val="24"/>
        </w:rPr>
        <w:t xml:space="preserve">the overall risk score assigned to each option is as follows, where the </w:t>
      </w:r>
      <w:r w:rsidR="00694462" w:rsidRPr="000D565E">
        <w:rPr>
          <w:rStyle w:val="SubtleEmphasis"/>
          <w:rFonts w:asciiTheme="minorHAnsi" w:eastAsiaTheme="majorEastAsia" w:hAnsiTheme="minorHAnsi" w:cstheme="minorHAnsi"/>
          <w:i w:val="0"/>
          <w:iCs w:val="0"/>
          <w:color w:val="auto"/>
          <w:sz w:val="24"/>
          <w:szCs w:val="24"/>
        </w:rPr>
        <w:t>lowes</w:t>
      </w:r>
      <w:r w:rsidRPr="000D565E">
        <w:rPr>
          <w:rStyle w:val="SubtleEmphasis"/>
          <w:rFonts w:asciiTheme="minorHAnsi" w:eastAsiaTheme="majorEastAsia" w:hAnsiTheme="minorHAnsi" w:cstheme="minorHAnsi"/>
          <w:i w:val="0"/>
          <w:iCs w:val="0"/>
          <w:color w:val="auto"/>
          <w:sz w:val="24"/>
          <w:szCs w:val="24"/>
        </w:rPr>
        <w:t xml:space="preserve">t number represents the </w:t>
      </w:r>
      <w:r w:rsidR="00694462" w:rsidRPr="000D565E">
        <w:rPr>
          <w:rStyle w:val="SubtleEmphasis"/>
          <w:rFonts w:asciiTheme="minorHAnsi" w:eastAsiaTheme="majorEastAsia" w:hAnsiTheme="minorHAnsi" w:cstheme="minorHAnsi"/>
          <w:i w:val="0"/>
          <w:iCs w:val="0"/>
          <w:color w:val="auto"/>
          <w:sz w:val="24"/>
          <w:szCs w:val="24"/>
        </w:rPr>
        <w:t>best option</w:t>
      </w:r>
      <w:r w:rsidRPr="000D565E">
        <w:rPr>
          <w:rStyle w:val="SubtleEmphasis"/>
          <w:rFonts w:asciiTheme="minorHAnsi" w:eastAsiaTheme="majorEastAsia" w:hAnsiTheme="minorHAnsi" w:cstheme="minorHAnsi"/>
          <w:i w:val="0"/>
          <w:iCs w:val="0"/>
          <w:color w:val="auto"/>
          <w:sz w:val="24"/>
          <w:szCs w:val="24"/>
        </w:rPr>
        <w:t>.</w:t>
      </w:r>
    </w:p>
    <w:tbl>
      <w:tblPr>
        <w:tblStyle w:val="PlainTable1"/>
        <w:tblW w:w="14596" w:type="dxa"/>
        <w:tblLook w:val="04A0" w:firstRow="1" w:lastRow="0" w:firstColumn="1" w:lastColumn="0" w:noHBand="0" w:noVBand="1"/>
      </w:tblPr>
      <w:tblGrid>
        <w:gridCol w:w="3967"/>
        <w:gridCol w:w="2265"/>
        <w:gridCol w:w="2268"/>
        <w:gridCol w:w="2410"/>
        <w:gridCol w:w="3686"/>
      </w:tblGrid>
      <w:tr w:rsidR="007A5BA0" w:rsidRPr="000D565E" w14:paraId="2E312AB9" w14:textId="77777777" w:rsidTr="007A5B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7" w:type="dxa"/>
          </w:tcPr>
          <w:p w14:paraId="24C385E4" w14:textId="77777777" w:rsidR="007A5BA0" w:rsidRPr="000D565E" w:rsidRDefault="00BD1DDF" w:rsidP="009F103C">
            <w:pPr>
              <w:spacing w:line="360" w:lineRule="auto"/>
              <w:jc w:val="both"/>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Impacts listed 1-3 – smallest impact score 1</w:t>
            </w:r>
          </w:p>
        </w:tc>
        <w:tc>
          <w:tcPr>
            <w:tcW w:w="2265" w:type="dxa"/>
          </w:tcPr>
          <w:p w14:paraId="7BF43ED0" w14:textId="77777777" w:rsidR="007A5BA0" w:rsidRPr="000D565E" w:rsidRDefault="007A5BA0" w:rsidP="009F103C">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Option 1: MP Id Reassignment</w:t>
            </w:r>
          </w:p>
        </w:tc>
        <w:tc>
          <w:tcPr>
            <w:tcW w:w="2268" w:type="dxa"/>
          </w:tcPr>
          <w:p w14:paraId="641AA5BD" w14:textId="707643DA" w:rsidR="007A5BA0" w:rsidRPr="000D565E" w:rsidRDefault="007A5BA0" w:rsidP="009F103C">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 xml:space="preserve">Option 2: </w:t>
            </w:r>
            <w:r w:rsidR="0021140F" w:rsidRPr="000D565E">
              <w:rPr>
                <w:color w:val="000000"/>
              </w:rPr>
              <w:t xml:space="preserve">Submission and processing of switch requests over </w:t>
            </w:r>
            <w:proofErr w:type="gramStart"/>
            <w:r w:rsidR="0021140F" w:rsidRPr="000D565E">
              <w:rPr>
                <w:color w:val="000000"/>
              </w:rPr>
              <w:t>a number of</w:t>
            </w:r>
            <w:proofErr w:type="gramEnd"/>
            <w:r w:rsidR="0021140F" w:rsidRPr="000D565E">
              <w:rPr>
                <w:color w:val="000000"/>
              </w:rPr>
              <w:t xml:space="preserve"> days</w:t>
            </w:r>
            <w:r w:rsidR="00EA5824" w:rsidRPr="000D565E">
              <w:rPr>
                <w:color w:val="000000"/>
              </w:rPr>
              <w:t xml:space="preserve"> by the </w:t>
            </w:r>
            <w:proofErr w:type="spellStart"/>
            <w:r w:rsidR="00EA5824" w:rsidRPr="000D565E">
              <w:rPr>
                <w:color w:val="000000"/>
              </w:rPr>
              <w:t>SoLR</w:t>
            </w:r>
            <w:proofErr w:type="spellEnd"/>
          </w:p>
        </w:tc>
        <w:tc>
          <w:tcPr>
            <w:tcW w:w="2410" w:type="dxa"/>
          </w:tcPr>
          <w:p w14:paraId="6D5522BE" w14:textId="77777777" w:rsidR="007A5BA0" w:rsidRPr="000D565E" w:rsidRDefault="007A5BA0" w:rsidP="009F103C">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Option 3: Retain UKL Process to insert temporary Supplier record</w:t>
            </w:r>
          </w:p>
        </w:tc>
        <w:tc>
          <w:tcPr>
            <w:tcW w:w="3686" w:type="dxa"/>
          </w:tcPr>
          <w:p w14:paraId="7622C01E" w14:textId="77777777" w:rsidR="007A5BA0" w:rsidRPr="000D565E" w:rsidRDefault="007A5BA0" w:rsidP="009F103C">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Comments</w:t>
            </w:r>
          </w:p>
        </w:tc>
      </w:tr>
      <w:tr w:rsidR="007A5BA0" w:rsidRPr="000D565E" w14:paraId="34C36AC1" w14:textId="77777777" w:rsidTr="007A5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7" w:type="dxa"/>
          </w:tcPr>
          <w:p w14:paraId="2F40BD5F" w14:textId="77777777" w:rsidR="007A5BA0" w:rsidRPr="000D565E" w:rsidRDefault="007A5BA0" w:rsidP="009F103C">
            <w:pPr>
              <w:spacing w:line="360" w:lineRule="auto"/>
              <w:jc w:val="both"/>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Impact to CSS System</w:t>
            </w:r>
          </w:p>
        </w:tc>
        <w:tc>
          <w:tcPr>
            <w:tcW w:w="2265" w:type="dxa"/>
          </w:tcPr>
          <w:p w14:paraId="61ADA7E5" w14:textId="77777777" w:rsidR="007A5BA0" w:rsidRPr="000D565E" w:rsidRDefault="007A5BA0" w:rsidP="009F103C">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1</w:t>
            </w:r>
          </w:p>
        </w:tc>
        <w:tc>
          <w:tcPr>
            <w:tcW w:w="2268" w:type="dxa"/>
          </w:tcPr>
          <w:p w14:paraId="5E0EF9D8" w14:textId="77777777" w:rsidR="007A5BA0" w:rsidRPr="000D565E" w:rsidRDefault="007A5BA0" w:rsidP="009F103C">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1</w:t>
            </w:r>
          </w:p>
        </w:tc>
        <w:tc>
          <w:tcPr>
            <w:tcW w:w="2410" w:type="dxa"/>
          </w:tcPr>
          <w:p w14:paraId="7F93C4C2" w14:textId="77777777" w:rsidR="007A5BA0" w:rsidRPr="000D565E" w:rsidRDefault="007A5BA0" w:rsidP="009F103C">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1</w:t>
            </w:r>
          </w:p>
        </w:tc>
        <w:tc>
          <w:tcPr>
            <w:tcW w:w="3686" w:type="dxa"/>
          </w:tcPr>
          <w:p w14:paraId="62F038E4" w14:textId="77777777" w:rsidR="007A5BA0" w:rsidRPr="000D565E" w:rsidRDefault="007A5BA0" w:rsidP="009F103C">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No impact to CSS build – all such options discounted</w:t>
            </w:r>
          </w:p>
        </w:tc>
      </w:tr>
      <w:tr w:rsidR="007A5BA0" w:rsidRPr="000D565E" w14:paraId="5A4621FB" w14:textId="77777777" w:rsidTr="007A5BA0">
        <w:tc>
          <w:tcPr>
            <w:cnfStyle w:val="001000000000" w:firstRow="0" w:lastRow="0" w:firstColumn="1" w:lastColumn="0" w:oddVBand="0" w:evenVBand="0" w:oddHBand="0" w:evenHBand="0" w:firstRowFirstColumn="0" w:firstRowLastColumn="0" w:lastRowFirstColumn="0" w:lastRowLastColumn="0"/>
            <w:tcW w:w="3967" w:type="dxa"/>
          </w:tcPr>
          <w:p w14:paraId="47E3457B" w14:textId="77777777" w:rsidR="007A5BA0" w:rsidRPr="000D565E" w:rsidRDefault="007A5BA0" w:rsidP="009F103C">
            <w:pPr>
              <w:spacing w:line="360" w:lineRule="auto"/>
              <w:jc w:val="both"/>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Impact to CSSC Programme (UKL)</w:t>
            </w:r>
          </w:p>
        </w:tc>
        <w:tc>
          <w:tcPr>
            <w:tcW w:w="2265" w:type="dxa"/>
          </w:tcPr>
          <w:p w14:paraId="74ED5194" w14:textId="77777777" w:rsidR="007A5BA0" w:rsidRPr="000D565E" w:rsidRDefault="007A5BA0" w:rsidP="009F103C">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 xml:space="preserve">3 </w:t>
            </w:r>
          </w:p>
        </w:tc>
        <w:tc>
          <w:tcPr>
            <w:tcW w:w="2268" w:type="dxa"/>
          </w:tcPr>
          <w:p w14:paraId="4F5F890F" w14:textId="77777777" w:rsidR="007A5BA0" w:rsidRPr="000D565E" w:rsidRDefault="007A5BA0" w:rsidP="009F103C">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2 (potential upward NFR pressure on UKL)</w:t>
            </w:r>
          </w:p>
        </w:tc>
        <w:tc>
          <w:tcPr>
            <w:tcW w:w="2410" w:type="dxa"/>
          </w:tcPr>
          <w:p w14:paraId="1F19ECAD" w14:textId="77777777" w:rsidR="007A5BA0" w:rsidRPr="000D565E" w:rsidRDefault="00BD1DDF" w:rsidP="009F103C">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2</w:t>
            </w:r>
            <w:r w:rsidR="007A5BA0" w:rsidRPr="000D565E">
              <w:rPr>
                <w:rFonts w:asciiTheme="minorHAnsi" w:eastAsia="Times New Roman" w:hAnsiTheme="minorHAnsi" w:cstheme="minorHAnsi"/>
                <w:sz w:val="20"/>
                <w:szCs w:val="20"/>
                <w:shd w:val="clear" w:color="auto" w:fill="FFFFFF"/>
              </w:rPr>
              <w:t xml:space="preserve"> (IA to retain GEA, but minimal impact expected)</w:t>
            </w:r>
          </w:p>
        </w:tc>
        <w:tc>
          <w:tcPr>
            <w:tcW w:w="3686" w:type="dxa"/>
          </w:tcPr>
          <w:p w14:paraId="409975B9" w14:textId="77777777" w:rsidR="007A5BA0" w:rsidRPr="000D565E" w:rsidRDefault="007A5BA0" w:rsidP="009F103C">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 xml:space="preserve">Significant build and testing to accommodate Supplier Re-assignment.  If </w:t>
            </w:r>
            <w:r w:rsidRPr="000D565E">
              <w:rPr>
                <w:rFonts w:asciiTheme="minorHAnsi" w:eastAsia="Times New Roman" w:hAnsiTheme="minorHAnsi" w:cstheme="minorHAnsi"/>
                <w:sz w:val="20"/>
                <w:szCs w:val="20"/>
                <w:shd w:val="clear" w:color="auto" w:fill="FFFFFF"/>
              </w:rPr>
              <w:lastRenderedPageBreak/>
              <w:t>required, NFR change would require extended PT / tuning.</w:t>
            </w:r>
          </w:p>
        </w:tc>
      </w:tr>
      <w:tr w:rsidR="007A5BA0" w:rsidRPr="000D565E" w14:paraId="54445A25" w14:textId="77777777" w:rsidTr="007A5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7" w:type="dxa"/>
          </w:tcPr>
          <w:p w14:paraId="4F9289FA" w14:textId="77777777" w:rsidR="007A5BA0" w:rsidRPr="000D565E" w:rsidRDefault="007A5BA0" w:rsidP="009F103C">
            <w:pPr>
              <w:spacing w:line="360" w:lineRule="auto"/>
              <w:jc w:val="both"/>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lastRenderedPageBreak/>
              <w:t>Impact to broader Switching Programme</w:t>
            </w:r>
          </w:p>
        </w:tc>
        <w:tc>
          <w:tcPr>
            <w:tcW w:w="2265" w:type="dxa"/>
          </w:tcPr>
          <w:p w14:paraId="43C415F6" w14:textId="77777777" w:rsidR="007A5BA0" w:rsidRPr="000D565E" w:rsidRDefault="007A5BA0" w:rsidP="009F103C">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 xml:space="preserve">2 (option would require </w:t>
            </w:r>
            <w:r w:rsidR="00442BE8" w:rsidRPr="000D565E">
              <w:rPr>
                <w:rFonts w:asciiTheme="minorHAnsi" w:eastAsia="Times New Roman" w:hAnsiTheme="minorHAnsi" w:cstheme="minorHAnsi"/>
                <w:sz w:val="20"/>
                <w:szCs w:val="20"/>
                <w:shd w:val="clear" w:color="auto" w:fill="FFFFFF"/>
              </w:rPr>
              <w:t xml:space="preserve">gas </w:t>
            </w:r>
            <w:r w:rsidRPr="000D565E">
              <w:rPr>
                <w:rFonts w:asciiTheme="minorHAnsi" w:eastAsia="Times New Roman" w:hAnsiTheme="minorHAnsi" w:cstheme="minorHAnsi"/>
                <w:sz w:val="20"/>
                <w:szCs w:val="20"/>
                <w:shd w:val="clear" w:color="auto" w:fill="FFFFFF"/>
              </w:rPr>
              <w:t>industry testing)</w:t>
            </w:r>
          </w:p>
        </w:tc>
        <w:tc>
          <w:tcPr>
            <w:tcW w:w="2268" w:type="dxa"/>
          </w:tcPr>
          <w:p w14:paraId="548B458C" w14:textId="77777777" w:rsidR="007A5BA0" w:rsidRPr="000D565E" w:rsidRDefault="007A5BA0" w:rsidP="009F103C">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1</w:t>
            </w:r>
          </w:p>
        </w:tc>
        <w:tc>
          <w:tcPr>
            <w:tcW w:w="2410" w:type="dxa"/>
          </w:tcPr>
          <w:p w14:paraId="7DF7FB20" w14:textId="77777777" w:rsidR="007A5BA0" w:rsidRPr="000D565E" w:rsidRDefault="007A5BA0" w:rsidP="009F103C">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 xml:space="preserve">1 </w:t>
            </w:r>
          </w:p>
        </w:tc>
        <w:tc>
          <w:tcPr>
            <w:tcW w:w="3686" w:type="dxa"/>
          </w:tcPr>
          <w:p w14:paraId="2D69F0B7" w14:textId="77777777" w:rsidR="007A5BA0" w:rsidRPr="000D565E" w:rsidRDefault="007A5BA0" w:rsidP="009F103C">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shd w:val="clear" w:color="auto" w:fill="FFFFFF"/>
              </w:rPr>
            </w:pPr>
          </w:p>
        </w:tc>
      </w:tr>
      <w:tr w:rsidR="007A5BA0" w:rsidRPr="000D565E" w14:paraId="10C7DC0D" w14:textId="77777777" w:rsidTr="007A5BA0">
        <w:tc>
          <w:tcPr>
            <w:cnfStyle w:val="001000000000" w:firstRow="0" w:lastRow="0" w:firstColumn="1" w:lastColumn="0" w:oddVBand="0" w:evenVBand="0" w:oddHBand="0" w:evenHBand="0" w:firstRowFirstColumn="0" w:firstRowLastColumn="0" w:lastRowFirstColumn="0" w:lastRowLastColumn="0"/>
            <w:tcW w:w="3967" w:type="dxa"/>
          </w:tcPr>
          <w:p w14:paraId="5D432A16" w14:textId="77777777" w:rsidR="007A5BA0" w:rsidRPr="000D565E" w:rsidRDefault="007A5BA0" w:rsidP="009F103C">
            <w:pPr>
              <w:spacing w:line="360" w:lineRule="auto"/>
              <w:jc w:val="both"/>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 xml:space="preserve">Impact to gas sector </w:t>
            </w:r>
            <w:proofErr w:type="gramStart"/>
            <w:r w:rsidRPr="000D565E">
              <w:rPr>
                <w:rFonts w:asciiTheme="minorHAnsi" w:eastAsia="Times New Roman" w:hAnsiTheme="minorHAnsi" w:cstheme="minorHAnsi"/>
                <w:sz w:val="20"/>
                <w:szCs w:val="20"/>
                <w:shd w:val="clear" w:color="auto" w:fill="FFFFFF"/>
              </w:rPr>
              <w:t>parties</w:t>
            </w:r>
            <w:proofErr w:type="gramEnd"/>
            <w:r w:rsidRPr="000D565E">
              <w:rPr>
                <w:rFonts w:asciiTheme="minorHAnsi" w:eastAsia="Times New Roman" w:hAnsiTheme="minorHAnsi" w:cstheme="minorHAnsi"/>
                <w:sz w:val="20"/>
                <w:szCs w:val="20"/>
                <w:shd w:val="clear" w:color="auto" w:fill="FFFFFF"/>
              </w:rPr>
              <w:t xml:space="preserve"> systems and processes [within Programme timescales]</w:t>
            </w:r>
          </w:p>
        </w:tc>
        <w:tc>
          <w:tcPr>
            <w:tcW w:w="2265" w:type="dxa"/>
          </w:tcPr>
          <w:p w14:paraId="74B2765D" w14:textId="77777777" w:rsidR="007A5BA0" w:rsidRPr="000D565E" w:rsidRDefault="007A5BA0" w:rsidP="009F103C">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3</w:t>
            </w:r>
          </w:p>
        </w:tc>
        <w:tc>
          <w:tcPr>
            <w:tcW w:w="2268" w:type="dxa"/>
          </w:tcPr>
          <w:p w14:paraId="7D73CEF5" w14:textId="77777777" w:rsidR="007A5BA0" w:rsidRPr="000D565E" w:rsidRDefault="007A5BA0" w:rsidP="009F103C">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1</w:t>
            </w:r>
          </w:p>
        </w:tc>
        <w:tc>
          <w:tcPr>
            <w:tcW w:w="2410" w:type="dxa"/>
          </w:tcPr>
          <w:p w14:paraId="5ED792E6" w14:textId="77777777" w:rsidR="007A5BA0" w:rsidRPr="000D565E" w:rsidRDefault="007A5BA0" w:rsidP="009F103C">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2</w:t>
            </w:r>
          </w:p>
        </w:tc>
        <w:tc>
          <w:tcPr>
            <w:tcW w:w="3686" w:type="dxa"/>
          </w:tcPr>
          <w:p w14:paraId="0F2B722D" w14:textId="77777777" w:rsidR="007A5BA0" w:rsidRPr="000D565E" w:rsidRDefault="007A5BA0" w:rsidP="009F103C">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 xml:space="preserve">Participants have indicated that this would have material impacts if MP Id reassignment is mandated.  Use of </w:t>
            </w:r>
            <w:r w:rsidR="006A00F5" w:rsidRPr="000D565E">
              <w:rPr>
                <w:rFonts w:asciiTheme="minorHAnsi" w:eastAsia="Times New Roman" w:hAnsiTheme="minorHAnsi" w:cstheme="minorHAnsi"/>
                <w:sz w:val="20"/>
                <w:szCs w:val="20"/>
                <w:shd w:val="clear" w:color="auto" w:fill="FFFFFF"/>
              </w:rPr>
              <w:t>R</w:t>
            </w:r>
            <w:r w:rsidRPr="000D565E">
              <w:rPr>
                <w:rFonts w:asciiTheme="minorHAnsi" w:eastAsia="Times New Roman" w:hAnsiTheme="minorHAnsi" w:cstheme="minorHAnsi"/>
                <w:sz w:val="20"/>
                <w:szCs w:val="20"/>
                <w:shd w:val="clear" w:color="auto" w:fill="FFFFFF"/>
              </w:rPr>
              <w:t xml:space="preserve">egistration processes </w:t>
            </w:r>
            <w:r w:rsidR="005C3299" w:rsidRPr="000D565E">
              <w:rPr>
                <w:rFonts w:asciiTheme="minorHAnsi" w:eastAsia="Times New Roman" w:hAnsiTheme="minorHAnsi" w:cstheme="minorHAnsi"/>
                <w:sz w:val="20"/>
                <w:szCs w:val="20"/>
                <w:shd w:val="clear" w:color="auto" w:fill="FFFFFF"/>
              </w:rPr>
              <w:t xml:space="preserve">should reduce impacts – provided users can recognised legal </w:t>
            </w:r>
            <w:proofErr w:type="spellStart"/>
            <w:r w:rsidR="005C3299" w:rsidRPr="000D565E">
              <w:rPr>
                <w:rFonts w:asciiTheme="minorHAnsi" w:eastAsia="Times New Roman" w:hAnsiTheme="minorHAnsi" w:cstheme="minorHAnsi"/>
                <w:sz w:val="20"/>
                <w:szCs w:val="20"/>
                <w:shd w:val="clear" w:color="auto" w:fill="FFFFFF"/>
              </w:rPr>
              <w:t>SoLR</w:t>
            </w:r>
            <w:proofErr w:type="spellEnd"/>
            <w:r w:rsidR="005C3299" w:rsidRPr="000D565E">
              <w:rPr>
                <w:rFonts w:asciiTheme="minorHAnsi" w:eastAsia="Times New Roman" w:hAnsiTheme="minorHAnsi" w:cstheme="minorHAnsi"/>
                <w:sz w:val="20"/>
                <w:szCs w:val="20"/>
                <w:shd w:val="clear" w:color="auto" w:fill="FFFFFF"/>
              </w:rPr>
              <w:t xml:space="preserve"> notice where EFD is important.</w:t>
            </w:r>
          </w:p>
        </w:tc>
      </w:tr>
      <w:tr w:rsidR="007A5BA0" w:rsidRPr="000D565E" w14:paraId="6A169A5A" w14:textId="77777777" w:rsidTr="007A5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7" w:type="dxa"/>
          </w:tcPr>
          <w:p w14:paraId="5E519EEF" w14:textId="77777777" w:rsidR="007A5BA0" w:rsidRPr="000D565E" w:rsidRDefault="007A5BA0" w:rsidP="009F103C">
            <w:pPr>
              <w:spacing w:line="360" w:lineRule="auto"/>
              <w:jc w:val="both"/>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Impact to gas sector Settlement</w:t>
            </w:r>
          </w:p>
        </w:tc>
        <w:tc>
          <w:tcPr>
            <w:tcW w:w="2265" w:type="dxa"/>
          </w:tcPr>
          <w:p w14:paraId="7C4B2A36" w14:textId="77777777" w:rsidR="007A5BA0" w:rsidRPr="000D565E" w:rsidRDefault="005C3299" w:rsidP="009F103C">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2 (XRN5144 includes variances, but may not be considered mandated within CSSC timescales, still requires Shipper identity amendment)</w:t>
            </w:r>
          </w:p>
        </w:tc>
        <w:tc>
          <w:tcPr>
            <w:tcW w:w="2268" w:type="dxa"/>
          </w:tcPr>
          <w:p w14:paraId="6A9F4F54" w14:textId="77777777" w:rsidR="007A5BA0" w:rsidRPr="000D565E" w:rsidRDefault="005C3299" w:rsidP="009F103C">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 xml:space="preserve">1 (minimises settlement period – requires intervention between </w:t>
            </w:r>
            <w:proofErr w:type="spellStart"/>
            <w:r w:rsidRPr="000D565E">
              <w:rPr>
                <w:rFonts w:asciiTheme="minorHAnsi" w:eastAsia="Times New Roman" w:hAnsiTheme="minorHAnsi" w:cstheme="minorHAnsi"/>
                <w:sz w:val="20"/>
                <w:szCs w:val="20"/>
                <w:shd w:val="clear" w:color="auto" w:fill="FFFFFF"/>
              </w:rPr>
              <w:t>SoLR</w:t>
            </w:r>
            <w:proofErr w:type="spellEnd"/>
            <w:r w:rsidRPr="000D565E">
              <w:rPr>
                <w:rFonts w:asciiTheme="minorHAnsi" w:eastAsia="Times New Roman" w:hAnsiTheme="minorHAnsi" w:cstheme="minorHAnsi"/>
                <w:sz w:val="20"/>
                <w:szCs w:val="20"/>
                <w:shd w:val="clear" w:color="auto" w:fill="FFFFFF"/>
              </w:rPr>
              <w:t xml:space="preserve"> EFD and Registration EFD)</w:t>
            </w:r>
          </w:p>
        </w:tc>
        <w:tc>
          <w:tcPr>
            <w:tcW w:w="2410" w:type="dxa"/>
          </w:tcPr>
          <w:p w14:paraId="7CB33123" w14:textId="77777777" w:rsidR="007A5BA0" w:rsidRPr="000D565E" w:rsidRDefault="005C3299" w:rsidP="009F103C">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2 (continued manual intervention, which will be required until Shipper identity is amended)</w:t>
            </w:r>
          </w:p>
        </w:tc>
        <w:tc>
          <w:tcPr>
            <w:tcW w:w="3686" w:type="dxa"/>
          </w:tcPr>
          <w:p w14:paraId="017113F0" w14:textId="77777777" w:rsidR="007A5BA0" w:rsidRPr="000D565E" w:rsidRDefault="007A5BA0" w:rsidP="009F103C">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shd w:val="clear" w:color="auto" w:fill="FFFFFF"/>
              </w:rPr>
            </w:pPr>
          </w:p>
        </w:tc>
      </w:tr>
      <w:tr w:rsidR="007A5BA0" w:rsidRPr="000D565E" w14:paraId="740A963A" w14:textId="77777777" w:rsidTr="007A5BA0">
        <w:tc>
          <w:tcPr>
            <w:cnfStyle w:val="001000000000" w:firstRow="0" w:lastRow="0" w:firstColumn="1" w:lastColumn="0" w:oddVBand="0" w:evenVBand="0" w:oddHBand="0" w:evenHBand="0" w:firstRowFirstColumn="0" w:firstRowLastColumn="0" w:lastRowFirstColumn="0" w:lastRowLastColumn="0"/>
            <w:tcW w:w="3967" w:type="dxa"/>
          </w:tcPr>
          <w:p w14:paraId="002C696F" w14:textId="77777777" w:rsidR="007A5BA0" w:rsidRPr="000D565E" w:rsidRDefault="007A5BA0" w:rsidP="009F103C">
            <w:pPr>
              <w:spacing w:line="360" w:lineRule="auto"/>
              <w:jc w:val="both"/>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Increased financial industry exposure</w:t>
            </w:r>
          </w:p>
        </w:tc>
        <w:tc>
          <w:tcPr>
            <w:tcW w:w="2265" w:type="dxa"/>
          </w:tcPr>
          <w:p w14:paraId="42D57422" w14:textId="77777777" w:rsidR="007A5BA0" w:rsidRPr="000D565E" w:rsidRDefault="005C3299" w:rsidP="009F103C">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1</w:t>
            </w:r>
          </w:p>
        </w:tc>
        <w:tc>
          <w:tcPr>
            <w:tcW w:w="2268" w:type="dxa"/>
          </w:tcPr>
          <w:p w14:paraId="11D507A9" w14:textId="77777777" w:rsidR="007A5BA0" w:rsidRPr="000D565E" w:rsidRDefault="005C3299" w:rsidP="009F103C">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1</w:t>
            </w:r>
          </w:p>
        </w:tc>
        <w:tc>
          <w:tcPr>
            <w:tcW w:w="2410" w:type="dxa"/>
          </w:tcPr>
          <w:p w14:paraId="34938EF3" w14:textId="77777777" w:rsidR="007A5BA0" w:rsidRPr="000D565E" w:rsidRDefault="005C3299" w:rsidP="009F103C">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1</w:t>
            </w:r>
          </w:p>
        </w:tc>
        <w:tc>
          <w:tcPr>
            <w:tcW w:w="3686" w:type="dxa"/>
          </w:tcPr>
          <w:p w14:paraId="1BDFCEBB" w14:textId="77777777" w:rsidR="007A5BA0" w:rsidRPr="000D565E" w:rsidRDefault="005C3299" w:rsidP="009F103C">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No options increase industry exposure above existing levels.</w:t>
            </w:r>
          </w:p>
        </w:tc>
      </w:tr>
      <w:tr w:rsidR="007A5BA0" w:rsidRPr="000D565E" w14:paraId="09EE7EED" w14:textId="77777777" w:rsidTr="007A5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7" w:type="dxa"/>
          </w:tcPr>
          <w:p w14:paraId="5532150C" w14:textId="77777777" w:rsidR="007A5BA0" w:rsidRPr="000D565E" w:rsidRDefault="007A5BA0" w:rsidP="009F103C">
            <w:pPr>
              <w:spacing w:line="360" w:lineRule="auto"/>
              <w:jc w:val="both"/>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Impact to consumer</w:t>
            </w:r>
          </w:p>
        </w:tc>
        <w:tc>
          <w:tcPr>
            <w:tcW w:w="2265" w:type="dxa"/>
          </w:tcPr>
          <w:p w14:paraId="7D5E4F70" w14:textId="77777777" w:rsidR="007A5BA0" w:rsidRPr="000D565E" w:rsidRDefault="005C3299" w:rsidP="009F103C">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2 (costs will be borne eventually by the consumer)</w:t>
            </w:r>
          </w:p>
        </w:tc>
        <w:tc>
          <w:tcPr>
            <w:tcW w:w="2268" w:type="dxa"/>
          </w:tcPr>
          <w:p w14:paraId="261A72FA" w14:textId="77777777" w:rsidR="007A5BA0" w:rsidRPr="000D565E" w:rsidRDefault="005C3299" w:rsidP="009F103C">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1</w:t>
            </w:r>
          </w:p>
        </w:tc>
        <w:tc>
          <w:tcPr>
            <w:tcW w:w="2410" w:type="dxa"/>
          </w:tcPr>
          <w:p w14:paraId="5FB99AE3" w14:textId="77777777" w:rsidR="007A5BA0" w:rsidRPr="000D565E" w:rsidRDefault="005C3299" w:rsidP="009F103C">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1</w:t>
            </w:r>
          </w:p>
        </w:tc>
        <w:tc>
          <w:tcPr>
            <w:tcW w:w="3686" w:type="dxa"/>
          </w:tcPr>
          <w:p w14:paraId="6E77EDE6" w14:textId="77777777" w:rsidR="007A5BA0" w:rsidRPr="000D565E" w:rsidRDefault="007A5BA0" w:rsidP="009F103C">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shd w:val="clear" w:color="auto" w:fill="FFFFFF"/>
              </w:rPr>
            </w:pPr>
          </w:p>
        </w:tc>
      </w:tr>
      <w:tr w:rsidR="007A5BA0" w:rsidRPr="000D565E" w14:paraId="21A26957" w14:textId="77777777" w:rsidTr="007A5BA0">
        <w:tc>
          <w:tcPr>
            <w:cnfStyle w:val="001000000000" w:firstRow="0" w:lastRow="0" w:firstColumn="1" w:lastColumn="0" w:oddVBand="0" w:evenVBand="0" w:oddHBand="0" w:evenHBand="0" w:firstRowFirstColumn="0" w:firstRowLastColumn="0" w:lastRowFirstColumn="0" w:lastRowLastColumn="0"/>
            <w:tcW w:w="3967" w:type="dxa"/>
          </w:tcPr>
          <w:p w14:paraId="1D881301" w14:textId="77777777" w:rsidR="007A5BA0" w:rsidRPr="000D565E" w:rsidRDefault="005C3299" w:rsidP="009F103C">
            <w:pPr>
              <w:spacing w:line="360" w:lineRule="auto"/>
              <w:jc w:val="both"/>
              <w:rPr>
                <w:rFonts w:asciiTheme="minorHAnsi" w:eastAsia="Times New Roman" w:hAnsiTheme="minorHAnsi" w:cstheme="minorHAnsi"/>
                <w:sz w:val="20"/>
                <w:szCs w:val="20"/>
                <w:shd w:val="clear" w:color="auto" w:fill="FFFFFF"/>
              </w:rPr>
            </w:pPr>
            <w:r w:rsidRPr="000D565E">
              <w:rPr>
                <w:rFonts w:asciiTheme="minorHAnsi" w:eastAsia="Times New Roman" w:hAnsiTheme="minorHAnsi" w:cstheme="minorHAnsi"/>
                <w:sz w:val="20"/>
                <w:szCs w:val="20"/>
                <w:shd w:val="clear" w:color="auto" w:fill="FFFFFF"/>
              </w:rPr>
              <w:t>TOTAL</w:t>
            </w:r>
          </w:p>
        </w:tc>
        <w:tc>
          <w:tcPr>
            <w:tcW w:w="2265" w:type="dxa"/>
          </w:tcPr>
          <w:p w14:paraId="084DDD17" w14:textId="77777777" w:rsidR="007A5BA0" w:rsidRPr="000D565E" w:rsidRDefault="00BD1DDF" w:rsidP="009F103C">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z w:val="20"/>
                <w:szCs w:val="20"/>
                <w:shd w:val="clear" w:color="auto" w:fill="FFFFFF"/>
              </w:rPr>
            </w:pPr>
            <w:r w:rsidRPr="000D565E">
              <w:rPr>
                <w:rFonts w:asciiTheme="minorHAnsi" w:eastAsia="Times New Roman" w:hAnsiTheme="minorHAnsi" w:cstheme="minorHAnsi"/>
                <w:b/>
                <w:sz w:val="20"/>
                <w:szCs w:val="20"/>
                <w:shd w:val="clear" w:color="auto" w:fill="FFFFFF"/>
              </w:rPr>
              <w:t>14</w:t>
            </w:r>
          </w:p>
        </w:tc>
        <w:tc>
          <w:tcPr>
            <w:tcW w:w="2268" w:type="dxa"/>
          </w:tcPr>
          <w:p w14:paraId="2E277906" w14:textId="77777777" w:rsidR="007A5BA0" w:rsidRPr="000D565E" w:rsidRDefault="00BD1DDF" w:rsidP="009F103C">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z w:val="20"/>
                <w:szCs w:val="20"/>
                <w:shd w:val="clear" w:color="auto" w:fill="FFFFFF"/>
              </w:rPr>
            </w:pPr>
            <w:r w:rsidRPr="000D565E">
              <w:rPr>
                <w:rFonts w:asciiTheme="minorHAnsi" w:eastAsia="Times New Roman" w:hAnsiTheme="minorHAnsi" w:cstheme="minorHAnsi"/>
                <w:b/>
                <w:sz w:val="20"/>
                <w:szCs w:val="20"/>
                <w:shd w:val="clear" w:color="auto" w:fill="FFFFFF"/>
              </w:rPr>
              <w:t>8</w:t>
            </w:r>
          </w:p>
        </w:tc>
        <w:tc>
          <w:tcPr>
            <w:tcW w:w="2410" w:type="dxa"/>
          </w:tcPr>
          <w:p w14:paraId="3B5AA177" w14:textId="0415EBC6" w:rsidR="007A5BA0" w:rsidRPr="000D565E" w:rsidRDefault="0021140F" w:rsidP="009F103C">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z w:val="20"/>
                <w:szCs w:val="20"/>
                <w:shd w:val="clear" w:color="auto" w:fill="FFFFFF"/>
              </w:rPr>
            </w:pPr>
            <w:r w:rsidRPr="000D565E">
              <w:rPr>
                <w:rFonts w:asciiTheme="minorHAnsi" w:eastAsia="Times New Roman" w:hAnsiTheme="minorHAnsi" w:cstheme="minorHAnsi"/>
                <w:b/>
                <w:sz w:val="20"/>
                <w:szCs w:val="20"/>
                <w:shd w:val="clear" w:color="auto" w:fill="FFFFFF"/>
              </w:rPr>
              <w:t>10</w:t>
            </w:r>
          </w:p>
        </w:tc>
        <w:tc>
          <w:tcPr>
            <w:tcW w:w="3686" w:type="dxa"/>
          </w:tcPr>
          <w:p w14:paraId="1EF1143F" w14:textId="77777777" w:rsidR="007A5BA0" w:rsidRPr="000D565E" w:rsidRDefault="007A5BA0" w:rsidP="009F103C">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shd w:val="clear" w:color="auto" w:fill="FFFFFF"/>
              </w:rPr>
            </w:pPr>
          </w:p>
        </w:tc>
      </w:tr>
    </w:tbl>
    <w:p w14:paraId="6EAFE7C6" w14:textId="77777777" w:rsidR="00F64B71" w:rsidRPr="000D565E" w:rsidRDefault="00F64B71" w:rsidP="009F103C">
      <w:pPr>
        <w:spacing w:line="360" w:lineRule="auto"/>
        <w:jc w:val="both"/>
        <w:rPr>
          <w:rFonts w:asciiTheme="minorHAnsi" w:eastAsia="Times New Roman" w:hAnsiTheme="minorHAnsi" w:cstheme="minorHAnsi"/>
          <w:sz w:val="24"/>
          <w:szCs w:val="24"/>
          <w:shd w:val="clear" w:color="auto" w:fill="FFFFFF"/>
        </w:rPr>
      </w:pPr>
    </w:p>
    <w:p w14:paraId="6D5B8778" w14:textId="77777777" w:rsidR="002D3BD0" w:rsidRPr="000D565E" w:rsidRDefault="002D3BD0" w:rsidP="009F103C">
      <w:pPr>
        <w:pStyle w:val="Heading1"/>
        <w:jc w:val="both"/>
        <w:rPr>
          <w:rStyle w:val="SubtleEmphasis"/>
          <w:i w:val="0"/>
          <w:iCs w:val="0"/>
          <w:color w:val="2F5496" w:themeColor="accent1" w:themeShade="BF"/>
        </w:rPr>
      </w:pPr>
      <w:r w:rsidRPr="000D565E">
        <w:rPr>
          <w:rStyle w:val="SubtleEmphasis"/>
          <w:i w:val="0"/>
          <w:iCs w:val="0"/>
          <w:color w:val="2F5496" w:themeColor="accent1" w:themeShade="BF"/>
        </w:rPr>
        <w:lastRenderedPageBreak/>
        <w:t>Recommendation</w:t>
      </w:r>
    </w:p>
    <w:p w14:paraId="6B690033" w14:textId="7BEDB1D9" w:rsidR="00BD1DDF" w:rsidRPr="000D565E" w:rsidRDefault="00BD1DDF" w:rsidP="009F103C">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 xml:space="preserve">Considering the above assessment and the factors considered in this paper – and subject to industry impact assessment – this proposes that Option 2 </w:t>
      </w:r>
      <w:r w:rsidR="0021140F" w:rsidRPr="000D565E">
        <w:rPr>
          <w:rFonts w:asciiTheme="minorHAnsi" w:eastAsia="Times New Roman" w:hAnsiTheme="minorHAnsi" w:cstheme="minorHAnsi"/>
          <w:sz w:val="24"/>
          <w:szCs w:val="24"/>
          <w:shd w:val="clear" w:color="auto" w:fill="FFFFFF"/>
        </w:rPr>
        <w:t>Submission and processing of switch requests</w:t>
      </w:r>
      <w:r w:rsidR="00EA5824" w:rsidRPr="000D565E">
        <w:rPr>
          <w:rFonts w:asciiTheme="minorHAnsi" w:eastAsia="Times New Roman" w:hAnsiTheme="minorHAnsi" w:cstheme="minorHAnsi"/>
          <w:sz w:val="24"/>
          <w:szCs w:val="24"/>
          <w:shd w:val="clear" w:color="auto" w:fill="FFFFFF"/>
        </w:rPr>
        <w:t xml:space="preserve"> by the SOLR</w:t>
      </w:r>
      <w:r w:rsidR="0021140F" w:rsidRPr="000D565E">
        <w:rPr>
          <w:rFonts w:asciiTheme="minorHAnsi" w:eastAsia="Times New Roman" w:hAnsiTheme="minorHAnsi" w:cstheme="minorHAnsi"/>
          <w:sz w:val="24"/>
          <w:szCs w:val="24"/>
          <w:shd w:val="clear" w:color="auto" w:fill="FFFFFF"/>
        </w:rPr>
        <w:t xml:space="preserve"> over a number of days, but below the CSS NFR daily Peak of Peaks, to give effect to the </w:t>
      </w:r>
      <w:proofErr w:type="spellStart"/>
      <w:r w:rsidR="0021140F" w:rsidRPr="000D565E">
        <w:rPr>
          <w:rFonts w:asciiTheme="minorHAnsi" w:eastAsia="Times New Roman" w:hAnsiTheme="minorHAnsi" w:cstheme="minorHAnsi"/>
          <w:sz w:val="24"/>
          <w:szCs w:val="24"/>
          <w:shd w:val="clear" w:color="auto" w:fill="FFFFFF"/>
        </w:rPr>
        <w:t>SoLR</w:t>
      </w:r>
      <w:proofErr w:type="spellEnd"/>
      <w:r w:rsidRPr="000D565E">
        <w:rPr>
          <w:rFonts w:asciiTheme="minorHAnsi" w:eastAsia="Times New Roman" w:hAnsiTheme="minorHAnsi" w:cstheme="minorHAnsi"/>
          <w:sz w:val="24"/>
          <w:szCs w:val="24"/>
          <w:shd w:val="clear" w:color="auto" w:fill="FFFFFF"/>
        </w:rPr>
        <w:t>, which could result in recorded effective from date over an extended period is considered the preferred option.</w:t>
      </w:r>
    </w:p>
    <w:p w14:paraId="36399D3D" w14:textId="77777777" w:rsidR="00872ABC" w:rsidRPr="000D565E" w:rsidRDefault="00BD1DDF" w:rsidP="009F103C">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 xml:space="preserve">This option relies </w:t>
      </w:r>
      <w:r w:rsidR="00872ABC" w:rsidRPr="000D565E">
        <w:rPr>
          <w:rFonts w:asciiTheme="minorHAnsi" w:eastAsia="Times New Roman" w:hAnsiTheme="minorHAnsi" w:cstheme="minorHAnsi"/>
          <w:sz w:val="24"/>
          <w:szCs w:val="24"/>
          <w:shd w:val="clear" w:color="auto" w:fill="FFFFFF"/>
        </w:rPr>
        <w:t xml:space="preserve">upon the industry </w:t>
      </w:r>
      <w:r w:rsidR="00D5067F" w:rsidRPr="000D565E">
        <w:rPr>
          <w:rFonts w:asciiTheme="minorHAnsi" w:eastAsia="Times New Roman" w:hAnsiTheme="minorHAnsi" w:cstheme="minorHAnsi"/>
          <w:sz w:val="24"/>
          <w:szCs w:val="24"/>
          <w:shd w:val="clear" w:color="auto" w:fill="FFFFFF"/>
        </w:rPr>
        <w:t>participants</w:t>
      </w:r>
      <w:r w:rsidR="00872ABC" w:rsidRPr="000D565E">
        <w:rPr>
          <w:rFonts w:asciiTheme="minorHAnsi" w:eastAsia="Times New Roman" w:hAnsiTheme="minorHAnsi" w:cstheme="minorHAnsi"/>
          <w:sz w:val="24"/>
          <w:szCs w:val="24"/>
          <w:shd w:val="clear" w:color="auto" w:fill="FFFFFF"/>
        </w:rPr>
        <w:t xml:space="preserve"> that rely on the effective date of the Supplier to be taken from the </w:t>
      </w:r>
      <w:proofErr w:type="spellStart"/>
      <w:r w:rsidR="00872ABC" w:rsidRPr="000D565E">
        <w:rPr>
          <w:rFonts w:asciiTheme="minorHAnsi" w:eastAsia="Times New Roman" w:hAnsiTheme="minorHAnsi" w:cstheme="minorHAnsi"/>
          <w:sz w:val="24"/>
          <w:szCs w:val="24"/>
          <w:shd w:val="clear" w:color="auto" w:fill="FFFFFF"/>
        </w:rPr>
        <w:t>SoLR</w:t>
      </w:r>
      <w:proofErr w:type="spellEnd"/>
      <w:r w:rsidR="00872ABC" w:rsidRPr="000D565E">
        <w:rPr>
          <w:rFonts w:asciiTheme="minorHAnsi" w:eastAsia="Times New Roman" w:hAnsiTheme="minorHAnsi" w:cstheme="minorHAnsi"/>
          <w:sz w:val="24"/>
          <w:szCs w:val="24"/>
          <w:shd w:val="clear" w:color="auto" w:fill="FFFFFF"/>
        </w:rPr>
        <w:t xml:space="preserve"> notice, or for the impact to be negligible due to the proximity of the Registration Effective Date to the </w:t>
      </w:r>
      <w:proofErr w:type="spellStart"/>
      <w:r w:rsidR="00872ABC" w:rsidRPr="000D565E">
        <w:rPr>
          <w:rFonts w:asciiTheme="minorHAnsi" w:eastAsia="Times New Roman" w:hAnsiTheme="minorHAnsi" w:cstheme="minorHAnsi"/>
          <w:sz w:val="24"/>
          <w:szCs w:val="24"/>
          <w:shd w:val="clear" w:color="auto" w:fill="FFFFFF"/>
        </w:rPr>
        <w:t>SoLR</w:t>
      </w:r>
      <w:proofErr w:type="spellEnd"/>
      <w:r w:rsidR="00872ABC" w:rsidRPr="000D565E">
        <w:rPr>
          <w:rFonts w:asciiTheme="minorHAnsi" w:eastAsia="Times New Roman" w:hAnsiTheme="minorHAnsi" w:cstheme="minorHAnsi"/>
          <w:sz w:val="24"/>
          <w:szCs w:val="24"/>
          <w:shd w:val="clear" w:color="auto" w:fill="FFFFFF"/>
        </w:rPr>
        <w:t xml:space="preserve"> Effective Date.</w:t>
      </w:r>
    </w:p>
    <w:p w14:paraId="5B51F89D" w14:textId="77777777" w:rsidR="003C19BB" w:rsidRPr="000D565E" w:rsidRDefault="00872ABC" w:rsidP="009F103C">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 xml:space="preserve">This is the only option that allows the Shipper Identity to be updated at the same time as the Supplier Identity.  </w:t>
      </w:r>
    </w:p>
    <w:p w14:paraId="72BB7580" w14:textId="77777777" w:rsidR="00CA2FF0" w:rsidRPr="000D565E" w:rsidRDefault="00872ABC" w:rsidP="009F103C">
      <w:pPr>
        <w:spacing w:line="360" w:lineRule="auto"/>
        <w:jc w:val="both"/>
        <w:rPr>
          <w:rFonts w:asciiTheme="minorHAnsi" w:eastAsia="Times New Roman" w:hAnsiTheme="minorHAnsi" w:cstheme="minorHAnsi"/>
          <w:sz w:val="24"/>
          <w:szCs w:val="24"/>
          <w:shd w:val="clear" w:color="auto" w:fill="FFFFFF"/>
        </w:rPr>
      </w:pPr>
      <w:r w:rsidRPr="000D565E">
        <w:rPr>
          <w:rFonts w:asciiTheme="minorHAnsi" w:eastAsia="Times New Roman" w:hAnsiTheme="minorHAnsi" w:cstheme="minorHAnsi"/>
          <w:sz w:val="24"/>
          <w:szCs w:val="24"/>
          <w:shd w:val="clear" w:color="auto" w:fill="FFFFFF"/>
        </w:rPr>
        <w:t>This reduces the period of manual intervention for Settlement as the Registrations will need to be effective within a short period of the Effective Date.  This option relies upon the</w:t>
      </w:r>
      <w:r w:rsidR="000A5F03" w:rsidRPr="000D565E">
        <w:rPr>
          <w:rFonts w:asciiTheme="minorHAnsi" w:eastAsia="Times New Roman" w:hAnsiTheme="minorHAnsi" w:cstheme="minorHAnsi"/>
          <w:sz w:val="24"/>
          <w:szCs w:val="24"/>
          <w:shd w:val="clear" w:color="auto" w:fill="FFFFFF"/>
        </w:rPr>
        <w:t xml:space="preserve"> appointed</w:t>
      </w:r>
      <w:r w:rsidRPr="000D565E">
        <w:rPr>
          <w:rFonts w:asciiTheme="minorHAnsi" w:eastAsia="Times New Roman" w:hAnsiTheme="minorHAnsi" w:cstheme="minorHAnsi"/>
          <w:sz w:val="24"/>
          <w:szCs w:val="24"/>
          <w:shd w:val="clear" w:color="auto" w:fill="FFFFFF"/>
        </w:rPr>
        <w:t xml:space="preserve"> Supplier being able to generate the volume of Registration transactions specified and manage the submission of these in the timescales specified as part of the </w:t>
      </w:r>
      <w:proofErr w:type="spellStart"/>
      <w:r w:rsidRPr="000D565E">
        <w:rPr>
          <w:rFonts w:asciiTheme="minorHAnsi" w:eastAsia="Times New Roman" w:hAnsiTheme="minorHAnsi" w:cstheme="minorHAnsi"/>
          <w:sz w:val="24"/>
          <w:szCs w:val="24"/>
          <w:shd w:val="clear" w:color="auto" w:fill="FFFFFF"/>
        </w:rPr>
        <w:t>SoLR</w:t>
      </w:r>
      <w:proofErr w:type="spellEnd"/>
      <w:r w:rsidRPr="000D565E">
        <w:rPr>
          <w:rFonts w:asciiTheme="minorHAnsi" w:eastAsia="Times New Roman" w:hAnsiTheme="minorHAnsi" w:cstheme="minorHAnsi"/>
          <w:sz w:val="24"/>
          <w:szCs w:val="24"/>
          <w:shd w:val="clear" w:color="auto" w:fill="FFFFFF"/>
        </w:rPr>
        <w:t xml:space="preserve"> event.</w:t>
      </w:r>
    </w:p>
    <w:p w14:paraId="1C97A0DE" w14:textId="77777777" w:rsidR="0037734D" w:rsidRPr="000D565E" w:rsidRDefault="0037734D" w:rsidP="009F103C">
      <w:pPr>
        <w:spacing w:line="360" w:lineRule="auto"/>
        <w:jc w:val="both"/>
        <w:rPr>
          <w:rFonts w:asciiTheme="minorHAnsi" w:hAnsiTheme="minorHAnsi" w:cstheme="minorHAnsi"/>
          <w:sz w:val="24"/>
          <w:szCs w:val="24"/>
        </w:rPr>
      </w:pPr>
    </w:p>
    <w:p w14:paraId="000337C0" w14:textId="77777777" w:rsidR="00972B25" w:rsidRPr="000D565E" w:rsidRDefault="00972B25">
      <w:pPr>
        <w:spacing w:after="160" w:line="259" w:lineRule="auto"/>
        <w:rPr>
          <w:rFonts w:asciiTheme="minorHAnsi" w:hAnsiTheme="minorHAnsi" w:cstheme="minorHAnsi"/>
          <w:sz w:val="24"/>
          <w:szCs w:val="24"/>
        </w:rPr>
      </w:pPr>
      <w:r w:rsidRPr="000D565E">
        <w:rPr>
          <w:rFonts w:asciiTheme="minorHAnsi" w:hAnsiTheme="minorHAnsi" w:cstheme="minorHAnsi"/>
          <w:sz w:val="24"/>
          <w:szCs w:val="24"/>
        </w:rPr>
        <w:br w:type="page"/>
      </w:r>
    </w:p>
    <w:p w14:paraId="167E5EB9" w14:textId="77777777" w:rsidR="0037734D" w:rsidRPr="000F5415" w:rsidRDefault="0037734D" w:rsidP="00972B25">
      <w:pPr>
        <w:spacing w:line="360" w:lineRule="auto"/>
        <w:rPr>
          <w:rFonts w:asciiTheme="minorHAnsi" w:hAnsiTheme="minorHAnsi" w:cstheme="minorHAnsi"/>
          <w:sz w:val="24"/>
          <w:szCs w:val="24"/>
        </w:rPr>
      </w:pPr>
      <w:r w:rsidRPr="000D565E">
        <w:rPr>
          <w:rStyle w:val="SubtleEmphasis"/>
          <w:rFonts w:asciiTheme="majorHAnsi" w:eastAsiaTheme="majorEastAsia" w:hAnsiTheme="majorHAnsi" w:cstheme="majorBidi"/>
          <w:color w:val="2F5496" w:themeColor="accent1" w:themeShade="BF"/>
          <w:sz w:val="32"/>
          <w:szCs w:val="32"/>
        </w:rPr>
        <w:lastRenderedPageBreak/>
        <w:t>Appendix</w:t>
      </w:r>
      <w:r w:rsidR="00972B25" w:rsidRPr="000D565E">
        <w:rPr>
          <w:rStyle w:val="SubtleEmphasis"/>
          <w:rFonts w:asciiTheme="majorHAnsi" w:eastAsiaTheme="majorEastAsia" w:hAnsiTheme="majorHAnsi" w:cstheme="majorBidi"/>
          <w:color w:val="2F5496" w:themeColor="accent1" w:themeShade="BF"/>
          <w:sz w:val="32"/>
          <w:szCs w:val="32"/>
        </w:rPr>
        <w:t xml:space="preserve"> A:  Preliminary Option Assessment</w:t>
      </w:r>
      <w:r w:rsidRPr="0037734D">
        <w:rPr>
          <w:rFonts w:asciiTheme="minorHAnsi" w:hAnsiTheme="minorHAnsi" w:cstheme="minorHAnsi"/>
          <w:noProof/>
          <w:sz w:val="24"/>
          <w:szCs w:val="24"/>
          <w:lang w:eastAsia="en-GB"/>
        </w:rPr>
        <w:drawing>
          <wp:inline distT="0" distB="0" distL="0" distR="0" wp14:anchorId="64C53EAD" wp14:editId="7E0265F9">
            <wp:extent cx="8591107" cy="5242032"/>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595993" cy="5245013"/>
                    </a:xfrm>
                    <a:prstGeom prst="rect">
                      <a:avLst/>
                    </a:prstGeom>
                  </pic:spPr>
                </pic:pic>
              </a:graphicData>
            </a:graphic>
          </wp:inline>
        </w:drawing>
      </w:r>
    </w:p>
    <w:sectPr w:rsidR="0037734D" w:rsidRPr="000F5415" w:rsidSect="00AB289B">
      <w:headerReference w:type="default" r:id="rId14"/>
      <w:footerReference w:type="default" r:id="rId15"/>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574C5" w16cex:dateUtc="2021-07-23T16:03:00Z"/>
  <w16cex:commentExtensible w16cex:durableId="24A574F7" w16cex:dateUtc="2021-07-23T16:03:00Z"/>
  <w16cex:commentExtensible w16cex:durableId="24A57632" w16cex:dateUtc="2021-07-23T16:09:00Z"/>
  <w16cex:commentExtensible w16cex:durableId="24A5752C" w16cex:dateUtc="2021-07-23T16:04:00Z"/>
  <w16cex:commentExtensible w16cex:durableId="24A5757D" w16cex:dateUtc="2021-07-23T16:06:00Z"/>
  <w16cex:commentExtensible w16cex:durableId="24A575B4" w16cex:dateUtc="2021-07-23T16:07:00Z"/>
  <w16cex:commentExtensible w16cex:durableId="24A575E9" w16cex:dateUtc="2021-07-23T16:07:00Z"/>
  <w16cex:commentExtensible w16cex:durableId="24A577A5" w16cex:dateUtc="2021-07-23T16:15:00Z"/>
  <w16cex:commentExtensible w16cex:durableId="24A57742" w16cex:dateUtc="2021-07-23T16:13:00Z"/>
  <w16cex:commentExtensible w16cex:durableId="24A57770" w16cex:dateUtc="2021-07-23T16:14:00Z"/>
  <w16cex:commentExtensible w16cex:durableId="24A57B43" w16cex:dateUtc="2021-07-23T16: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54301" w14:textId="77777777" w:rsidR="00AE296B" w:rsidRDefault="00AE296B" w:rsidP="00AA6F6F">
      <w:r>
        <w:separator/>
      </w:r>
    </w:p>
  </w:endnote>
  <w:endnote w:type="continuationSeparator" w:id="0">
    <w:p w14:paraId="58B894E7" w14:textId="77777777" w:rsidR="00AE296B" w:rsidRDefault="00AE296B" w:rsidP="00AA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0603562"/>
      <w:docPartObj>
        <w:docPartGallery w:val="Page Numbers (Bottom of Page)"/>
        <w:docPartUnique/>
      </w:docPartObj>
    </w:sdtPr>
    <w:sdtEndPr>
      <w:rPr>
        <w:noProof/>
      </w:rPr>
    </w:sdtEndPr>
    <w:sdtContent>
      <w:p w14:paraId="7D9AE45A" w14:textId="329F9242" w:rsidR="00BC5C69" w:rsidRDefault="00BC5C69">
        <w:pPr>
          <w:pStyle w:val="Footer"/>
        </w:pPr>
        <w:r>
          <w:fldChar w:fldCharType="begin"/>
        </w:r>
        <w:r>
          <w:instrText xml:space="preserve"> PAGE   \* MERGEFORMAT </w:instrText>
        </w:r>
        <w:r>
          <w:fldChar w:fldCharType="separate"/>
        </w:r>
        <w:r w:rsidR="00EA5824">
          <w:rPr>
            <w:noProof/>
          </w:rPr>
          <w:t>14</w:t>
        </w:r>
        <w:r>
          <w:rPr>
            <w:noProof/>
          </w:rPr>
          <w:fldChar w:fldCharType="end"/>
        </w:r>
      </w:p>
    </w:sdtContent>
  </w:sdt>
  <w:p w14:paraId="3A375CF6" w14:textId="77777777" w:rsidR="00BC5C69" w:rsidRDefault="00BC5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AE044" w14:textId="77777777" w:rsidR="00AE296B" w:rsidRDefault="00AE296B" w:rsidP="00AA6F6F">
      <w:r>
        <w:separator/>
      </w:r>
    </w:p>
  </w:footnote>
  <w:footnote w:type="continuationSeparator" w:id="0">
    <w:p w14:paraId="30153FF7" w14:textId="77777777" w:rsidR="00AE296B" w:rsidRDefault="00AE296B" w:rsidP="00AA6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7BB32" w14:textId="68CCC43F" w:rsidR="00BC5C69" w:rsidRDefault="00BC5C69">
    <w:pPr>
      <w:pStyle w:val="Header"/>
    </w:pPr>
    <w:r>
      <w:t>Switching Programme</w:t>
    </w:r>
  </w:p>
  <w:p w14:paraId="3FC55B16" w14:textId="77777777" w:rsidR="00BC5C69" w:rsidRDefault="00BC5C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1F36"/>
    <w:multiLevelType w:val="hybridMultilevel"/>
    <w:tmpl w:val="1592E2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81B66"/>
    <w:multiLevelType w:val="hybridMultilevel"/>
    <w:tmpl w:val="AB6E3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F2942"/>
    <w:multiLevelType w:val="hybridMultilevel"/>
    <w:tmpl w:val="06AC5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C05D8F"/>
    <w:multiLevelType w:val="hybridMultilevel"/>
    <w:tmpl w:val="F2740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8450C4"/>
    <w:multiLevelType w:val="hybridMultilevel"/>
    <w:tmpl w:val="595EEA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324BCB"/>
    <w:multiLevelType w:val="hybridMultilevel"/>
    <w:tmpl w:val="E736B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4007DD3"/>
    <w:multiLevelType w:val="hybridMultilevel"/>
    <w:tmpl w:val="CC08C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5994758"/>
    <w:multiLevelType w:val="hybridMultilevel"/>
    <w:tmpl w:val="5A7CA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3E04BE"/>
    <w:multiLevelType w:val="hybridMultilevel"/>
    <w:tmpl w:val="3690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0F4CF1"/>
    <w:multiLevelType w:val="hybridMultilevel"/>
    <w:tmpl w:val="0C685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0E4A38"/>
    <w:multiLevelType w:val="hybridMultilevel"/>
    <w:tmpl w:val="8B28F5EC"/>
    <w:lvl w:ilvl="0" w:tplc="72B61C3E">
      <w:start w:val="1"/>
      <w:numFmt w:val="bullet"/>
      <w:lvlText w:val="•"/>
      <w:lvlJc w:val="left"/>
      <w:pPr>
        <w:tabs>
          <w:tab w:val="num" w:pos="720"/>
        </w:tabs>
        <w:ind w:left="720" w:hanging="360"/>
      </w:pPr>
      <w:rPr>
        <w:rFonts w:ascii="Arial" w:hAnsi="Arial" w:hint="default"/>
      </w:rPr>
    </w:lvl>
    <w:lvl w:ilvl="1" w:tplc="E7369B78">
      <w:start w:val="1"/>
      <w:numFmt w:val="bullet"/>
      <w:lvlText w:val="•"/>
      <w:lvlJc w:val="left"/>
      <w:pPr>
        <w:tabs>
          <w:tab w:val="num" w:pos="1440"/>
        </w:tabs>
        <w:ind w:left="1440" w:hanging="360"/>
      </w:pPr>
      <w:rPr>
        <w:rFonts w:ascii="Arial" w:hAnsi="Arial" w:hint="default"/>
      </w:rPr>
    </w:lvl>
    <w:lvl w:ilvl="2" w:tplc="CF8491A6" w:tentative="1">
      <w:start w:val="1"/>
      <w:numFmt w:val="bullet"/>
      <w:lvlText w:val="•"/>
      <w:lvlJc w:val="left"/>
      <w:pPr>
        <w:tabs>
          <w:tab w:val="num" w:pos="2160"/>
        </w:tabs>
        <w:ind w:left="2160" w:hanging="360"/>
      </w:pPr>
      <w:rPr>
        <w:rFonts w:ascii="Arial" w:hAnsi="Arial" w:hint="default"/>
      </w:rPr>
    </w:lvl>
    <w:lvl w:ilvl="3" w:tplc="2CBE0448" w:tentative="1">
      <w:start w:val="1"/>
      <w:numFmt w:val="bullet"/>
      <w:lvlText w:val="•"/>
      <w:lvlJc w:val="left"/>
      <w:pPr>
        <w:tabs>
          <w:tab w:val="num" w:pos="2880"/>
        </w:tabs>
        <w:ind w:left="2880" w:hanging="360"/>
      </w:pPr>
      <w:rPr>
        <w:rFonts w:ascii="Arial" w:hAnsi="Arial" w:hint="default"/>
      </w:rPr>
    </w:lvl>
    <w:lvl w:ilvl="4" w:tplc="8862989E" w:tentative="1">
      <w:start w:val="1"/>
      <w:numFmt w:val="bullet"/>
      <w:lvlText w:val="•"/>
      <w:lvlJc w:val="left"/>
      <w:pPr>
        <w:tabs>
          <w:tab w:val="num" w:pos="3600"/>
        </w:tabs>
        <w:ind w:left="3600" w:hanging="360"/>
      </w:pPr>
      <w:rPr>
        <w:rFonts w:ascii="Arial" w:hAnsi="Arial" w:hint="default"/>
      </w:rPr>
    </w:lvl>
    <w:lvl w:ilvl="5" w:tplc="5616E1E6" w:tentative="1">
      <w:start w:val="1"/>
      <w:numFmt w:val="bullet"/>
      <w:lvlText w:val="•"/>
      <w:lvlJc w:val="left"/>
      <w:pPr>
        <w:tabs>
          <w:tab w:val="num" w:pos="4320"/>
        </w:tabs>
        <w:ind w:left="4320" w:hanging="360"/>
      </w:pPr>
      <w:rPr>
        <w:rFonts w:ascii="Arial" w:hAnsi="Arial" w:hint="default"/>
      </w:rPr>
    </w:lvl>
    <w:lvl w:ilvl="6" w:tplc="B67C37CE" w:tentative="1">
      <w:start w:val="1"/>
      <w:numFmt w:val="bullet"/>
      <w:lvlText w:val="•"/>
      <w:lvlJc w:val="left"/>
      <w:pPr>
        <w:tabs>
          <w:tab w:val="num" w:pos="5040"/>
        </w:tabs>
        <w:ind w:left="5040" w:hanging="360"/>
      </w:pPr>
      <w:rPr>
        <w:rFonts w:ascii="Arial" w:hAnsi="Arial" w:hint="default"/>
      </w:rPr>
    </w:lvl>
    <w:lvl w:ilvl="7" w:tplc="331C15B0" w:tentative="1">
      <w:start w:val="1"/>
      <w:numFmt w:val="bullet"/>
      <w:lvlText w:val="•"/>
      <w:lvlJc w:val="left"/>
      <w:pPr>
        <w:tabs>
          <w:tab w:val="num" w:pos="5760"/>
        </w:tabs>
        <w:ind w:left="5760" w:hanging="360"/>
      </w:pPr>
      <w:rPr>
        <w:rFonts w:ascii="Arial" w:hAnsi="Arial" w:hint="default"/>
      </w:rPr>
    </w:lvl>
    <w:lvl w:ilvl="8" w:tplc="7F5C708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A26FFF"/>
    <w:multiLevelType w:val="hybridMultilevel"/>
    <w:tmpl w:val="C3447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CB17AD"/>
    <w:multiLevelType w:val="hybridMultilevel"/>
    <w:tmpl w:val="15B2A4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2A302AA6"/>
    <w:multiLevelType w:val="hybridMultilevel"/>
    <w:tmpl w:val="B1E63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AA12FA3"/>
    <w:multiLevelType w:val="hybridMultilevel"/>
    <w:tmpl w:val="CCF8C4F6"/>
    <w:lvl w:ilvl="0" w:tplc="AC501C66">
      <w:start w:val="1"/>
      <w:numFmt w:val="decimal"/>
      <w:lvlText w:val="%1."/>
      <w:lvlJc w:val="left"/>
      <w:pPr>
        <w:ind w:left="360" w:hanging="360"/>
      </w:pPr>
      <w:rPr>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2E2457A9"/>
    <w:multiLevelType w:val="hybridMultilevel"/>
    <w:tmpl w:val="733A17CC"/>
    <w:lvl w:ilvl="0" w:tplc="6F0A5B3A">
      <w:start w:val="1"/>
      <w:numFmt w:val="bullet"/>
      <w:lvlText w:val="•"/>
      <w:lvlJc w:val="left"/>
      <w:pPr>
        <w:tabs>
          <w:tab w:val="num" w:pos="720"/>
        </w:tabs>
        <w:ind w:left="720" w:hanging="360"/>
      </w:pPr>
      <w:rPr>
        <w:rFonts w:ascii="Arial" w:hAnsi="Arial" w:hint="default"/>
      </w:rPr>
    </w:lvl>
    <w:lvl w:ilvl="1" w:tplc="42A04F50" w:tentative="1">
      <w:start w:val="1"/>
      <w:numFmt w:val="bullet"/>
      <w:lvlText w:val="•"/>
      <w:lvlJc w:val="left"/>
      <w:pPr>
        <w:tabs>
          <w:tab w:val="num" w:pos="1440"/>
        </w:tabs>
        <w:ind w:left="1440" w:hanging="360"/>
      </w:pPr>
      <w:rPr>
        <w:rFonts w:ascii="Arial" w:hAnsi="Arial" w:hint="default"/>
      </w:rPr>
    </w:lvl>
    <w:lvl w:ilvl="2" w:tplc="1AFA321A" w:tentative="1">
      <w:start w:val="1"/>
      <w:numFmt w:val="bullet"/>
      <w:lvlText w:val="•"/>
      <w:lvlJc w:val="left"/>
      <w:pPr>
        <w:tabs>
          <w:tab w:val="num" w:pos="2160"/>
        </w:tabs>
        <w:ind w:left="2160" w:hanging="360"/>
      </w:pPr>
      <w:rPr>
        <w:rFonts w:ascii="Arial" w:hAnsi="Arial" w:hint="default"/>
      </w:rPr>
    </w:lvl>
    <w:lvl w:ilvl="3" w:tplc="7B7A76C4" w:tentative="1">
      <w:start w:val="1"/>
      <w:numFmt w:val="bullet"/>
      <w:lvlText w:val="•"/>
      <w:lvlJc w:val="left"/>
      <w:pPr>
        <w:tabs>
          <w:tab w:val="num" w:pos="2880"/>
        </w:tabs>
        <w:ind w:left="2880" w:hanging="360"/>
      </w:pPr>
      <w:rPr>
        <w:rFonts w:ascii="Arial" w:hAnsi="Arial" w:hint="default"/>
      </w:rPr>
    </w:lvl>
    <w:lvl w:ilvl="4" w:tplc="E006D45A" w:tentative="1">
      <w:start w:val="1"/>
      <w:numFmt w:val="bullet"/>
      <w:lvlText w:val="•"/>
      <w:lvlJc w:val="left"/>
      <w:pPr>
        <w:tabs>
          <w:tab w:val="num" w:pos="3600"/>
        </w:tabs>
        <w:ind w:left="3600" w:hanging="360"/>
      </w:pPr>
      <w:rPr>
        <w:rFonts w:ascii="Arial" w:hAnsi="Arial" w:hint="default"/>
      </w:rPr>
    </w:lvl>
    <w:lvl w:ilvl="5" w:tplc="2490FB0E" w:tentative="1">
      <w:start w:val="1"/>
      <w:numFmt w:val="bullet"/>
      <w:lvlText w:val="•"/>
      <w:lvlJc w:val="left"/>
      <w:pPr>
        <w:tabs>
          <w:tab w:val="num" w:pos="4320"/>
        </w:tabs>
        <w:ind w:left="4320" w:hanging="360"/>
      </w:pPr>
      <w:rPr>
        <w:rFonts w:ascii="Arial" w:hAnsi="Arial" w:hint="default"/>
      </w:rPr>
    </w:lvl>
    <w:lvl w:ilvl="6" w:tplc="DCE0088C" w:tentative="1">
      <w:start w:val="1"/>
      <w:numFmt w:val="bullet"/>
      <w:lvlText w:val="•"/>
      <w:lvlJc w:val="left"/>
      <w:pPr>
        <w:tabs>
          <w:tab w:val="num" w:pos="5040"/>
        </w:tabs>
        <w:ind w:left="5040" w:hanging="360"/>
      </w:pPr>
      <w:rPr>
        <w:rFonts w:ascii="Arial" w:hAnsi="Arial" w:hint="default"/>
      </w:rPr>
    </w:lvl>
    <w:lvl w:ilvl="7" w:tplc="5CF20A22" w:tentative="1">
      <w:start w:val="1"/>
      <w:numFmt w:val="bullet"/>
      <w:lvlText w:val="•"/>
      <w:lvlJc w:val="left"/>
      <w:pPr>
        <w:tabs>
          <w:tab w:val="num" w:pos="5760"/>
        </w:tabs>
        <w:ind w:left="5760" w:hanging="360"/>
      </w:pPr>
      <w:rPr>
        <w:rFonts w:ascii="Arial" w:hAnsi="Arial" w:hint="default"/>
      </w:rPr>
    </w:lvl>
    <w:lvl w:ilvl="8" w:tplc="122447F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0AA1F39"/>
    <w:multiLevelType w:val="hybridMultilevel"/>
    <w:tmpl w:val="2B1E7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547331"/>
    <w:multiLevelType w:val="hybridMultilevel"/>
    <w:tmpl w:val="DD0E055E"/>
    <w:lvl w:ilvl="0" w:tplc="08090001">
      <w:start w:val="1"/>
      <w:numFmt w:val="bullet"/>
      <w:lvlText w:val=""/>
      <w:lvlJc w:val="left"/>
      <w:pPr>
        <w:ind w:left="769" w:hanging="360"/>
      </w:pPr>
      <w:rPr>
        <w:rFonts w:ascii="Symbol" w:hAnsi="Symbol" w:hint="default"/>
      </w:rPr>
    </w:lvl>
    <w:lvl w:ilvl="1" w:tplc="08090003">
      <w:start w:val="1"/>
      <w:numFmt w:val="bullet"/>
      <w:lvlText w:val="o"/>
      <w:lvlJc w:val="left"/>
      <w:pPr>
        <w:ind w:left="1489" w:hanging="360"/>
      </w:pPr>
      <w:rPr>
        <w:rFonts w:ascii="Courier New" w:hAnsi="Courier New" w:cs="Courier New" w:hint="default"/>
      </w:rPr>
    </w:lvl>
    <w:lvl w:ilvl="2" w:tplc="08090005">
      <w:start w:val="1"/>
      <w:numFmt w:val="bullet"/>
      <w:lvlText w:val=""/>
      <w:lvlJc w:val="left"/>
      <w:pPr>
        <w:ind w:left="2209" w:hanging="360"/>
      </w:pPr>
      <w:rPr>
        <w:rFonts w:ascii="Wingdings" w:hAnsi="Wingdings" w:hint="default"/>
      </w:rPr>
    </w:lvl>
    <w:lvl w:ilvl="3" w:tplc="08090001">
      <w:start w:val="1"/>
      <w:numFmt w:val="bullet"/>
      <w:lvlText w:val=""/>
      <w:lvlJc w:val="left"/>
      <w:pPr>
        <w:ind w:left="2929" w:hanging="360"/>
      </w:pPr>
      <w:rPr>
        <w:rFonts w:ascii="Symbol" w:hAnsi="Symbol" w:hint="default"/>
      </w:rPr>
    </w:lvl>
    <w:lvl w:ilvl="4" w:tplc="08090003">
      <w:start w:val="1"/>
      <w:numFmt w:val="bullet"/>
      <w:lvlText w:val="o"/>
      <w:lvlJc w:val="left"/>
      <w:pPr>
        <w:ind w:left="3649" w:hanging="360"/>
      </w:pPr>
      <w:rPr>
        <w:rFonts w:ascii="Courier New" w:hAnsi="Courier New" w:cs="Courier New" w:hint="default"/>
      </w:rPr>
    </w:lvl>
    <w:lvl w:ilvl="5" w:tplc="08090005">
      <w:start w:val="1"/>
      <w:numFmt w:val="bullet"/>
      <w:lvlText w:val=""/>
      <w:lvlJc w:val="left"/>
      <w:pPr>
        <w:ind w:left="4369" w:hanging="360"/>
      </w:pPr>
      <w:rPr>
        <w:rFonts w:ascii="Wingdings" w:hAnsi="Wingdings" w:hint="default"/>
      </w:rPr>
    </w:lvl>
    <w:lvl w:ilvl="6" w:tplc="08090001">
      <w:start w:val="1"/>
      <w:numFmt w:val="bullet"/>
      <w:lvlText w:val=""/>
      <w:lvlJc w:val="left"/>
      <w:pPr>
        <w:ind w:left="5089" w:hanging="360"/>
      </w:pPr>
      <w:rPr>
        <w:rFonts w:ascii="Symbol" w:hAnsi="Symbol" w:hint="default"/>
      </w:rPr>
    </w:lvl>
    <w:lvl w:ilvl="7" w:tplc="08090003">
      <w:start w:val="1"/>
      <w:numFmt w:val="bullet"/>
      <w:lvlText w:val="o"/>
      <w:lvlJc w:val="left"/>
      <w:pPr>
        <w:ind w:left="5809" w:hanging="360"/>
      </w:pPr>
      <w:rPr>
        <w:rFonts w:ascii="Courier New" w:hAnsi="Courier New" w:cs="Courier New" w:hint="default"/>
      </w:rPr>
    </w:lvl>
    <w:lvl w:ilvl="8" w:tplc="08090005">
      <w:start w:val="1"/>
      <w:numFmt w:val="bullet"/>
      <w:lvlText w:val=""/>
      <w:lvlJc w:val="left"/>
      <w:pPr>
        <w:ind w:left="6529" w:hanging="360"/>
      </w:pPr>
      <w:rPr>
        <w:rFonts w:ascii="Wingdings" w:hAnsi="Wingdings" w:hint="default"/>
      </w:rPr>
    </w:lvl>
  </w:abstractNum>
  <w:abstractNum w:abstractNumId="18" w15:restartNumberingAfterBreak="0">
    <w:nsid w:val="33D35471"/>
    <w:multiLevelType w:val="hybridMultilevel"/>
    <w:tmpl w:val="8CBA5B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AFD3BFA"/>
    <w:multiLevelType w:val="hybridMultilevel"/>
    <w:tmpl w:val="3C1ECF18"/>
    <w:lvl w:ilvl="0" w:tplc="08090001">
      <w:start w:val="1"/>
      <w:numFmt w:val="bullet"/>
      <w:lvlText w:val=""/>
      <w:lvlJc w:val="left"/>
      <w:pPr>
        <w:tabs>
          <w:tab w:val="num" w:pos="720"/>
        </w:tabs>
        <w:ind w:left="720" w:hanging="360"/>
      </w:pPr>
      <w:rPr>
        <w:rFonts w:ascii="Symbol" w:hAnsi="Symbol" w:hint="default"/>
      </w:rPr>
    </w:lvl>
    <w:lvl w:ilvl="1" w:tplc="E7369B78">
      <w:start w:val="1"/>
      <w:numFmt w:val="bullet"/>
      <w:lvlText w:val="•"/>
      <w:lvlJc w:val="left"/>
      <w:pPr>
        <w:tabs>
          <w:tab w:val="num" w:pos="1440"/>
        </w:tabs>
        <w:ind w:left="1440" w:hanging="360"/>
      </w:pPr>
      <w:rPr>
        <w:rFonts w:ascii="Arial" w:hAnsi="Arial" w:hint="default"/>
      </w:rPr>
    </w:lvl>
    <w:lvl w:ilvl="2" w:tplc="CF8491A6" w:tentative="1">
      <w:start w:val="1"/>
      <w:numFmt w:val="bullet"/>
      <w:lvlText w:val="•"/>
      <w:lvlJc w:val="left"/>
      <w:pPr>
        <w:tabs>
          <w:tab w:val="num" w:pos="2160"/>
        </w:tabs>
        <w:ind w:left="2160" w:hanging="360"/>
      </w:pPr>
      <w:rPr>
        <w:rFonts w:ascii="Arial" w:hAnsi="Arial" w:hint="default"/>
      </w:rPr>
    </w:lvl>
    <w:lvl w:ilvl="3" w:tplc="2CBE0448" w:tentative="1">
      <w:start w:val="1"/>
      <w:numFmt w:val="bullet"/>
      <w:lvlText w:val="•"/>
      <w:lvlJc w:val="left"/>
      <w:pPr>
        <w:tabs>
          <w:tab w:val="num" w:pos="2880"/>
        </w:tabs>
        <w:ind w:left="2880" w:hanging="360"/>
      </w:pPr>
      <w:rPr>
        <w:rFonts w:ascii="Arial" w:hAnsi="Arial" w:hint="default"/>
      </w:rPr>
    </w:lvl>
    <w:lvl w:ilvl="4" w:tplc="8862989E" w:tentative="1">
      <w:start w:val="1"/>
      <w:numFmt w:val="bullet"/>
      <w:lvlText w:val="•"/>
      <w:lvlJc w:val="left"/>
      <w:pPr>
        <w:tabs>
          <w:tab w:val="num" w:pos="3600"/>
        </w:tabs>
        <w:ind w:left="3600" w:hanging="360"/>
      </w:pPr>
      <w:rPr>
        <w:rFonts w:ascii="Arial" w:hAnsi="Arial" w:hint="default"/>
      </w:rPr>
    </w:lvl>
    <w:lvl w:ilvl="5" w:tplc="5616E1E6" w:tentative="1">
      <w:start w:val="1"/>
      <w:numFmt w:val="bullet"/>
      <w:lvlText w:val="•"/>
      <w:lvlJc w:val="left"/>
      <w:pPr>
        <w:tabs>
          <w:tab w:val="num" w:pos="4320"/>
        </w:tabs>
        <w:ind w:left="4320" w:hanging="360"/>
      </w:pPr>
      <w:rPr>
        <w:rFonts w:ascii="Arial" w:hAnsi="Arial" w:hint="default"/>
      </w:rPr>
    </w:lvl>
    <w:lvl w:ilvl="6" w:tplc="B67C37CE" w:tentative="1">
      <w:start w:val="1"/>
      <w:numFmt w:val="bullet"/>
      <w:lvlText w:val="•"/>
      <w:lvlJc w:val="left"/>
      <w:pPr>
        <w:tabs>
          <w:tab w:val="num" w:pos="5040"/>
        </w:tabs>
        <w:ind w:left="5040" w:hanging="360"/>
      </w:pPr>
      <w:rPr>
        <w:rFonts w:ascii="Arial" w:hAnsi="Arial" w:hint="default"/>
      </w:rPr>
    </w:lvl>
    <w:lvl w:ilvl="7" w:tplc="331C15B0" w:tentative="1">
      <w:start w:val="1"/>
      <w:numFmt w:val="bullet"/>
      <w:lvlText w:val="•"/>
      <w:lvlJc w:val="left"/>
      <w:pPr>
        <w:tabs>
          <w:tab w:val="num" w:pos="5760"/>
        </w:tabs>
        <w:ind w:left="5760" w:hanging="360"/>
      </w:pPr>
      <w:rPr>
        <w:rFonts w:ascii="Arial" w:hAnsi="Arial" w:hint="default"/>
      </w:rPr>
    </w:lvl>
    <w:lvl w:ilvl="8" w:tplc="7F5C708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F8340E"/>
    <w:multiLevelType w:val="hybridMultilevel"/>
    <w:tmpl w:val="9104E374"/>
    <w:lvl w:ilvl="0" w:tplc="E814C53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C73DED"/>
    <w:multiLevelType w:val="hybridMultilevel"/>
    <w:tmpl w:val="42564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15:restartNumberingAfterBreak="0">
    <w:nsid w:val="3F2644F2"/>
    <w:multiLevelType w:val="hybridMultilevel"/>
    <w:tmpl w:val="B5CA90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F543E41"/>
    <w:multiLevelType w:val="hybridMultilevel"/>
    <w:tmpl w:val="B32AFD36"/>
    <w:lvl w:ilvl="0" w:tplc="08090001">
      <w:start w:val="1"/>
      <w:numFmt w:val="bullet"/>
      <w:lvlText w:val=""/>
      <w:lvlJc w:val="left"/>
      <w:pPr>
        <w:ind w:left="196" w:hanging="360"/>
      </w:pPr>
      <w:rPr>
        <w:rFonts w:ascii="Symbol" w:hAnsi="Symbol" w:hint="default"/>
      </w:rPr>
    </w:lvl>
    <w:lvl w:ilvl="1" w:tplc="08090003">
      <w:start w:val="1"/>
      <w:numFmt w:val="bullet"/>
      <w:lvlText w:val="o"/>
      <w:lvlJc w:val="left"/>
      <w:pPr>
        <w:ind w:left="916" w:hanging="360"/>
      </w:pPr>
      <w:rPr>
        <w:rFonts w:ascii="Courier New" w:hAnsi="Courier New" w:cs="Courier New" w:hint="default"/>
      </w:rPr>
    </w:lvl>
    <w:lvl w:ilvl="2" w:tplc="08090005">
      <w:start w:val="1"/>
      <w:numFmt w:val="bullet"/>
      <w:lvlText w:val=""/>
      <w:lvlJc w:val="left"/>
      <w:pPr>
        <w:ind w:left="1636" w:hanging="360"/>
      </w:pPr>
      <w:rPr>
        <w:rFonts w:ascii="Wingdings" w:hAnsi="Wingdings" w:hint="default"/>
      </w:rPr>
    </w:lvl>
    <w:lvl w:ilvl="3" w:tplc="08090001">
      <w:start w:val="1"/>
      <w:numFmt w:val="bullet"/>
      <w:lvlText w:val=""/>
      <w:lvlJc w:val="left"/>
      <w:pPr>
        <w:ind w:left="2356" w:hanging="360"/>
      </w:pPr>
      <w:rPr>
        <w:rFonts w:ascii="Symbol" w:hAnsi="Symbol" w:hint="default"/>
      </w:rPr>
    </w:lvl>
    <w:lvl w:ilvl="4" w:tplc="08090003">
      <w:start w:val="1"/>
      <w:numFmt w:val="bullet"/>
      <w:lvlText w:val="o"/>
      <w:lvlJc w:val="left"/>
      <w:pPr>
        <w:ind w:left="3076" w:hanging="360"/>
      </w:pPr>
      <w:rPr>
        <w:rFonts w:ascii="Courier New" w:hAnsi="Courier New" w:cs="Courier New" w:hint="default"/>
      </w:rPr>
    </w:lvl>
    <w:lvl w:ilvl="5" w:tplc="08090005">
      <w:start w:val="1"/>
      <w:numFmt w:val="bullet"/>
      <w:lvlText w:val=""/>
      <w:lvlJc w:val="left"/>
      <w:pPr>
        <w:ind w:left="3796" w:hanging="360"/>
      </w:pPr>
      <w:rPr>
        <w:rFonts w:ascii="Wingdings" w:hAnsi="Wingdings" w:hint="default"/>
      </w:rPr>
    </w:lvl>
    <w:lvl w:ilvl="6" w:tplc="08090001">
      <w:start w:val="1"/>
      <w:numFmt w:val="bullet"/>
      <w:lvlText w:val=""/>
      <w:lvlJc w:val="left"/>
      <w:pPr>
        <w:ind w:left="4516" w:hanging="360"/>
      </w:pPr>
      <w:rPr>
        <w:rFonts w:ascii="Symbol" w:hAnsi="Symbol" w:hint="default"/>
      </w:rPr>
    </w:lvl>
    <w:lvl w:ilvl="7" w:tplc="08090003">
      <w:start w:val="1"/>
      <w:numFmt w:val="bullet"/>
      <w:lvlText w:val="o"/>
      <w:lvlJc w:val="left"/>
      <w:pPr>
        <w:ind w:left="5236" w:hanging="360"/>
      </w:pPr>
      <w:rPr>
        <w:rFonts w:ascii="Courier New" w:hAnsi="Courier New" w:cs="Courier New" w:hint="default"/>
      </w:rPr>
    </w:lvl>
    <w:lvl w:ilvl="8" w:tplc="08090005">
      <w:start w:val="1"/>
      <w:numFmt w:val="bullet"/>
      <w:lvlText w:val=""/>
      <w:lvlJc w:val="left"/>
      <w:pPr>
        <w:ind w:left="5956" w:hanging="360"/>
      </w:pPr>
      <w:rPr>
        <w:rFonts w:ascii="Wingdings" w:hAnsi="Wingdings" w:hint="default"/>
      </w:rPr>
    </w:lvl>
  </w:abstractNum>
  <w:abstractNum w:abstractNumId="24" w15:restartNumberingAfterBreak="0">
    <w:nsid w:val="3F7702D2"/>
    <w:multiLevelType w:val="hybridMultilevel"/>
    <w:tmpl w:val="C7EE93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ED3786"/>
    <w:multiLevelType w:val="hybridMultilevel"/>
    <w:tmpl w:val="8528F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4500431"/>
    <w:multiLevelType w:val="hybridMultilevel"/>
    <w:tmpl w:val="DBD29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5C14E49"/>
    <w:multiLevelType w:val="hybridMultilevel"/>
    <w:tmpl w:val="36D4E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9EF2605"/>
    <w:multiLevelType w:val="hybridMultilevel"/>
    <w:tmpl w:val="ACE0AE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E9A25EF"/>
    <w:multiLevelType w:val="hybridMultilevel"/>
    <w:tmpl w:val="E404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0B5E29"/>
    <w:multiLevelType w:val="hybridMultilevel"/>
    <w:tmpl w:val="1494CF0C"/>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5B2661F"/>
    <w:multiLevelType w:val="hybridMultilevel"/>
    <w:tmpl w:val="68389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7703A12"/>
    <w:multiLevelType w:val="hybridMultilevel"/>
    <w:tmpl w:val="B7CA3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8102C3C"/>
    <w:multiLevelType w:val="hybridMultilevel"/>
    <w:tmpl w:val="79BCAD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90D08E2"/>
    <w:multiLevelType w:val="hybridMultilevel"/>
    <w:tmpl w:val="DD360F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93E6D38"/>
    <w:multiLevelType w:val="hybridMultilevel"/>
    <w:tmpl w:val="46963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793225"/>
    <w:multiLevelType w:val="hybridMultilevel"/>
    <w:tmpl w:val="C7A24C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46243D9"/>
    <w:multiLevelType w:val="hybridMultilevel"/>
    <w:tmpl w:val="36C6A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6C30464"/>
    <w:multiLevelType w:val="hybridMultilevel"/>
    <w:tmpl w:val="328A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F64B52"/>
    <w:multiLevelType w:val="hybridMultilevel"/>
    <w:tmpl w:val="86366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B840D4"/>
    <w:multiLevelType w:val="hybridMultilevel"/>
    <w:tmpl w:val="702A6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E51ED9"/>
    <w:multiLevelType w:val="hybridMultilevel"/>
    <w:tmpl w:val="1F36E5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08C791B"/>
    <w:multiLevelType w:val="hybridMultilevel"/>
    <w:tmpl w:val="8D2094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1051BF6"/>
    <w:multiLevelType w:val="hybridMultilevel"/>
    <w:tmpl w:val="5BF8D1CE"/>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4" w15:restartNumberingAfterBreak="0">
    <w:nsid w:val="75563A60"/>
    <w:multiLevelType w:val="hybridMultilevel"/>
    <w:tmpl w:val="89A046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5D37FAD"/>
    <w:multiLevelType w:val="hybridMultilevel"/>
    <w:tmpl w:val="9B98AE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5DA79BC"/>
    <w:multiLevelType w:val="hybridMultilevel"/>
    <w:tmpl w:val="FAE4BE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CDE12C2"/>
    <w:multiLevelType w:val="hybridMultilevel"/>
    <w:tmpl w:val="B3A08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23"/>
  </w:num>
  <w:num w:numId="4">
    <w:abstractNumId w:val="13"/>
  </w:num>
  <w:num w:numId="5">
    <w:abstractNumId w:val="14"/>
  </w:num>
  <w:num w:numId="6">
    <w:abstractNumId w:val="34"/>
  </w:num>
  <w:num w:numId="7">
    <w:abstractNumId w:val="28"/>
  </w:num>
  <w:num w:numId="8">
    <w:abstractNumId w:val="8"/>
  </w:num>
  <w:num w:numId="9">
    <w:abstractNumId w:val="16"/>
  </w:num>
  <w:num w:numId="10">
    <w:abstractNumId w:val="30"/>
  </w:num>
  <w:num w:numId="11">
    <w:abstractNumId w:val="20"/>
  </w:num>
  <w:num w:numId="12">
    <w:abstractNumId w:val="42"/>
  </w:num>
  <w:num w:numId="13">
    <w:abstractNumId w:val="18"/>
  </w:num>
  <w:num w:numId="14">
    <w:abstractNumId w:val="10"/>
  </w:num>
  <w:num w:numId="15">
    <w:abstractNumId w:val="15"/>
  </w:num>
  <w:num w:numId="16">
    <w:abstractNumId w:val="31"/>
  </w:num>
  <w:num w:numId="17">
    <w:abstractNumId w:val="47"/>
  </w:num>
  <w:num w:numId="18">
    <w:abstractNumId w:val="24"/>
  </w:num>
  <w:num w:numId="19">
    <w:abstractNumId w:val="44"/>
  </w:num>
  <w:num w:numId="20">
    <w:abstractNumId w:val="33"/>
  </w:num>
  <w:num w:numId="21">
    <w:abstractNumId w:val="22"/>
  </w:num>
  <w:num w:numId="22">
    <w:abstractNumId w:val="19"/>
  </w:num>
  <w:num w:numId="23">
    <w:abstractNumId w:val="2"/>
  </w:num>
  <w:num w:numId="24">
    <w:abstractNumId w:val="21"/>
  </w:num>
  <w:num w:numId="25">
    <w:abstractNumId w:val="9"/>
  </w:num>
  <w:num w:numId="26">
    <w:abstractNumId w:val="46"/>
  </w:num>
  <w:num w:numId="27">
    <w:abstractNumId w:val="29"/>
  </w:num>
  <w:num w:numId="28">
    <w:abstractNumId w:val="36"/>
  </w:num>
  <w:num w:numId="29">
    <w:abstractNumId w:val="4"/>
  </w:num>
  <w:num w:numId="30">
    <w:abstractNumId w:val="27"/>
  </w:num>
  <w:num w:numId="31">
    <w:abstractNumId w:val="6"/>
  </w:num>
  <w:num w:numId="32">
    <w:abstractNumId w:val="32"/>
  </w:num>
  <w:num w:numId="33">
    <w:abstractNumId w:val="5"/>
  </w:num>
  <w:num w:numId="34">
    <w:abstractNumId w:val="40"/>
  </w:num>
  <w:num w:numId="35">
    <w:abstractNumId w:val="3"/>
  </w:num>
  <w:num w:numId="36">
    <w:abstractNumId w:val="37"/>
  </w:num>
  <w:num w:numId="37">
    <w:abstractNumId w:val="35"/>
  </w:num>
  <w:num w:numId="38">
    <w:abstractNumId w:val="41"/>
  </w:num>
  <w:num w:numId="39">
    <w:abstractNumId w:val="26"/>
  </w:num>
  <w:num w:numId="40">
    <w:abstractNumId w:val="25"/>
  </w:num>
  <w:num w:numId="41">
    <w:abstractNumId w:val="12"/>
  </w:num>
  <w:num w:numId="42">
    <w:abstractNumId w:val="17"/>
  </w:num>
  <w:num w:numId="43">
    <w:abstractNumId w:val="43"/>
  </w:num>
  <w:num w:numId="44">
    <w:abstractNumId w:val="39"/>
  </w:num>
  <w:num w:numId="45">
    <w:abstractNumId w:val="1"/>
  </w:num>
  <w:num w:numId="46">
    <w:abstractNumId w:val="11"/>
  </w:num>
  <w:num w:numId="47">
    <w:abstractNumId w:val="38"/>
  </w:num>
  <w:num w:numId="48">
    <w:abstractNumId w:val="0"/>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89B"/>
    <w:rsid w:val="0001219D"/>
    <w:rsid w:val="00012992"/>
    <w:rsid w:val="000165C8"/>
    <w:rsid w:val="00017089"/>
    <w:rsid w:val="00030042"/>
    <w:rsid w:val="000444A3"/>
    <w:rsid w:val="00054EA3"/>
    <w:rsid w:val="00056335"/>
    <w:rsid w:val="0006069C"/>
    <w:rsid w:val="00060B19"/>
    <w:rsid w:val="00062299"/>
    <w:rsid w:val="00062CB5"/>
    <w:rsid w:val="000842BF"/>
    <w:rsid w:val="00084C63"/>
    <w:rsid w:val="0008517F"/>
    <w:rsid w:val="000866AD"/>
    <w:rsid w:val="0008757F"/>
    <w:rsid w:val="000927F1"/>
    <w:rsid w:val="00094BE7"/>
    <w:rsid w:val="00095F0B"/>
    <w:rsid w:val="000970F7"/>
    <w:rsid w:val="000A11C0"/>
    <w:rsid w:val="000A578F"/>
    <w:rsid w:val="000A5F03"/>
    <w:rsid w:val="000A63BF"/>
    <w:rsid w:val="000B1925"/>
    <w:rsid w:val="000B4C62"/>
    <w:rsid w:val="000B5A2F"/>
    <w:rsid w:val="000C274A"/>
    <w:rsid w:val="000C316D"/>
    <w:rsid w:val="000D02C7"/>
    <w:rsid w:val="000D2645"/>
    <w:rsid w:val="000D4327"/>
    <w:rsid w:val="000D565E"/>
    <w:rsid w:val="000D72B9"/>
    <w:rsid w:val="000E1202"/>
    <w:rsid w:val="000E2950"/>
    <w:rsid w:val="000E5D1B"/>
    <w:rsid w:val="000E73E1"/>
    <w:rsid w:val="000E75C8"/>
    <w:rsid w:val="000F5415"/>
    <w:rsid w:val="000F5DC5"/>
    <w:rsid w:val="000F7686"/>
    <w:rsid w:val="0010169D"/>
    <w:rsid w:val="00106602"/>
    <w:rsid w:val="00110B3D"/>
    <w:rsid w:val="00112B6E"/>
    <w:rsid w:val="00116061"/>
    <w:rsid w:val="00122B5B"/>
    <w:rsid w:val="001230B0"/>
    <w:rsid w:val="001232AF"/>
    <w:rsid w:val="00126DE6"/>
    <w:rsid w:val="001325AC"/>
    <w:rsid w:val="001325F6"/>
    <w:rsid w:val="00135B34"/>
    <w:rsid w:val="00143716"/>
    <w:rsid w:val="00144201"/>
    <w:rsid w:val="0014536F"/>
    <w:rsid w:val="00151FB9"/>
    <w:rsid w:val="00153A5D"/>
    <w:rsid w:val="00153C6A"/>
    <w:rsid w:val="001565AC"/>
    <w:rsid w:val="001672DD"/>
    <w:rsid w:val="00175D81"/>
    <w:rsid w:val="00187B96"/>
    <w:rsid w:val="001B18EB"/>
    <w:rsid w:val="001B3CB0"/>
    <w:rsid w:val="001C3D25"/>
    <w:rsid w:val="001C562E"/>
    <w:rsid w:val="001D099B"/>
    <w:rsid w:val="001D0A0B"/>
    <w:rsid w:val="001D3C5A"/>
    <w:rsid w:val="001D5C51"/>
    <w:rsid w:val="001D669C"/>
    <w:rsid w:val="001E0361"/>
    <w:rsid w:val="001E4DBE"/>
    <w:rsid w:val="001E7CFF"/>
    <w:rsid w:val="001F14C8"/>
    <w:rsid w:val="001F1E84"/>
    <w:rsid w:val="001F2E01"/>
    <w:rsid w:val="001F3B56"/>
    <w:rsid w:val="001F4174"/>
    <w:rsid w:val="001F6D83"/>
    <w:rsid w:val="002016C9"/>
    <w:rsid w:val="00203AC7"/>
    <w:rsid w:val="0020441A"/>
    <w:rsid w:val="00207A6F"/>
    <w:rsid w:val="0021140F"/>
    <w:rsid w:val="00211EF4"/>
    <w:rsid w:val="0022087A"/>
    <w:rsid w:val="00221E4E"/>
    <w:rsid w:val="00226AE4"/>
    <w:rsid w:val="00231744"/>
    <w:rsid w:val="00233ED6"/>
    <w:rsid w:val="00233F9B"/>
    <w:rsid w:val="00237849"/>
    <w:rsid w:val="00242F99"/>
    <w:rsid w:val="00244B89"/>
    <w:rsid w:val="0024551F"/>
    <w:rsid w:val="002526FB"/>
    <w:rsid w:val="002567F0"/>
    <w:rsid w:val="00271941"/>
    <w:rsid w:val="00273C9E"/>
    <w:rsid w:val="00274C3C"/>
    <w:rsid w:val="00276B65"/>
    <w:rsid w:val="00276D78"/>
    <w:rsid w:val="00281F3D"/>
    <w:rsid w:val="00283BA2"/>
    <w:rsid w:val="002901EA"/>
    <w:rsid w:val="00294A8C"/>
    <w:rsid w:val="00296C10"/>
    <w:rsid w:val="00296D06"/>
    <w:rsid w:val="002A1752"/>
    <w:rsid w:val="002A2CA1"/>
    <w:rsid w:val="002A2DFA"/>
    <w:rsid w:val="002A4F73"/>
    <w:rsid w:val="002A6543"/>
    <w:rsid w:val="002B0690"/>
    <w:rsid w:val="002B4908"/>
    <w:rsid w:val="002C2A2D"/>
    <w:rsid w:val="002C4028"/>
    <w:rsid w:val="002C5677"/>
    <w:rsid w:val="002D1417"/>
    <w:rsid w:val="002D2FCA"/>
    <w:rsid w:val="002D3BD0"/>
    <w:rsid w:val="002D662C"/>
    <w:rsid w:val="002F1AE5"/>
    <w:rsid w:val="002F223D"/>
    <w:rsid w:val="002F3CA5"/>
    <w:rsid w:val="002F6C31"/>
    <w:rsid w:val="003118E0"/>
    <w:rsid w:val="003303AE"/>
    <w:rsid w:val="003330BC"/>
    <w:rsid w:val="00334D77"/>
    <w:rsid w:val="00342DFD"/>
    <w:rsid w:val="00342F23"/>
    <w:rsid w:val="00347CC7"/>
    <w:rsid w:val="0036366E"/>
    <w:rsid w:val="00367CC8"/>
    <w:rsid w:val="00371CCD"/>
    <w:rsid w:val="00376B0D"/>
    <w:rsid w:val="0037734D"/>
    <w:rsid w:val="003823DB"/>
    <w:rsid w:val="003854FE"/>
    <w:rsid w:val="00386C0C"/>
    <w:rsid w:val="003877B6"/>
    <w:rsid w:val="003915C2"/>
    <w:rsid w:val="00392495"/>
    <w:rsid w:val="00393ADE"/>
    <w:rsid w:val="0039629A"/>
    <w:rsid w:val="003A0AD7"/>
    <w:rsid w:val="003A1E2D"/>
    <w:rsid w:val="003A2BBF"/>
    <w:rsid w:val="003A502B"/>
    <w:rsid w:val="003B4C7F"/>
    <w:rsid w:val="003B5A72"/>
    <w:rsid w:val="003C0D33"/>
    <w:rsid w:val="003C19BB"/>
    <w:rsid w:val="003C5367"/>
    <w:rsid w:val="003C5B81"/>
    <w:rsid w:val="003C5BAF"/>
    <w:rsid w:val="003D1541"/>
    <w:rsid w:val="003D36AD"/>
    <w:rsid w:val="003D3A4A"/>
    <w:rsid w:val="003E0698"/>
    <w:rsid w:val="003F0109"/>
    <w:rsid w:val="003F52D4"/>
    <w:rsid w:val="00401623"/>
    <w:rsid w:val="0040663C"/>
    <w:rsid w:val="00426A6F"/>
    <w:rsid w:val="00434114"/>
    <w:rsid w:val="004372DE"/>
    <w:rsid w:val="0044016C"/>
    <w:rsid w:val="00440B69"/>
    <w:rsid w:val="00442BE8"/>
    <w:rsid w:val="00443CE4"/>
    <w:rsid w:val="00454590"/>
    <w:rsid w:val="0045461A"/>
    <w:rsid w:val="00455FC3"/>
    <w:rsid w:val="00457E21"/>
    <w:rsid w:val="00457FE1"/>
    <w:rsid w:val="00460EBC"/>
    <w:rsid w:val="004617CA"/>
    <w:rsid w:val="00462C76"/>
    <w:rsid w:val="004708E3"/>
    <w:rsid w:val="00471FFE"/>
    <w:rsid w:val="004763CC"/>
    <w:rsid w:val="00484CE4"/>
    <w:rsid w:val="00486010"/>
    <w:rsid w:val="004913F6"/>
    <w:rsid w:val="004916F6"/>
    <w:rsid w:val="004948D8"/>
    <w:rsid w:val="00496434"/>
    <w:rsid w:val="004A008B"/>
    <w:rsid w:val="004A024E"/>
    <w:rsid w:val="004A051C"/>
    <w:rsid w:val="004A09D5"/>
    <w:rsid w:val="004A1330"/>
    <w:rsid w:val="004A16B1"/>
    <w:rsid w:val="004A1CDD"/>
    <w:rsid w:val="004B2C43"/>
    <w:rsid w:val="004C4444"/>
    <w:rsid w:val="004C7C16"/>
    <w:rsid w:val="004E1F42"/>
    <w:rsid w:val="004E21AB"/>
    <w:rsid w:val="004E40FD"/>
    <w:rsid w:val="004E4C83"/>
    <w:rsid w:val="004E7929"/>
    <w:rsid w:val="004F33BD"/>
    <w:rsid w:val="004F37CB"/>
    <w:rsid w:val="004F4C05"/>
    <w:rsid w:val="004F6A5D"/>
    <w:rsid w:val="005032C7"/>
    <w:rsid w:val="00506BF6"/>
    <w:rsid w:val="00512B74"/>
    <w:rsid w:val="0051665B"/>
    <w:rsid w:val="00522B6B"/>
    <w:rsid w:val="005246B7"/>
    <w:rsid w:val="00525DDB"/>
    <w:rsid w:val="00533977"/>
    <w:rsid w:val="00534268"/>
    <w:rsid w:val="00536A77"/>
    <w:rsid w:val="00537307"/>
    <w:rsid w:val="00543C6C"/>
    <w:rsid w:val="00544857"/>
    <w:rsid w:val="00547508"/>
    <w:rsid w:val="005479C5"/>
    <w:rsid w:val="00547FCE"/>
    <w:rsid w:val="005505E5"/>
    <w:rsid w:val="0055178E"/>
    <w:rsid w:val="005525F5"/>
    <w:rsid w:val="0055313B"/>
    <w:rsid w:val="00554983"/>
    <w:rsid w:val="0055527E"/>
    <w:rsid w:val="0055541F"/>
    <w:rsid w:val="00574C16"/>
    <w:rsid w:val="005758B5"/>
    <w:rsid w:val="005767AC"/>
    <w:rsid w:val="00580965"/>
    <w:rsid w:val="00584359"/>
    <w:rsid w:val="0058689C"/>
    <w:rsid w:val="005A208C"/>
    <w:rsid w:val="005A2377"/>
    <w:rsid w:val="005B5497"/>
    <w:rsid w:val="005B6D0C"/>
    <w:rsid w:val="005C0174"/>
    <w:rsid w:val="005C3299"/>
    <w:rsid w:val="005C51E6"/>
    <w:rsid w:val="005C68BE"/>
    <w:rsid w:val="005D08C2"/>
    <w:rsid w:val="005E22C2"/>
    <w:rsid w:val="005E67B8"/>
    <w:rsid w:val="005E69D5"/>
    <w:rsid w:val="005F03F0"/>
    <w:rsid w:val="005F305E"/>
    <w:rsid w:val="005F6C8B"/>
    <w:rsid w:val="00604B72"/>
    <w:rsid w:val="00612005"/>
    <w:rsid w:val="00613A71"/>
    <w:rsid w:val="00624B6D"/>
    <w:rsid w:val="006300A0"/>
    <w:rsid w:val="0063077E"/>
    <w:rsid w:val="00633193"/>
    <w:rsid w:val="00637465"/>
    <w:rsid w:val="00637D3E"/>
    <w:rsid w:val="00645C14"/>
    <w:rsid w:val="006478EE"/>
    <w:rsid w:val="00655562"/>
    <w:rsid w:val="00656A4D"/>
    <w:rsid w:val="00662EEE"/>
    <w:rsid w:val="006632CF"/>
    <w:rsid w:val="006632DD"/>
    <w:rsid w:val="00667594"/>
    <w:rsid w:val="006675A8"/>
    <w:rsid w:val="00672CE3"/>
    <w:rsid w:val="00672FE8"/>
    <w:rsid w:val="006742FD"/>
    <w:rsid w:val="00680DD2"/>
    <w:rsid w:val="00694462"/>
    <w:rsid w:val="00695AF0"/>
    <w:rsid w:val="006A00F5"/>
    <w:rsid w:val="006A0D09"/>
    <w:rsid w:val="006A1171"/>
    <w:rsid w:val="006A2A63"/>
    <w:rsid w:val="006A410E"/>
    <w:rsid w:val="006A7F84"/>
    <w:rsid w:val="006B01ED"/>
    <w:rsid w:val="006B3964"/>
    <w:rsid w:val="006B55E0"/>
    <w:rsid w:val="006C1F04"/>
    <w:rsid w:val="006C2EA1"/>
    <w:rsid w:val="006C4132"/>
    <w:rsid w:val="006D369B"/>
    <w:rsid w:val="006E02E9"/>
    <w:rsid w:val="006E064C"/>
    <w:rsid w:val="006E121C"/>
    <w:rsid w:val="006E3F88"/>
    <w:rsid w:val="006E74F2"/>
    <w:rsid w:val="006F01C0"/>
    <w:rsid w:val="006F27DD"/>
    <w:rsid w:val="006F2EB7"/>
    <w:rsid w:val="006F34E5"/>
    <w:rsid w:val="00701A84"/>
    <w:rsid w:val="00703CB5"/>
    <w:rsid w:val="00704766"/>
    <w:rsid w:val="00705B28"/>
    <w:rsid w:val="0071000E"/>
    <w:rsid w:val="00716527"/>
    <w:rsid w:val="00726C53"/>
    <w:rsid w:val="00736B9D"/>
    <w:rsid w:val="00737AB3"/>
    <w:rsid w:val="007407F5"/>
    <w:rsid w:val="007436AD"/>
    <w:rsid w:val="007561AC"/>
    <w:rsid w:val="00763CF2"/>
    <w:rsid w:val="00766885"/>
    <w:rsid w:val="00766B91"/>
    <w:rsid w:val="007714A2"/>
    <w:rsid w:val="007733B8"/>
    <w:rsid w:val="00775CDF"/>
    <w:rsid w:val="00782BCC"/>
    <w:rsid w:val="00784DC2"/>
    <w:rsid w:val="007A023A"/>
    <w:rsid w:val="007A1690"/>
    <w:rsid w:val="007A24F2"/>
    <w:rsid w:val="007A5089"/>
    <w:rsid w:val="007A5BA0"/>
    <w:rsid w:val="007A78B7"/>
    <w:rsid w:val="007B3FF8"/>
    <w:rsid w:val="007C20F1"/>
    <w:rsid w:val="007C6473"/>
    <w:rsid w:val="007C69FD"/>
    <w:rsid w:val="007D07DB"/>
    <w:rsid w:val="007E04AB"/>
    <w:rsid w:val="007E1628"/>
    <w:rsid w:val="007F105C"/>
    <w:rsid w:val="007F6E7E"/>
    <w:rsid w:val="0080140F"/>
    <w:rsid w:val="00802C07"/>
    <w:rsid w:val="00804E56"/>
    <w:rsid w:val="00812E50"/>
    <w:rsid w:val="00816081"/>
    <w:rsid w:val="00827571"/>
    <w:rsid w:val="008314F9"/>
    <w:rsid w:val="00833769"/>
    <w:rsid w:val="0083470A"/>
    <w:rsid w:val="00845634"/>
    <w:rsid w:val="0084659C"/>
    <w:rsid w:val="00846B8D"/>
    <w:rsid w:val="0084755A"/>
    <w:rsid w:val="008565C8"/>
    <w:rsid w:val="00856C8A"/>
    <w:rsid w:val="0085774E"/>
    <w:rsid w:val="0086002C"/>
    <w:rsid w:val="00862277"/>
    <w:rsid w:val="008622CD"/>
    <w:rsid w:val="00863E10"/>
    <w:rsid w:val="008661A7"/>
    <w:rsid w:val="00870588"/>
    <w:rsid w:val="00872ABC"/>
    <w:rsid w:val="008756D1"/>
    <w:rsid w:val="00876AD2"/>
    <w:rsid w:val="008832D9"/>
    <w:rsid w:val="00883D8D"/>
    <w:rsid w:val="00890085"/>
    <w:rsid w:val="008A0038"/>
    <w:rsid w:val="008A023D"/>
    <w:rsid w:val="008A1C45"/>
    <w:rsid w:val="008A3400"/>
    <w:rsid w:val="008A514A"/>
    <w:rsid w:val="008A7655"/>
    <w:rsid w:val="008B4DA7"/>
    <w:rsid w:val="008B613F"/>
    <w:rsid w:val="008C6C7F"/>
    <w:rsid w:val="008D2F24"/>
    <w:rsid w:val="008E186E"/>
    <w:rsid w:val="008E624A"/>
    <w:rsid w:val="008F11A0"/>
    <w:rsid w:val="008F2E6B"/>
    <w:rsid w:val="00904679"/>
    <w:rsid w:val="0092096C"/>
    <w:rsid w:val="00920F57"/>
    <w:rsid w:val="00922061"/>
    <w:rsid w:val="00924148"/>
    <w:rsid w:val="009246E4"/>
    <w:rsid w:val="00926F02"/>
    <w:rsid w:val="00930074"/>
    <w:rsid w:val="00930773"/>
    <w:rsid w:val="00931940"/>
    <w:rsid w:val="009328C6"/>
    <w:rsid w:val="00940B8C"/>
    <w:rsid w:val="00940CFC"/>
    <w:rsid w:val="00941F64"/>
    <w:rsid w:val="0094470E"/>
    <w:rsid w:val="00955857"/>
    <w:rsid w:val="0095785C"/>
    <w:rsid w:val="009604A0"/>
    <w:rsid w:val="0096384E"/>
    <w:rsid w:val="00963DBF"/>
    <w:rsid w:val="00967886"/>
    <w:rsid w:val="009707B4"/>
    <w:rsid w:val="00972A40"/>
    <w:rsid w:val="00972B25"/>
    <w:rsid w:val="0097333D"/>
    <w:rsid w:val="0097518E"/>
    <w:rsid w:val="00975D71"/>
    <w:rsid w:val="00982D9D"/>
    <w:rsid w:val="00985DB2"/>
    <w:rsid w:val="00990B0E"/>
    <w:rsid w:val="00992D5F"/>
    <w:rsid w:val="00994573"/>
    <w:rsid w:val="009A1992"/>
    <w:rsid w:val="009A29DD"/>
    <w:rsid w:val="009A4287"/>
    <w:rsid w:val="009A7AA1"/>
    <w:rsid w:val="009A7AA4"/>
    <w:rsid w:val="009C0507"/>
    <w:rsid w:val="009C59FF"/>
    <w:rsid w:val="009C657A"/>
    <w:rsid w:val="009D1793"/>
    <w:rsid w:val="009E0E89"/>
    <w:rsid w:val="009E7FA2"/>
    <w:rsid w:val="009F103C"/>
    <w:rsid w:val="009F10E7"/>
    <w:rsid w:val="009F3CAC"/>
    <w:rsid w:val="009F4CB7"/>
    <w:rsid w:val="009F53F9"/>
    <w:rsid w:val="00A145A5"/>
    <w:rsid w:val="00A1607B"/>
    <w:rsid w:val="00A230AF"/>
    <w:rsid w:val="00A23E8B"/>
    <w:rsid w:val="00A24DCA"/>
    <w:rsid w:val="00A25617"/>
    <w:rsid w:val="00A27620"/>
    <w:rsid w:val="00A3116D"/>
    <w:rsid w:val="00A3331B"/>
    <w:rsid w:val="00A33A5B"/>
    <w:rsid w:val="00A404B3"/>
    <w:rsid w:val="00A41313"/>
    <w:rsid w:val="00A42861"/>
    <w:rsid w:val="00A454AD"/>
    <w:rsid w:val="00A4679B"/>
    <w:rsid w:val="00A472DB"/>
    <w:rsid w:val="00A55CAA"/>
    <w:rsid w:val="00A55EB7"/>
    <w:rsid w:val="00A57B7F"/>
    <w:rsid w:val="00A70F6A"/>
    <w:rsid w:val="00A72F74"/>
    <w:rsid w:val="00A73FC7"/>
    <w:rsid w:val="00A82F2D"/>
    <w:rsid w:val="00A8334A"/>
    <w:rsid w:val="00A921D4"/>
    <w:rsid w:val="00A944F5"/>
    <w:rsid w:val="00AA6F6F"/>
    <w:rsid w:val="00AB1948"/>
    <w:rsid w:val="00AB289B"/>
    <w:rsid w:val="00AB3AD9"/>
    <w:rsid w:val="00AB57D1"/>
    <w:rsid w:val="00AB67A8"/>
    <w:rsid w:val="00AC3445"/>
    <w:rsid w:val="00AC5321"/>
    <w:rsid w:val="00AC5CA4"/>
    <w:rsid w:val="00AC6026"/>
    <w:rsid w:val="00AD123D"/>
    <w:rsid w:val="00AD663D"/>
    <w:rsid w:val="00AE2321"/>
    <w:rsid w:val="00AE296B"/>
    <w:rsid w:val="00AE3A60"/>
    <w:rsid w:val="00AE67AE"/>
    <w:rsid w:val="00AE73EB"/>
    <w:rsid w:val="00AF40C5"/>
    <w:rsid w:val="00AF6E1C"/>
    <w:rsid w:val="00B12A68"/>
    <w:rsid w:val="00B140E0"/>
    <w:rsid w:val="00B243BC"/>
    <w:rsid w:val="00B2742C"/>
    <w:rsid w:val="00B3125C"/>
    <w:rsid w:val="00B347DC"/>
    <w:rsid w:val="00B36C47"/>
    <w:rsid w:val="00B42B10"/>
    <w:rsid w:val="00B50DD3"/>
    <w:rsid w:val="00B53EA0"/>
    <w:rsid w:val="00B55EA0"/>
    <w:rsid w:val="00B55F77"/>
    <w:rsid w:val="00B63A2E"/>
    <w:rsid w:val="00B661C3"/>
    <w:rsid w:val="00B67801"/>
    <w:rsid w:val="00B70209"/>
    <w:rsid w:val="00B73E85"/>
    <w:rsid w:val="00B751AD"/>
    <w:rsid w:val="00B752C6"/>
    <w:rsid w:val="00B81A69"/>
    <w:rsid w:val="00B82646"/>
    <w:rsid w:val="00B8592A"/>
    <w:rsid w:val="00B977EE"/>
    <w:rsid w:val="00BA0115"/>
    <w:rsid w:val="00BA1EAE"/>
    <w:rsid w:val="00BA522D"/>
    <w:rsid w:val="00BA5988"/>
    <w:rsid w:val="00BA5D68"/>
    <w:rsid w:val="00BA667C"/>
    <w:rsid w:val="00BA7292"/>
    <w:rsid w:val="00BB0E67"/>
    <w:rsid w:val="00BB56CF"/>
    <w:rsid w:val="00BB6A22"/>
    <w:rsid w:val="00BB7257"/>
    <w:rsid w:val="00BC269E"/>
    <w:rsid w:val="00BC3419"/>
    <w:rsid w:val="00BC5C69"/>
    <w:rsid w:val="00BD1DDF"/>
    <w:rsid w:val="00BD2195"/>
    <w:rsid w:val="00BE0353"/>
    <w:rsid w:val="00BE0FFC"/>
    <w:rsid w:val="00BE4F76"/>
    <w:rsid w:val="00BF58B9"/>
    <w:rsid w:val="00BF7190"/>
    <w:rsid w:val="00BF7C9D"/>
    <w:rsid w:val="00C010E4"/>
    <w:rsid w:val="00C05651"/>
    <w:rsid w:val="00C0783E"/>
    <w:rsid w:val="00C114BB"/>
    <w:rsid w:val="00C148B1"/>
    <w:rsid w:val="00C222D0"/>
    <w:rsid w:val="00C3265C"/>
    <w:rsid w:val="00C3481E"/>
    <w:rsid w:val="00C355BD"/>
    <w:rsid w:val="00C4299A"/>
    <w:rsid w:val="00C42B05"/>
    <w:rsid w:val="00C47AB2"/>
    <w:rsid w:val="00C53A66"/>
    <w:rsid w:val="00C54A2C"/>
    <w:rsid w:val="00C54BD4"/>
    <w:rsid w:val="00C57857"/>
    <w:rsid w:val="00C7073A"/>
    <w:rsid w:val="00C7481A"/>
    <w:rsid w:val="00C7734F"/>
    <w:rsid w:val="00C91DC2"/>
    <w:rsid w:val="00C95D89"/>
    <w:rsid w:val="00CA0CC6"/>
    <w:rsid w:val="00CA23A2"/>
    <w:rsid w:val="00CA2AA0"/>
    <w:rsid w:val="00CA2FF0"/>
    <w:rsid w:val="00CA386C"/>
    <w:rsid w:val="00CA7092"/>
    <w:rsid w:val="00CB5328"/>
    <w:rsid w:val="00CB64DB"/>
    <w:rsid w:val="00CB7009"/>
    <w:rsid w:val="00CC2871"/>
    <w:rsid w:val="00CD2E49"/>
    <w:rsid w:val="00CD4967"/>
    <w:rsid w:val="00CD4B4D"/>
    <w:rsid w:val="00CD4D25"/>
    <w:rsid w:val="00CD7A91"/>
    <w:rsid w:val="00CE311C"/>
    <w:rsid w:val="00CE4FEA"/>
    <w:rsid w:val="00CE55DF"/>
    <w:rsid w:val="00CF4DE6"/>
    <w:rsid w:val="00CF7718"/>
    <w:rsid w:val="00D000E5"/>
    <w:rsid w:val="00D032FB"/>
    <w:rsid w:val="00D12666"/>
    <w:rsid w:val="00D16B72"/>
    <w:rsid w:val="00D16BA1"/>
    <w:rsid w:val="00D179B1"/>
    <w:rsid w:val="00D2104E"/>
    <w:rsid w:val="00D23F08"/>
    <w:rsid w:val="00D26145"/>
    <w:rsid w:val="00D26D52"/>
    <w:rsid w:val="00D311F8"/>
    <w:rsid w:val="00D347B0"/>
    <w:rsid w:val="00D41166"/>
    <w:rsid w:val="00D5067F"/>
    <w:rsid w:val="00D51922"/>
    <w:rsid w:val="00D52CBD"/>
    <w:rsid w:val="00D55FAC"/>
    <w:rsid w:val="00D66CB3"/>
    <w:rsid w:val="00D675F2"/>
    <w:rsid w:val="00D73640"/>
    <w:rsid w:val="00D8015F"/>
    <w:rsid w:val="00D8293F"/>
    <w:rsid w:val="00D838F2"/>
    <w:rsid w:val="00DA05FA"/>
    <w:rsid w:val="00DA3BDC"/>
    <w:rsid w:val="00DB0666"/>
    <w:rsid w:val="00DC455E"/>
    <w:rsid w:val="00DC4648"/>
    <w:rsid w:val="00DD1875"/>
    <w:rsid w:val="00DD2D7A"/>
    <w:rsid w:val="00DD4E86"/>
    <w:rsid w:val="00DD7224"/>
    <w:rsid w:val="00DE1402"/>
    <w:rsid w:val="00DE24A4"/>
    <w:rsid w:val="00DE703B"/>
    <w:rsid w:val="00DF6663"/>
    <w:rsid w:val="00E0094A"/>
    <w:rsid w:val="00E020F9"/>
    <w:rsid w:val="00E05CBC"/>
    <w:rsid w:val="00E07D20"/>
    <w:rsid w:val="00E167BA"/>
    <w:rsid w:val="00E41146"/>
    <w:rsid w:val="00E42E43"/>
    <w:rsid w:val="00E463A7"/>
    <w:rsid w:val="00E4697A"/>
    <w:rsid w:val="00E52F8B"/>
    <w:rsid w:val="00E56FD6"/>
    <w:rsid w:val="00E6212A"/>
    <w:rsid w:val="00E64ADE"/>
    <w:rsid w:val="00E70173"/>
    <w:rsid w:val="00E738C9"/>
    <w:rsid w:val="00E91B47"/>
    <w:rsid w:val="00E93C3A"/>
    <w:rsid w:val="00E94193"/>
    <w:rsid w:val="00E94711"/>
    <w:rsid w:val="00E97651"/>
    <w:rsid w:val="00EA390D"/>
    <w:rsid w:val="00EA46EF"/>
    <w:rsid w:val="00EA5824"/>
    <w:rsid w:val="00EB1C13"/>
    <w:rsid w:val="00EB4A03"/>
    <w:rsid w:val="00EB502D"/>
    <w:rsid w:val="00EC1122"/>
    <w:rsid w:val="00EC42B9"/>
    <w:rsid w:val="00EC4AF8"/>
    <w:rsid w:val="00EC4FE7"/>
    <w:rsid w:val="00EC7860"/>
    <w:rsid w:val="00ED6706"/>
    <w:rsid w:val="00EE0D62"/>
    <w:rsid w:val="00EF4C51"/>
    <w:rsid w:val="00EF5300"/>
    <w:rsid w:val="00F0122C"/>
    <w:rsid w:val="00F0412D"/>
    <w:rsid w:val="00F07D7E"/>
    <w:rsid w:val="00F12ADF"/>
    <w:rsid w:val="00F21870"/>
    <w:rsid w:val="00F274AC"/>
    <w:rsid w:val="00F31A4E"/>
    <w:rsid w:val="00F344F6"/>
    <w:rsid w:val="00F35104"/>
    <w:rsid w:val="00F3668D"/>
    <w:rsid w:val="00F377C1"/>
    <w:rsid w:val="00F3787F"/>
    <w:rsid w:val="00F42473"/>
    <w:rsid w:val="00F537BF"/>
    <w:rsid w:val="00F53CA5"/>
    <w:rsid w:val="00F569A8"/>
    <w:rsid w:val="00F57535"/>
    <w:rsid w:val="00F60CBA"/>
    <w:rsid w:val="00F62BFF"/>
    <w:rsid w:val="00F64B71"/>
    <w:rsid w:val="00F66B22"/>
    <w:rsid w:val="00F66DD2"/>
    <w:rsid w:val="00F75643"/>
    <w:rsid w:val="00F802BC"/>
    <w:rsid w:val="00F9501B"/>
    <w:rsid w:val="00F9547A"/>
    <w:rsid w:val="00F97ADF"/>
    <w:rsid w:val="00FA5221"/>
    <w:rsid w:val="00FB07B9"/>
    <w:rsid w:val="00FB5D39"/>
    <w:rsid w:val="00FB61BC"/>
    <w:rsid w:val="00FC7729"/>
    <w:rsid w:val="00FD0459"/>
    <w:rsid w:val="00FD13EE"/>
    <w:rsid w:val="00FD5924"/>
    <w:rsid w:val="00FD6609"/>
    <w:rsid w:val="00FE470D"/>
    <w:rsid w:val="00FF0C7A"/>
    <w:rsid w:val="00FF165C"/>
    <w:rsid w:val="00FF3D73"/>
    <w:rsid w:val="00FF4E61"/>
    <w:rsid w:val="00FF5FE8"/>
    <w:rsid w:val="00FF6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1DC8D7"/>
  <w15:chartTrackingRefBased/>
  <w15:docId w15:val="{83879E3F-C0BF-4E58-9AAB-704977AA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289B"/>
    <w:pPr>
      <w:spacing w:after="0" w:line="240" w:lineRule="auto"/>
    </w:pPr>
    <w:rPr>
      <w:rFonts w:ascii="Calibri" w:hAnsi="Calibri" w:cs="Calibri"/>
    </w:rPr>
  </w:style>
  <w:style w:type="paragraph" w:styleId="Heading1">
    <w:name w:val="heading 1"/>
    <w:basedOn w:val="Normal"/>
    <w:next w:val="Normal"/>
    <w:link w:val="Heading1Char"/>
    <w:uiPriority w:val="9"/>
    <w:qFormat/>
    <w:rsid w:val="005E67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541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Template2">
    <w:name w:val="Table Template 2"/>
    <w:basedOn w:val="TableNormal"/>
    <w:uiPriority w:val="99"/>
    <w:rsid w:val="003C5B81"/>
    <w:pPr>
      <w:spacing w:before="60" w:after="60" w:line="240" w:lineRule="auto"/>
    </w:pPr>
    <w:rPr>
      <w:rFonts w:ascii="Arial" w:eastAsiaTheme="minorEastAsia" w:hAnsi="Arial" w:cs="Times New Roman"/>
      <w:szCs w:val="24"/>
      <w:lang w:val="en-US" w:eastAsia="ja-JP"/>
    </w:rPr>
    <w:tblPr>
      <w:tblStyleRowBandSize w:val="1"/>
      <w:tblBorders>
        <w:insideH w:val="single" w:sz="4" w:space="0" w:color="E7E6E6" w:themeColor="background2"/>
        <w:insideV w:val="single" w:sz="4" w:space="0" w:color="E7E6E6" w:themeColor="background2"/>
      </w:tblBorders>
    </w:tblPr>
    <w:tcPr>
      <w:vAlign w:val="center"/>
    </w:tcPr>
    <w:tblStylePr w:type="firstRow">
      <w:pPr>
        <w:keepNext w:val="0"/>
        <w:keepLines w:val="0"/>
        <w:pageBreakBefore w:val="0"/>
        <w:widowControl w:val="0"/>
        <w:suppressLineNumbers w:val="0"/>
        <w:suppressAutoHyphens w:val="0"/>
        <w:wordWrap/>
        <w:spacing w:beforeLines="0" w:before="120" w:beforeAutospacing="0" w:afterLines="0" w:after="120" w:afterAutospacing="0" w:line="240" w:lineRule="auto"/>
        <w:contextualSpacing w:val="0"/>
        <w:jc w:val="left"/>
      </w:pPr>
      <w:rPr>
        <w:rFonts w:ascii="Verdana" w:hAnsi="Verdana"/>
        <w:b/>
        <w:color w:val="FFFFFF" w:themeColor="background1"/>
        <w:sz w:val="22"/>
      </w:rPr>
      <w:tblPr/>
      <w:trPr>
        <w:tblHeader/>
      </w:trPr>
      <w:tcPr>
        <w:tcBorders>
          <w:bottom w:val="single" w:sz="18" w:space="0" w:color="E7E6E6" w:themeColor="background2"/>
        </w:tcBorders>
        <w:shd w:val="clear" w:color="auto" w:fill="4472C4" w:themeFill="accent1"/>
      </w:tcPr>
    </w:tblStylePr>
    <w:tblStylePr w:type="firstCol">
      <w:rPr>
        <w:rFonts w:asciiTheme="minorHAnsi" w:hAnsiTheme="minorHAnsi"/>
        <w:b/>
        <w:color w:val="4472C4" w:themeColor="accent1"/>
        <w:sz w:val="22"/>
      </w:rPr>
    </w:tblStylePr>
    <w:tblStylePr w:type="band1Horz">
      <w:tblPr/>
      <w:tcPr>
        <w:shd w:val="clear" w:color="auto" w:fill="D9E2F3" w:themeFill="accent1" w:themeFillTint="33"/>
      </w:tcPr>
    </w:tblStylePr>
    <w:tblStylePr w:type="band2Horz">
      <w:tblPr/>
      <w:tcPr>
        <w:shd w:val="clear" w:color="auto" w:fill="BFBFBF" w:themeFill="text1" w:themeFillTint="40"/>
      </w:tcPr>
    </w:tblStylePr>
  </w:style>
  <w:style w:type="character" w:styleId="Hyperlink">
    <w:name w:val="Hyperlink"/>
    <w:basedOn w:val="DefaultParagraphFont"/>
    <w:uiPriority w:val="99"/>
    <w:unhideWhenUsed/>
    <w:rsid w:val="00AB289B"/>
    <w:rPr>
      <w:color w:val="0563C1"/>
      <w:u w:val="single"/>
    </w:rPr>
  </w:style>
  <w:style w:type="paragraph" w:styleId="ListParagraph">
    <w:name w:val="List Paragraph"/>
    <w:basedOn w:val="Normal"/>
    <w:uiPriority w:val="34"/>
    <w:qFormat/>
    <w:rsid w:val="00AB289B"/>
    <w:pPr>
      <w:ind w:left="720"/>
    </w:pPr>
  </w:style>
  <w:style w:type="paragraph" w:styleId="BalloonText">
    <w:name w:val="Balloon Text"/>
    <w:basedOn w:val="Normal"/>
    <w:link w:val="BalloonTextChar"/>
    <w:uiPriority w:val="99"/>
    <w:semiHidden/>
    <w:unhideWhenUsed/>
    <w:rsid w:val="00AB28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89B"/>
    <w:rPr>
      <w:rFonts w:ascii="Segoe UI" w:hAnsi="Segoe UI" w:cs="Segoe UI"/>
      <w:sz w:val="18"/>
      <w:szCs w:val="18"/>
    </w:rPr>
  </w:style>
  <w:style w:type="character" w:customStyle="1" w:styleId="UnresolvedMention1">
    <w:name w:val="Unresolved Mention1"/>
    <w:basedOn w:val="DefaultParagraphFont"/>
    <w:uiPriority w:val="99"/>
    <w:semiHidden/>
    <w:unhideWhenUsed/>
    <w:rsid w:val="00870588"/>
    <w:rPr>
      <w:color w:val="605E5C"/>
      <w:shd w:val="clear" w:color="auto" w:fill="E1DFDD"/>
    </w:rPr>
  </w:style>
  <w:style w:type="character" w:styleId="CommentReference">
    <w:name w:val="annotation reference"/>
    <w:basedOn w:val="DefaultParagraphFont"/>
    <w:uiPriority w:val="99"/>
    <w:semiHidden/>
    <w:unhideWhenUsed/>
    <w:rsid w:val="00543C6C"/>
    <w:rPr>
      <w:sz w:val="16"/>
      <w:szCs w:val="16"/>
    </w:rPr>
  </w:style>
  <w:style w:type="paragraph" w:styleId="CommentText">
    <w:name w:val="annotation text"/>
    <w:basedOn w:val="Normal"/>
    <w:link w:val="CommentTextChar"/>
    <w:uiPriority w:val="99"/>
    <w:semiHidden/>
    <w:unhideWhenUsed/>
    <w:rsid w:val="00543C6C"/>
    <w:rPr>
      <w:sz w:val="20"/>
      <w:szCs w:val="20"/>
    </w:rPr>
  </w:style>
  <w:style w:type="character" w:customStyle="1" w:styleId="CommentTextChar">
    <w:name w:val="Comment Text Char"/>
    <w:basedOn w:val="DefaultParagraphFont"/>
    <w:link w:val="CommentText"/>
    <w:uiPriority w:val="99"/>
    <w:semiHidden/>
    <w:rsid w:val="00543C6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43C6C"/>
    <w:rPr>
      <w:b/>
      <w:bCs/>
    </w:rPr>
  </w:style>
  <w:style w:type="character" w:customStyle="1" w:styleId="CommentSubjectChar">
    <w:name w:val="Comment Subject Char"/>
    <w:basedOn w:val="CommentTextChar"/>
    <w:link w:val="CommentSubject"/>
    <w:uiPriority w:val="99"/>
    <w:semiHidden/>
    <w:rsid w:val="00543C6C"/>
    <w:rPr>
      <w:rFonts w:ascii="Calibri" w:hAnsi="Calibri" w:cs="Calibri"/>
      <w:b/>
      <w:bCs/>
      <w:sz w:val="20"/>
      <w:szCs w:val="20"/>
    </w:rPr>
  </w:style>
  <w:style w:type="paragraph" w:styleId="BodyText">
    <w:name w:val="Body Text"/>
    <w:basedOn w:val="Normal"/>
    <w:link w:val="BodyTextChar"/>
    <w:uiPriority w:val="99"/>
    <w:semiHidden/>
    <w:unhideWhenUsed/>
    <w:rsid w:val="00EA390D"/>
    <w:pPr>
      <w:spacing w:after="220"/>
    </w:pPr>
  </w:style>
  <w:style w:type="character" w:customStyle="1" w:styleId="BodyTextChar">
    <w:name w:val="Body Text Char"/>
    <w:basedOn w:val="DefaultParagraphFont"/>
    <w:link w:val="BodyText"/>
    <w:uiPriority w:val="99"/>
    <w:semiHidden/>
    <w:rsid w:val="00EA390D"/>
    <w:rPr>
      <w:rFonts w:ascii="Calibri" w:hAnsi="Calibri" w:cs="Calibri"/>
    </w:rPr>
  </w:style>
  <w:style w:type="paragraph" w:customStyle="1" w:styleId="xmsonormal">
    <w:name w:val="x_msonormal"/>
    <w:basedOn w:val="Normal"/>
    <w:rsid w:val="004C4444"/>
    <w:rPr>
      <w:lang w:eastAsia="en-GB"/>
    </w:rPr>
  </w:style>
  <w:style w:type="paragraph" w:styleId="Title">
    <w:name w:val="Title"/>
    <w:basedOn w:val="Normal"/>
    <w:next w:val="Normal"/>
    <w:link w:val="TitleChar"/>
    <w:uiPriority w:val="10"/>
    <w:qFormat/>
    <w:rsid w:val="005E67B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67B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E67B8"/>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5E67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E67B8"/>
    <w:rPr>
      <w:rFonts w:eastAsiaTheme="minorEastAsia"/>
      <w:color w:val="5A5A5A" w:themeColor="text1" w:themeTint="A5"/>
      <w:spacing w:val="15"/>
    </w:rPr>
  </w:style>
  <w:style w:type="character" w:styleId="SubtleEmphasis">
    <w:name w:val="Subtle Emphasis"/>
    <w:basedOn w:val="DefaultParagraphFont"/>
    <w:uiPriority w:val="19"/>
    <w:qFormat/>
    <w:rsid w:val="005E67B8"/>
    <w:rPr>
      <w:i/>
      <w:iCs/>
      <w:color w:val="404040" w:themeColor="text1" w:themeTint="BF"/>
    </w:rPr>
  </w:style>
  <w:style w:type="table" w:styleId="TableGrid">
    <w:name w:val="Table Grid"/>
    <w:basedOn w:val="TableNormal"/>
    <w:uiPriority w:val="39"/>
    <w:rsid w:val="005E6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A6F6F"/>
    <w:rPr>
      <w:sz w:val="20"/>
      <w:szCs w:val="20"/>
    </w:rPr>
  </w:style>
  <w:style w:type="character" w:customStyle="1" w:styleId="FootnoteTextChar">
    <w:name w:val="Footnote Text Char"/>
    <w:basedOn w:val="DefaultParagraphFont"/>
    <w:link w:val="FootnoteText"/>
    <w:uiPriority w:val="99"/>
    <w:semiHidden/>
    <w:rsid w:val="00AA6F6F"/>
    <w:rPr>
      <w:rFonts w:ascii="Calibri" w:hAnsi="Calibri" w:cs="Calibri"/>
      <w:sz w:val="20"/>
      <w:szCs w:val="20"/>
    </w:rPr>
  </w:style>
  <w:style w:type="character" w:styleId="FootnoteReference">
    <w:name w:val="footnote reference"/>
    <w:basedOn w:val="DefaultParagraphFont"/>
    <w:uiPriority w:val="99"/>
    <w:semiHidden/>
    <w:unhideWhenUsed/>
    <w:rsid w:val="00AA6F6F"/>
    <w:rPr>
      <w:vertAlign w:val="superscript"/>
    </w:rPr>
  </w:style>
  <w:style w:type="paragraph" w:styleId="Header">
    <w:name w:val="header"/>
    <w:basedOn w:val="Normal"/>
    <w:link w:val="HeaderChar"/>
    <w:uiPriority w:val="99"/>
    <w:unhideWhenUsed/>
    <w:rsid w:val="00AA6F6F"/>
    <w:pPr>
      <w:tabs>
        <w:tab w:val="center" w:pos="4513"/>
        <w:tab w:val="right" w:pos="9026"/>
      </w:tabs>
    </w:pPr>
  </w:style>
  <w:style w:type="character" w:customStyle="1" w:styleId="HeaderChar">
    <w:name w:val="Header Char"/>
    <w:basedOn w:val="DefaultParagraphFont"/>
    <w:link w:val="Header"/>
    <w:uiPriority w:val="99"/>
    <w:rsid w:val="00AA6F6F"/>
    <w:rPr>
      <w:rFonts w:ascii="Calibri" w:hAnsi="Calibri" w:cs="Calibri"/>
    </w:rPr>
  </w:style>
  <w:style w:type="paragraph" w:styleId="Footer">
    <w:name w:val="footer"/>
    <w:basedOn w:val="Normal"/>
    <w:link w:val="FooterChar"/>
    <w:uiPriority w:val="99"/>
    <w:unhideWhenUsed/>
    <w:rsid w:val="00AA6F6F"/>
    <w:pPr>
      <w:tabs>
        <w:tab w:val="center" w:pos="4513"/>
        <w:tab w:val="right" w:pos="9026"/>
      </w:tabs>
    </w:pPr>
  </w:style>
  <w:style w:type="character" w:customStyle="1" w:styleId="FooterChar">
    <w:name w:val="Footer Char"/>
    <w:basedOn w:val="DefaultParagraphFont"/>
    <w:link w:val="Footer"/>
    <w:uiPriority w:val="99"/>
    <w:rsid w:val="00AA6F6F"/>
    <w:rPr>
      <w:rFonts w:ascii="Calibri" w:hAnsi="Calibri" w:cs="Calibri"/>
    </w:rPr>
  </w:style>
  <w:style w:type="paragraph" w:styleId="Revision">
    <w:name w:val="Revision"/>
    <w:hidden/>
    <w:uiPriority w:val="99"/>
    <w:semiHidden/>
    <w:rsid w:val="004E1F42"/>
    <w:pPr>
      <w:spacing w:after="0" w:line="240" w:lineRule="auto"/>
    </w:pPr>
    <w:rPr>
      <w:rFonts w:ascii="Calibri" w:hAnsi="Calibri" w:cs="Calibri"/>
    </w:rPr>
  </w:style>
  <w:style w:type="table" w:styleId="PlainTable1">
    <w:name w:val="Plain Table 1"/>
    <w:basedOn w:val="TableNormal"/>
    <w:uiPriority w:val="41"/>
    <w:rsid w:val="000F54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0F5415"/>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semiHidden/>
    <w:unhideWhenUsed/>
    <w:rsid w:val="00274C3C"/>
    <w:rPr>
      <w:sz w:val="20"/>
      <w:szCs w:val="20"/>
    </w:rPr>
  </w:style>
  <w:style w:type="character" w:customStyle="1" w:styleId="EndnoteTextChar">
    <w:name w:val="Endnote Text Char"/>
    <w:basedOn w:val="DefaultParagraphFont"/>
    <w:link w:val="EndnoteText"/>
    <w:uiPriority w:val="99"/>
    <w:semiHidden/>
    <w:rsid w:val="00274C3C"/>
    <w:rPr>
      <w:rFonts w:ascii="Calibri" w:hAnsi="Calibri" w:cs="Calibri"/>
      <w:sz w:val="20"/>
      <w:szCs w:val="20"/>
    </w:rPr>
  </w:style>
  <w:style w:type="character" w:styleId="EndnoteReference">
    <w:name w:val="endnote reference"/>
    <w:basedOn w:val="DefaultParagraphFont"/>
    <w:uiPriority w:val="99"/>
    <w:semiHidden/>
    <w:unhideWhenUsed/>
    <w:rsid w:val="00274C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7635">
      <w:bodyDiv w:val="1"/>
      <w:marLeft w:val="0"/>
      <w:marRight w:val="0"/>
      <w:marTop w:val="0"/>
      <w:marBottom w:val="0"/>
      <w:divBdr>
        <w:top w:val="none" w:sz="0" w:space="0" w:color="auto"/>
        <w:left w:val="none" w:sz="0" w:space="0" w:color="auto"/>
        <w:bottom w:val="none" w:sz="0" w:space="0" w:color="auto"/>
        <w:right w:val="none" w:sz="0" w:space="0" w:color="auto"/>
      </w:divBdr>
    </w:div>
    <w:div w:id="225916815">
      <w:bodyDiv w:val="1"/>
      <w:marLeft w:val="0"/>
      <w:marRight w:val="0"/>
      <w:marTop w:val="0"/>
      <w:marBottom w:val="0"/>
      <w:divBdr>
        <w:top w:val="none" w:sz="0" w:space="0" w:color="auto"/>
        <w:left w:val="none" w:sz="0" w:space="0" w:color="auto"/>
        <w:bottom w:val="none" w:sz="0" w:space="0" w:color="auto"/>
        <w:right w:val="none" w:sz="0" w:space="0" w:color="auto"/>
      </w:divBdr>
    </w:div>
    <w:div w:id="248932997">
      <w:bodyDiv w:val="1"/>
      <w:marLeft w:val="0"/>
      <w:marRight w:val="0"/>
      <w:marTop w:val="0"/>
      <w:marBottom w:val="0"/>
      <w:divBdr>
        <w:top w:val="none" w:sz="0" w:space="0" w:color="auto"/>
        <w:left w:val="none" w:sz="0" w:space="0" w:color="auto"/>
        <w:bottom w:val="none" w:sz="0" w:space="0" w:color="auto"/>
        <w:right w:val="none" w:sz="0" w:space="0" w:color="auto"/>
      </w:divBdr>
    </w:div>
    <w:div w:id="271326235">
      <w:bodyDiv w:val="1"/>
      <w:marLeft w:val="0"/>
      <w:marRight w:val="0"/>
      <w:marTop w:val="0"/>
      <w:marBottom w:val="0"/>
      <w:divBdr>
        <w:top w:val="none" w:sz="0" w:space="0" w:color="auto"/>
        <w:left w:val="none" w:sz="0" w:space="0" w:color="auto"/>
        <w:bottom w:val="none" w:sz="0" w:space="0" w:color="auto"/>
        <w:right w:val="none" w:sz="0" w:space="0" w:color="auto"/>
      </w:divBdr>
    </w:div>
    <w:div w:id="397442689">
      <w:bodyDiv w:val="1"/>
      <w:marLeft w:val="0"/>
      <w:marRight w:val="0"/>
      <w:marTop w:val="0"/>
      <w:marBottom w:val="0"/>
      <w:divBdr>
        <w:top w:val="none" w:sz="0" w:space="0" w:color="auto"/>
        <w:left w:val="none" w:sz="0" w:space="0" w:color="auto"/>
        <w:bottom w:val="none" w:sz="0" w:space="0" w:color="auto"/>
        <w:right w:val="none" w:sz="0" w:space="0" w:color="auto"/>
      </w:divBdr>
    </w:div>
    <w:div w:id="413865029">
      <w:bodyDiv w:val="1"/>
      <w:marLeft w:val="0"/>
      <w:marRight w:val="0"/>
      <w:marTop w:val="0"/>
      <w:marBottom w:val="0"/>
      <w:divBdr>
        <w:top w:val="none" w:sz="0" w:space="0" w:color="auto"/>
        <w:left w:val="none" w:sz="0" w:space="0" w:color="auto"/>
        <w:bottom w:val="none" w:sz="0" w:space="0" w:color="auto"/>
        <w:right w:val="none" w:sz="0" w:space="0" w:color="auto"/>
      </w:divBdr>
      <w:divsChild>
        <w:div w:id="1886022804">
          <w:marLeft w:val="274"/>
          <w:marRight w:val="0"/>
          <w:marTop w:val="0"/>
          <w:marBottom w:val="0"/>
          <w:divBdr>
            <w:top w:val="none" w:sz="0" w:space="0" w:color="auto"/>
            <w:left w:val="none" w:sz="0" w:space="0" w:color="auto"/>
            <w:bottom w:val="none" w:sz="0" w:space="0" w:color="auto"/>
            <w:right w:val="none" w:sz="0" w:space="0" w:color="auto"/>
          </w:divBdr>
        </w:div>
      </w:divsChild>
    </w:div>
    <w:div w:id="455442167">
      <w:bodyDiv w:val="1"/>
      <w:marLeft w:val="0"/>
      <w:marRight w:val="0"/>
      <w:marTop w:val="0"/>
      <w:marBottom w:val="0"/>
      <w:divBdr>
        <w:top w:val="none" w:sz="0" w:space="0" w:color="auto"/>
        <w:left w:val="none" w:sz="0" w:space="0" w:color="auto"/>
        <w:bottom w:val="none" w:sz="0" w:space="0" w:color="auto"/>
        <w:right w:val="none" w:sz="0" w:space="0" w:color="auto"/>
      </w:divBdr>
    </w:div>
    <w:div w:id="476266799">
      <w:bodyDiv w:val="1"/>
      <w:marLeft w:val="0"/>
      <w:marRight w:val="0"/>
      <w:marTop w:val="0"/>
      <w:marBottom w:val="0"/>
      <w:divBdr>
        <w:top w:val="none" w:sz="0" w:space="0" w:color="auto"/>
        <w:left w:val="none" w:sz="0" w:space="0" w:color="auto"/>
        <w:bottom w:val="none" w:sz="0" w:space="0" w:color="auto"/>
        <w:right w:val="none" w:sz="0" w:space="0" w:color="auto"/>
      </w:divBdr>
    </w:div>
    <w:div w:id="521476849">
      <w:bodyDiv w:val="1"/>
      <w:marLeft w:val="0"/>
      <w:marRight w:val="0"/>
      <w:marTop w:val="0"/>
      <w:marBottom w:val="0"/>
      <w:divBdr>
        <w:top w:val="none" w:sz="0" w:space="0" w:color="auto"/>
        <w:left w:val="none" w:sz="0" w:space="0" w:color="auto"/>
        <w:bottom w:val="none" w:sz="0" w:space="0" w:color="auto"/>
        <w:right w:val="none" w:sz="0" w:space="0" w:color="auto"/>
      </w:divBdr>
    </w:div>
    <w:div w:id="552039094">
      <w:bodyDiv w:val="1"/>
      <w:marLeft w:val="0"/>
      <w:marRight w:val="0"/>
      <w:marTop w:val="0"/>
      <w:marBottom w:val="0"/>
      <w:divBdr>
        <w:top w:val="none" w:sz="0" w:space="0" w:color="auto"/>
        <w:left w:val="none" w:sz="0" w:space="0" w:color="auto"/>
        <w:bottom w:val="none" w:sz="0" w:space="0" w:color="auto"/>
        <w:right w:val="none" w:sz="0" w:space="0" w:color="auto"/>
      </w:divBdr>
    </w:div>
    <w:div w:id="679501453">
      <w:bodyDiv w:val="1"/>
      <w:marLeft w:val="0"/>
      <w:marRight w:val="0"/>
      <w:marTop w:val="0"/>
      <w:marBottom w:val="0"/>
      <w:divBdr>
        <w:top w:val="none" w:sz="0" w:space="0" w:color="auto"/>
        <w:left w:val="none" w:sz="0" w:space="0" w:color="auto"/>
        <w:bottom w:val="none" w:sz="0" w:space="0" w:color="auto"/>
        <w:right w:val="none" w:sz="0" w:space="0" w:color="auto"/>
      </w:divBdr>
    </w:div>
    <w:div w:id="699086813">
      <w:bodyDiv w:val="1"/>
      <w:marLeft w:val="0"/>
      <w:marRight w:val="0"/>
      <w:marTop w:val="0"/>
      <w:marBottom w:val="0"/>
      <w:divBdr>
        <w:top w:val="none" w:sz="0" w:space="0" w:color="auto"/>
        <w:left w:val="none" w:sz="0" w:space="0" w:color="auto"/>
        <w:bottom w:val="none" w:sz="0" w:space="0" w:color="auto"/>
        <w:right w:val="none" w:sz="0" w:space="0" w:color="auto"/>
      </w:divBdr>
    </w:div>
    <w:div w:id="711806397">
      <w:bodyDiv w:val="1"/>
      <w:marLeft w:val="0"/>
      <w:marRight w:val="0"/>
      <w:marTop w:val="0"/>
      <w:marBottom w:val="0"/>
      <w:divBdr>
        <w:top w:val="none" w:sz="0" w:space="0" w:color="auto"/>
        <w:left w:val="none" w:sz="0" w:space="0" w:color="auto"/>
        <w:bottom w:val="none" w:sz="0" w:space="0" w:color="auto"/>
        <w:right w:val="none" w:sz="0" w:space="0" w:color="auto"/>
      </w:divBdr>
    </w:div>
    <w:div w:id="736853761">
      <w:bodyDiv w:val="1"/>
      <w:marLeft w:val="0"/>
      <w:marRight w:val="0"/>
      <w:marTop w:val="0"/>
      <w:marBottom w:val="0"/>
      <w:divBdr>
        <w:top w:val="none" w:sz="0" w:space="0" w:color="auto"/>
        <w:left w:val="none" w:sz="0" w:space="0" w:color="auto"/>
        <w:bottom w:val="none" w:sz="0" w:space="0" w:color="auto"/>
        <w:right w:val="none" w:sz="0" w:space="0" w:color="auto"/>
      </w:divBdr>
    </w:div>
    <w:div w:id="814882517">
      <w:bodyDiv w:val="1"/>
      <w:marLeft w:val="0"/>
      <w:marRight w:val="0"/>
      <w:marTop w:val="0"/>
      <w:marBottom w:val="0"/>
      <w:divBdr>
        <w:top w:val="none" w:sz="0" w:space="0" w:color="auto"/>
        <w:left w:val="none" w:sz="0" w:space="0" w:color="auto"/>
        <w:bottom w:val="none" w:sz="0" w:space="0" w:color="auto"/>
        <w:right w:val="none" w:sz="0" w:space="0" w:color="auto"/>
      </w:divBdr>
    </w:div>
    <w:div w:id="829368713">
      <w:bodyDiv w:val="1"/>
      <w:marLeft w:val="0"/>
      <w:marRight w:val="0"/>
      <w:marTop w:val="0"/>
      <w:marBottom w:val="0"/>
      <w:divBdr>
        <w:top w:val="none" w:sz="0" w:space="0" w:color="auto"/>
        <w:left w:val="none" w:sz="0" w:space="0" w:color="auto"/>
        <w:bottom w:val="none" w:sz="0" w:space="0" w:color="auto"/>
        <w:right w:val="none" w:sz="0" w:space="0" w:color="auto"/>
      </w:divBdr>
    </w:div>
    <w:div w:id="839738689">
      <w:bodyDiv w:val="1"/>
      <w:marLeft w:val="0"/>
      <w:marRight w:val="0"/>
      <w:marTop w:val="0"/>
      <w:marBottom w:val="0"/>
      <w:divBdr>
        <w:top w:val="none" w:sz="0" w:space="0" w:color="auto"/>
        <w:left w:val="none" w:sz="0" w:space="0" w:color="auto"/>
        <w:bottom w:val="none" w:sz="0" w:space="0" w:color="auto"/>
        <w:right w:val="none" w:sz="0" w:space="0" w:color="auto"/>
      </w:divBdr>
    </w:div>
    <w:div w:id="868222398">
      <w:bodyDiv w:val="1"/>
      <w:marLeft w:val="0"/>
      <w:marRight w:val="0"/>
      <w:marTop w:val="0"/>
      <w:marBottom w:val="0"/>
      <w:divBdr>
        <w:top w:val="none" w:sz="0" w:space="0" w:color="auto"/>
        <w:left w:val="none" w:sz="0" w:space="0" w:color="auto"/>
        <w:bottom w:val="none" w:sz="0" w:space="0" w:color="auto"/>
        <w:right w:val="none" w:sz="0" w:space="0" w:color="auto"/>
      </w:divBdr>
      <w:divsChild>
        <w:div w:id="1912814931">
          <w:marLeft w:val="274"/>
          <w:marRight w:val="0"/>
          <w:marTop w:val="0"/>
          <w:marBottom w:val="0"/>
          <w:divBdr>
            <w:top w:val="none" w:sz="0" w:space="0" w:color="auto"/>
            <w:left w:val="none" w:sz="0" w:space="0" w:color="auto"/>
            <w:bottom w:val="none" w:sz="0" w:space="0" w:color="auto"/>
            <w:right w:val="none" w:sz="0" w:space="0" w:color="auto"/>
          </w:divBdr>
        </w:div>
      </w:divsChild>
    </w:div>
    <w:div w:id="919756779">
      <w:bodyDiv w:val="1"/>
      <w:marLeft w:val="0"/>
      <w:marRight w:val="0"/>
      <w:marTop w:val="0"/>
      <w:marBottom w:val="0"/>
      <w:divBdr>
        <w:top w:val="none" w:sz="0" w:space="0" w:color="auto"/>
        <w:left w:val="none" w:sz="0" w:space="0" w:color="auto"/>
        <w:bottom w:val="none" w:sz="0" w:space="0" w:color="auto"/>
        <w:right w:val="none" w:sz="0" w:space="0" w:color="auto"/>
      </w:divBdr>
    </w:div>
    <w:div w:id="1234581461">
      <w:bodyDiv w:val="1"/>
      <w:marLeft w:val="0"/>
      <w:marRight w:val="0"/>
      <w:marTop w:val="0"/>
      <w:marBottom w:val="0"/>
      <w:divBdr>
        <w:top w:val="none" w:sz="0" w:space="0" w:color="auto"/>
        <w:left w:val="none" w:sz="0" w:space="0" w:color="auto"/>
        <w:bottom w:val="none" w:sz="0" w:space="0" w:color="auto"/>
        <w:right w:val="none" w:sz="0" w:space="0" w:color="auto"/>
      </w:divBdr>
    </w:div>
    <w:div w:id="1245720815">
      <w:bodyDiv w:val="1"/>
      <w:marLeft w:val="0"/>
      <w:marRight w:val="0"/>
      <w:marTop w:val="0"/>
      <w:marBottom w:val="0"/>
      <w:divBdr>
        <w:top w:val="none" w:sz="0" w:space="0" w:color="auto"/>
        <w:left w:val="none" w:sz="0" w:space="0" w:color="auto"/>
        <w:bottom w:val="none" w:sz="0" w:space="0" w:color="auto"/>
        <w:right w:val="none" w:sz="0" w:space="0" w:color="auto"/>
      </w:divBdr>
    </w:div>
    <w:div w:id="1272855368">
      <w:bodyDiv w:val="1"/>
      <w:marLeft w:val="0"/>
      <w:marRight w:val="0"/>
      <w:marTop w:val="0"/>
      <w:marBottom w:val="0"/>
      <w:divBdr>
        <w:top w:val="none" w:sz="0" w:space="0" w:color="auto"/>
        <w:left w:val="none" w:sz="0" w:space="0" w:color="auto"/>
        <w:bottom w:val="none" w:sz="0" w:space="0" w:color="auto"/>
        <w:right w:val="none" w:sz="0" w:space="0" w:color="auto"/>
      </w:divBdr>
    </w:div>
    <w:div w:id="1308241062">
      <w:bodyDiv w:val="1"/>
      <w:marLeft w:val="0"/>
      <w:marRight w:val="0"/>
      <w:marTop w:val="0"/>
      <w:marBottom w:val="0"/>
      <w:divBdr>
        <w:top w:val="none" w:sz="0" w:space="0" w:color="auto"/>
        <w:left w:val="none" w:sz="0" w:space="0" w:color="auto"/>
        <w:bottom w:val="none" w:sz="0" w:space="0" w:color="auto"/>
        <w:right w:val="none" w:sz="0" w:space="0" w:color="auto"/>
      </w:divBdr>
    </w:div>
    <w:div w:id="1310018040">
      <w:bodyDiv w:val="1"/>
      <w:marLeft w:val="0"/>
      <w:marRight w:val="0"/>
      <w:marTop w:val="0"/>
      <w:marBottom w:val="0"/>
      <w:divBdr>
        <w:top w:val="none" w:sz="0" w:space="0" w:color="auto"/>
        <w:left w:val="none" w:sz="0" w:space="0" w:color="auto"/>
        <w:bottom w:val="none" w:sz="0" w:space="0" w:color="auto"/>
        <w:right w:val="none" w:sz="0" w:space="0" w:color="auto"/>
      </w:divBdr>
    </w:div>
    <w:div w:id="1507672525">
      <w:bodyDiv w:val="1"/>
      <w:marLeft w:val="0"/>
      <w:marRight w:val="0"/>
      <w:marTop w:val="0"/>
      <w:marBottom w:val="0"/>
      <w:divBdr>
        <w:top w:val="none" w:sz="0" w:space="0" w:color="auto"/>
        <w:left w:val="none" w:sz="0" w:space="0" w:color="auto"/>
        <w:bottom w:val="none" w:sz="0" w:space="0" w:color="auto"/>
        <w:right w:val="none" w:sz="0" w:space="0" w:color="auto"/>
      </w:divBdr>
    </w:div>
    <w:div w:id="1513497511">
      <w:bodyDiv w:val="1"/>
      <w:marLeft w:val="0"/>
      <w:marRight w:val="0"/>
      <w:marTop w:val="0"/>
      <w:marBottom w:val="0"/>
      <w:divBdr>
        <w:top w:val="none" w:sz="0" w:space="0" w:color="auto"/>
        <w:left w:val="none" w:sz="0" w:space="0" w:color="auto"/>
        <w:bottom w:val="none" w:sz="0" w:space="0" w:color="auto"/>
        <w:right w:val="none" w:sz="0" w:space="0" w:color="auto"/>
      </w:divBdr>
    </w:div>
    <w:div w:id="1575124260">
      <w:bodyDiv w:val="1"/>
      <w:marLeft w:val="0"/>
      <w:marRight w:val="0"/>
      <w:marTop w:val="0"/>
      <w:marBottom w:val="0"/>
      <w:divBdr>
        <w:top w:val="none" w:sz="0" w:space="0" w:color="auto"/>
        <w:left w:val="none" w:sz="0" w:space="0" w:color="auto"/>
        <w:bottom w:val="none" w:sz="0" w:space="0" w:color="auto"/>
        <w:right w:val="none" w:sz="0" w:space="0" w:color="auto"/>
      </w:divBdr>
    </w:div>
    <w:div w:id="1603805417">
      <w:bodyDiv w:val="1"/>
      <w:marLeft w:val="0"/>
      <w:marRight w:val="0"/>
      <w:marTop w:val="0"/>
      <w:marBottom w:val="0"/>
      <w:divBdr>
        <w:top w:val="none" w:sz="0" w:space="0" w:color="auto"/>
        <w:left w:val="none" w:sz="0" w:space="0" w:color="auto"/>
        <w:bottom w:val="none" w:sz="0" w:space="0" w:color="auto"/>
        <w:right w:val="none" w:sz="0" w:space="0" w:color="auto"/>
      </w:divBdr>
    </w:div>
    <w:div w:id="1620987361">
      <w:bodyDiv w:val="1"/>
      <w:marLeft w:val="0"/>
      <w:marRight w:val="0"/>
      <w:marTop w:val="0"/>
      <w:marBottom w:val="0"/>
      <w:divBdr>
        <w:top w:val="none" w:sz="0" w:space="0" w:color="auto"/>
        <w:left w:val="none" w:sz="0" w:space="0" w:color="auto"/>
        <w:bottom w:val="none" w:sz="0" w:space="0" w:color="auto"/>
        <w:right w:val="none" w:sz="0" w:space="0" w:color="auto"/>
      </w:divBdr>
    </w:div>
    <w:div w:id="1703438190">
      <w:bodyDiv w:val="1"/>
      <w:marLeft w:val="0"/>
      <w:marRight w:val="0"/>
      <w:marTop w:val="0"/>
      <w:marBottom w:val="0"/>
      <w:divBdr>
        <w:top w:val="none" w:sz="0" w:space="0" w:color="auto"/>
        <w:left w:val="none" w:sz="0" w:space="0" w:color="auto"/>
        <w:bottom w:val="none" w:sz="0" w:space="0" w:color="auto"/>
        <w:right w:val="none" w:sz="0" w:space="0" w:color="auto"/>
      </w:divBdr>
    </w:div>
    <w:div w:id="1728802306">
      <w:bodyDiv w:val="1"/>
      <w:marLeft w:val="0"/>
      <w:marRight w:val="0"/>
      <w:marTop w:val="0"/>
      <w:marBottom w:val="0"/>
      <w:divBdr>
        <w:top w:val="none" w:sz="0" w:space="0" w:color="auto"/>
        <w:left w:val="none" w:sz="0" w:space="0" w:color="auto"/>
        <w:bottom w:val="none" w:sz="0" w:space="0" w:color="auto"/>
        <w:right w:val="none" w:sz="0" w:space="0" w:color="auto"/>
      </w:divBdr>
    </w:div>
    <w:div w:id="1822771637">
      <w:bodyDiv w:val="1"/>
      <w:marLeft w:val="0"/>
      <w:marRight w:val="0"/>
      <w:marTop w:val="0"/>
      <w:marBottom w:val="0"/>
      <w:divBdr>
        <w:top w:val="none" w:sz="0" w:space="0" w:color="auto"/>
        <w:left w:val="none" w:sz="0" w:space="0" w:color="auto"/>
        <w:bottom w:val="none" w:sz="0" w:space="0" w:color="auto"/>
        <w:right w:val="none" w:sz="0" w:space="0" w:color="auto"/>
      </w:divBdr>
    </w:div>
    <w:div w:id="1884244494">
      <w:bodyDiv w:val="1"/>
      <w:marLeft w:val="0"/>
      <w:marRight w:val="0"/>
      <w:marTop w:val="0"/>
      <w:marBottom w:val="0"/>
      <w:divBdr>
        <w:top w:val="none" w:sz="0" w:space="0" w:color="auto"/>
        <w:left w:val="none" w:sz="0" w:space="0" w:color="auto"/>
        <w:bottom w:val="none" w:sz="0" w:space="0" w:color="auto"/>
        <w:right w:val="none" w:sz="0" w:space="0" w:color="auto"/>
      </w:divBdr>
    </w:div>
    <w:div w:id="1984265108">
      <w:bodyDiv w:val="1"/>
      <w:marLeft w:val="0"/>
      <w:marRight w:val="0"/>
      <w:marTop w:val="0"/>
      <w:marBottom w:val="0"/>
      <w:divBdr>
        <w:top w:val="none" w:sz="0" w:space="0" w:color="auto"/>
        <w:left w:val="none" w:sz="0" w:space="0" w:color="auto"/>
        <w:bottom w:val="none" w:sz="0" w:space="0" w:color="auto"/>
        <w:right w:val="none" w:sz="0" w:space="0" w:color="auto"/>
      </w:divBdr>
    </w:div>
    <w:div w:id="203057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d="http://www.w3.org/2001/XMLSchema" xmlns:xsi="http://www.w3.org/2001/XMLSchema-instance" xmlns="http://www.boldonjames.com/2008/01/sie/internal/label" sislVersion="0" policy="973096ae-7329-4b3b-9368-47aeba6959e1" origin="userSelected"/>
</file>

<file path=customXml/item4.xml><?xml version="1.0" encoding="utf-8"?>
<ct:contentTypeSchema xmlns:ct="http://schemas.microsoft.com/office/2006/metadata/contentType" xmlns:ma="http://schemas.microsoft.com/office/2006/metadata/properties/metaAttributes" ct:_="" ma:_="" ma:contentTypeName="Document" ma:contentTypeID="0x01010041A7FD4F90B5DA4788FF0464472C409F" ma:contentTypeVersion="12" ma:contentTypeDescription="Create a new document." ma:contentTypeScope="" ma:versionID="8d43dc58f4be256e0872fee0ddd01b45">
  <xsd:schema xmlns:xsd="http://www.w3.org/2001/XMLSchema" xmlns:xs="http://www.w3.org/2001/XMLSchema" xmlns:p="http://schemas.microsoft.com/office/2006/metadata/properties" xmlns:ns3="01f7a547-d57a-44ce-a211-81869c79743b" xmlns:ns4="3092569d-7549-4f1f-b838-122d264c6bd8" targetNamespace="http://schemas.microsoft.com/office/2006/metadata/properties" ma:root="true" ma:fieldsID="19bab5e5e8857395343a357c49ac1bcf" ns3:_="" ns4:_="">
    <xsd:import namespace="01f7a547-d57a-44ce-a211-81869c79743b"/>
    <xsd:import namespace="3092569d-7549-4f1f-b838-122d264c6b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a547-d57a-44ce-a211-81869c797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92569d-7549-4f1f-b838-122d264c6b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C88E1-4333-4EA3-A6E7-3E2045F73853}">
  <ds:schemaRefs>
    <ds:schemaRef ds:uri="http://www.w3.org/XML/1998/namespace"/>
    <ds:schemaRef ds:uri="http://schemas.microsoft.com/office/2006/documentManagement/types"/>
    <ds:schemaRef ds:uri="3092569d-7549-4f1f-b838-122d264c6bd8"/>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01f7a547-d57a-44ce-a211-81869c79743b"/>
    <ds:schemaRef ds:uri="http://purl.org/dc/elements/1.1/"/>
  </ds:schemaRefs>
</ds:datastoreItem>
</file>

<file path=customXml/itemProps2.xml><?xml version="1.0" encoding="utf-8"?>
<ds:datastoreItem xmlns:ds="http://schemas.openxmlformats.org/officeDocument/2006/customXml" ds:itemID="{D2A3FB14-829C-4411-B062-BF618E230847}">
  <ds:schemaRefs>
    <ds:schemaRef ds:uri="http://schemas.microsoft.com/sharepoint/v3/contenttype/forms"/>
  </ds:schemaRefs>
</ds:datastoreItem>
</file>

<file path=customXml/itemProps3.xml><?xml version="1.0" encoding="utf-8"?>
<ds:datastoreItem xmlns:ds="http://schemas.openxmlformats.org/officeDocument/2006/customXml" ds:itemID="{BAFF0866-A32C-46BC-9856-E30BC701E32A}">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AA51A2A3-A64B-48C7-A08F-C3E6F7A69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a547-d57a-44ce-a211-81869c79743b"/>
    <ds:schemaRef ds:uri="3092569d-7549-4f1f-b838-122d264c6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0C0433-68D1-41B3-AD62-FBB2BDC64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3274</Words>
  <Characters>18663</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Xoserve SoLR Options Paper v1.1 Draft</vt:lpstr>
    </vt:vector>
  </TitlesOfParts>
  <Company/>
  <LinksUpToDate>false</LinksUpToDate>
  <CharactersWithSpaces>21894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Xoserve SoLR Options Paper v1.1 Draft</dc:title>
  <dc:subject/>
  <dc:creator>Nicola Garland</dc:creator>
  <cp:keywords/>
  <dc:description/>
  <cp:lastModifiedBy>Angela Clarke</cp:lastModifiedBy>
  <cp:revision>2</cp:revision>
  <dcterms:created xsi:type="dcterms:W3CDTF">2021-09-06T15:39:00Z</dcterms:created>
  <dcterms:modified xsi:type="dcterms:W3CDTF">2021-09-06T15:39:00Z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0x01010041A7FD4F90B5DA4788FF0464472C409F</vt:lpwstr>
  </property>
  <property fmtid="{D5CDD505-2E9C-101B-9397-08002B2CF9AE}" pid="3" name="Order">
    <vt:r8>49200</vt:r8>
  </property>
  <property fmtid="{D5CDD505-2E9C-101B-9397-08002B2CF9AE}" pid="4" name="Folksonomy">
    <vt:lpwstr/>
  </property>
  <property fmtid="{D5CDD505-2E9C-101B-9397-08002B2CF9AE}" pid="5" name="docIndexRef">
    <vt:lpwstr>0b84e0c1-7684-4f59-ad66-6da869ce0b23</vt:lpwstr>
  </property>
  <property fmtid="{D5CDD505-2E9C-101B-9397-08002B2CF9AE}" pid="6" name="bjSaver">
    <vt:lpwstr>+hZUz+D1MOhNiG7ulyZ5W2LHx9cQITSk</vt:lpwstr>
  </property>
  <property fmtid="{D5CDD505-2E9C-101B-9397-08002B2CF9AE}" pid="7" name="bjDocumentSecurityLabel">
    <vt:lpwstr>This item has no classification</vt:lpwstr>
  </property>
  <property fmtid="{D5CDD505-2E9C-101B-9397-08002B2CF9AE}" pid="8" name="bjClsUserRVM">
    <vt:lpwstr>[]</vt:lpwstr>
  </property>
</Properties>
</file>