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A073" w14:textId="77777777" w:rsidR="007D4F26" w:rsidRDefault="007A113D" w:rsidP="007A113D">
      <w:pPr>
        <w:pStyle w:val="Title"/>
        <w:jc w:val="center"/>
      </w:pPr>
      <w:r>
        <w:t>DSC Evaluation Quotation Report (EQR)</w:t>
      </w:r>
    </w:p>
    <w:p w14:paraId="77102641" w14:textId="77777777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0B14262E" wp14:editId="1F097B9E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7A95" w14:textId="77777777" w:rsidR="007A113D" w:rsidRDefault="007A113D" w:rsidP="00D66C7E"/>
    <w:p w14:paraId="11A3806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206"/>
        <w:gridCol w:w="139"/>
        <w:gridCol w:w="4908"/>
      </w:tblGrid>
      <w:tr w:rsidR="007A113D" w:rsidRPr="007A113D" w14:paraId="178A5CAA" w14:textId="77777777" w:rsidTr="5AD2BEBC">
        <w:tc>
          <w:tcPr>
            <w:tcW w:w="2398" w:type="pct"/>
            <w:shd w:val="clear" w:color="auto" w:fill="FFFFFF" w:themeFill="background1"/>
            <w:vAlign w:val="center"/>
          </w:tcPr>
          <w:p w14:paraId="48825DFD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4C5C99F0" w14:textId="24966CCE" w:rsidR="007A113D" w:rsidRPr="007A113D" w:rsidRDefault="00436A9A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UK</w:t>
            </w:r>
            <w:r w:rsidR="003F7B86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Link </w:t>
            </w:r>
            <w:r w:rsidR="00C91717">
              <w:rPr>
                <w:rFonts w:eastAsia="Times New Roman" w:cs="Arial"/>
                <w:sz w:val="20"/>
                <w:szCs w:val="20"/>
              </w:rPr>
              <w:t>Dec</w:t>
            </w:r>
            <w:r w:rsidR="0047418A">
              <w:rPr>
                <w:rFonts w:eastAsia="Times New Roman" w:cs="Arial"/>
                <w:sz w:val="20"/>
                <w:szCs w:val="20"/>
              </w:rPr>
              <w:t xml:space="preserve"> 21 – Apr 22 Detailed Design</w:t>
            </w:r>
          </w:p>
        </w:tc>
      </w:tr>
      <w:tr w:rsidR="007A113D" w:rsidRPr="007A113D" w14:paraId="3B188864" w14:textId="77777777" w:rsidTr="5AD2BEBC">
        <w:tc>
          <w:tcPr>
            <w:tcW w:w="2398" w:type="pct"/>
            <w:shd w:val="clear" w:color="auto" w:fill="FFFFFF" w:themeFill="background1"/>
            <w:vAlign w:val="center"/>
          </w:tcPr>
          <w:p w14:paraId="32119C6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68A91F09" w14:textId="63C7BE33" w:rsidR="007A113D" w:rsidRPr="007A113D" w:rsidRDefault="1253B9A4" w:rsidP="5AD2BEBC">
            <w:pPr>
              <w:rPr>
                <w:rFonts w:eastAsia="Times New Roman" w:cs="Arial"/>
                <w:sz w:val="20"/>
                <w:szCs w:val="20"/>
              </w:rPr>
            </w:pPr>
            <w:r w:rsidRPr="5AD2BEBC">
              <w:rPr>
                <w:rFonts w:eastAsia="Times New Roman" w:cs="Arial"/>
                <w:sz w:val="20"/>
                <w:szCs w:val="20"/>
              </w:rPr>
              <w:t>Multiple</w:t>
            </w:r>
            <w:r w:rsidR="4F653B50" w:rsidRPr="5AD2BEBC">
              <w:rPr>
                <w:rFonts w:eastAsia="Times New Roman" w:cs="Arial"/>
                <w:sz w:val="20"/>
                <w:szCs w:val="20"/>
              </w:rPr>
              <w:t xml:space="preserve"> – see scope for details</w:t>
            </w:r>
          </w:p>
        </w:tc>
      </w:tr>
      <w:tr w:rsidR="007A113D" w:rsidRPr="007A113D" w14:paraId="67BDDB9F" w14:textId="77777777" w:rsidTr="5AD2BEBC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5424A" w14:textId="111C15BC" w:rsidR="007A113D" w:rsidRPr="007A113D" w:rsidRDefault="00752242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rFonts w:eastAsia="Times New Roman" w:cs="Arial"/>
                <w:b/>
                <w:sz w:val="20"/>
                <w:szCs w:val="16"/>
              </w:rPr>
              <w:t>Correla Change Development Lead</w:t>
            </w:r>
            <w:r w:rsidR="007A113D" w:rsidRPr="007A113D">
              <w:rPr>
                <w:rFonts w:eastAsia="Times New Roman" w:cs="Arial"/>
                <w:b/>
                <w:sz w:val="20"/>
                <w:szCs w:val="16"/>
              </w:rPr>
              <w:t xml:space="preserve">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113CE22F" w14:textId="46D8A6CE" w:rsidR="007A113D" w:rsidRPr="007A113D" w:rsidRDefault="2405D11D" w:rsidP="5AD2BEBC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5AD2BEBC"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</w:tr>
      <w:tr w:rsidR="007A113D" w:rsidRPr="007A113D" w14:paraId="4D8076D1" w14:textId="77777777" w:rsidTr="5AD2BEBC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F4597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6E3DA218" w14:textId="5DD70A06" w:rsidR="007A113D" w:rsidRPr="007A113D" w:rsidRDefault="5D2C5D82" w:rsidP="5AD2BEBC">
            <w:pPr>
              <w:spacing w:after="200" w:line="276" w:lineRule="auto"/>
              <w:rPr>
                <w:sz w:val="20"/>
                <w:szCs w:val="20"/>
              </w:rPr>
            </w:pPr>
            <w:r w:rsidRPr="5AD2BEBC">
              <w:rPr>
                <w:rFonts w:eastAsia="Times New Roman" w:cs="Arial"/>
                <w:sz w:val="20"/>
                <w:szCs w:val="20"/>
              </w:rPr>
              <w:t>richard.hadfield@correla.com</w:t>
            </w:r>
          </w:p>
        </w:tc>
      </w:tr>
      <w:tr w:rsidR="007A113D" w:rsidRPr="007A113D" w14:paraId="27F74C3C" w14:textId="77777777" w:rsidTr="5AD2BEBC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724C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357A17FE" w14:textId="349C9AEF" w:rsidR="007A113D" w:rsidRPr="007A113D" w:rsidRDefault="00822CF0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08/12</w:t>
            </w:r>
            <w:r w:rsidR="0017550E">
              <w:rPr>
                <w:rFonts w:eastAsia="Times New Roman" w:cs="Arial"/>
                <w:sz w:val="20"/>
                <w:szCs w:val="20"/>
              </w:rPr>
              <w:t>/202</w:t>
            </w:r>
            <w:r w:rsidR="00087AB7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7A113D" w:rsidRPr="007A113D" w14:paraId="52C48541" w14:textId="77777777" w:rsidTr="5AD2BEB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5344EE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637DA43E" w14:textId="77777777" w:rsidTr="5AD2BEB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39006E" w14:textId="77777777" w:rsidR="005B787A" w:rsidRDefault="005B787A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1DD2526E" w14:textId="0F935873" w:rsidR="0031497F" w:rsidRPr="00ED38E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ED38E9">
              <w:rPr>
                <w:rFonts w:eastAsia="Times New Roman" w:cs="Arial"/>
                <w:sz w:val="20"/>
                <w:szCs w:val="20"/>
              </w:rPr>
              <w:t>The</w:t>
            </w:r>
            <w:r w:rsidR="00D608A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D38E9">
              <w:rPr>
                <w:rFonts w:eastAsia="Times New Roman" w:cs="Arial"/>
                <w:sz w:val="20"/>
                <w:szCs w:val="20"/>
              </w:rPr>
              <w:t>scope of th</w:t>
            </w:r>
            <w:r w:rsidR="00822CF0">
              <w:rPr>
                <w:rFonts w:eastAsia="Times New Roman" w:cs="Arial"/>
                <w:sz w:val="20"/>
                <w:szCs w:val="20"/>
              </w:rPr>
              <w:t xml:space="preserve">is EQR is to </w:t>
            </w:r>
            <w:r w:rsidR="00AD6E52">
              <w:rPr>
                <w:rFonts w:eastAsia="Times New Roman" w:cs="Arial"/>
                <w:sz w:val="20"/>
                <w:szCs w:val="20"/>
              </w:rPr>
              <w:t xml:space="preserve">progress with and </w:t>
            </w:r>
            <w:r w:rsidR="00822CF0">
              <w:rPr>
                <w:rFonts w:eastAsia="Times New Roman" w:cs="Arial"/>
                <w:sz w:val="20"/>
                <w:szCs w:val="20"/>
              </w:rPr>
              <w:t>deliver the detailed design</w:t>
            </w:r>
            <w:r w:rsidR="00AD6E52">
              <w:rPr>
                <w:rFonts w:eastAsia="Times New Roman" w:cs="Arial"/>
                <w:sz w:val="20"/>
                <w:szCs w:val="20"/>
              </w:rPr>
              <w:t xml:space="preserve"> phase</w:t>
            </w:r>
            <w:r w:rsidR="00822CF0">
              <w:rPr>
                <w:rFonts w:eastAsia="Times New Roman" w:cs="Arial"/>
                <w:sz w:val="20"/>
                <w:szCs w:val="20"/>
              </w:rPr>
              <w:t xml:space="preserve"> for 7 </w:t>
            </w:r>
            <w:r w:rsidR="00AD6E52">
              <w:rPr>
                <w:rFonts w:eastAsia="Times New Roman" w:cs="Arial"/>
                <w:sz w:val="20"/>
                <w:szCs w:val="20"/>
              </w:rPr>
              <w:t>ChMC</w:t>
            </w:r>
            <w:r w:rsidR="009E0673">
              <w:rPr>
                <w:rFonts w:eastAsia="Times New Roman" w:cs="Arial"/>
                <w:sz w:val="20"/>
                <w:szCs w:val="20"/>
              </w:rPr>
              <w:t xml:space="preserve"> sponsored </w:t>
            </w:r>
            <w:r w:rsidR="00822CF0">
              <w:rPr>
                <w:rFonts w:eastAsia="Times New Roman" w:cs="Arial"/>
                <w:sz w:val="20"/>
                <w:szCs w:val="20"/>
              </w:rPr>
              <w:t>change</w:t>
            </w:r>
            <w:r w:rsidR="009E0673">
              <w:rPr>
                <w:rFonts w:eastAsia="Times New Roman" w:cs="Arial"/>
                <w:sz w:val="20"/>
                <w:szCs w:val="20"/>
              </w:rPr>
              <w:t xml:space="preserve"> prop</w:t>
            </w:r>
            <w:r w:rsidR="00662FBA">
              <w:rPr>
                <w:rFonts w:eastAsia="Times New Roman" w:cs="Arial"/>
                <w:sz w:val="20"/>
                <w:szCs w:val="20"/>
              </w:rPr>
              <w:t>o</w:t>
            </w:r>
            <w:r w:rsidR="009E0673">
              <w:rPr>
                <w:rFonts w:eastAsia="Times New Roman" w:cs="Arial"/>
                <w:sz w:val="20"/>
                <w:szCs w:val="20"/>
              </w:rPr>
              <w:t>sals</w:t>
            </w:r>
            <w:r w:rsidR="00662FBA">
              <w:rPr>
                <w:rFonts w:eastAsia="Times New Roman" w:cs="Arial"/>
                <w:sz w:val="20"/>
                <w:szCs w:val="20"/>
              </w:rPr>
              <w:t>, with a view that these could potentially be included within the scope of the November 22 Major Release</w:t>
            </w:r>
            <w:r w:rsidR="005165A0">
              <w:rPr>
                <w:rFonts w:eastAsia="Times New Roman" w:cs="Arial"/>
                <w:sz w:val="20"/>
                <w:szCs w:val="20"/>
              </w:rPr>
              <w:t>.</w:t>
            </w:r>
            <w:r w:rsidR="004621B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3370E">
              <w:rPr>
                <w:rFonts w:eastAsia="Times New Roman" w:cs="Arial"/>
                <w:sz w:val="20"/>
                <w:szCs w:val="20"/>
              </w:rPr>
              <w:t>The</w:t>
            </w:r>
            <w:r w:rsidR="004621BF">
              <w:rPr>
                <w:rFonts w:eastAsia="Times New Roman" w:cs="Arial"/>
                <w:sz w:val="20"/>
                <w:szCs w:val="20"/>
              </w:rPr>
              <w:t xml:space="preserve"> scope for a major release in November 22 </w:t>
            </w:r>
            <w:r w:rsidR="0003370E">
              <w:rPr>
                <w:rFonts w:eastAsia="Times New Roman" w:cs="Arial"/>
                <w:sz w:val="20"/>
                <w:szCs w:val="20"/>
              </w:rPr>
              <w:t>will</w:t>
            </w:r>
            <w:r w:rsidR="00640B26">
              <w:rPr>
                <w:rFonts w:eastAsia="Times New Roman" w:cs="Arial"/>
                <w:sz w:val="20"/>
                <w:szCs w:val="20"/>
              </w:rPr>
              <w:t xml:space="preserve"> need to</w:t>
            </w:r>
            <w:r w:rsidR="0003370E">
              <w:rPr>
                <w:rFonts w:eastAsia="Times New Roman" w:cs="Arial"/>
                <w:sz w:val="20"/>
                <w:szCs w:val="20"/>
              </w:rPr>
              <w:t xml:space="preserve"> be</w:t>
            </w:r>
            <w:r w:rsidR="0011715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3370E">
              <w:rPr>
                <w:rFonts w:eastAsia="Times New Roman" w:cs="Arial"/>
                <w:sz w:val="20"/>
                <w:szCs w:val="20"/>
              </w:rPr>
              <w:t xml:space="preserve">subsequently </w:t>
            </w:r>
            <w:r w:rsidR="004621BF">
              <w:rPr>
                <w:rFonts w:eastAsia="Times New Roman" w:cs="Arial"/>
                <w:sz w:val="20"/>
                <w:szCs w:val="20"/>
              </w:rPr>
              <w:t>agreed</w:t>
            </w:r>
            <w:r w:rsidR="00640B26">
              <w:rPr>
                <w:rFonts w:eastAsia="Times New Roman" w:cs="Arial"/>
                <w:sz w:val="20"/>
                <w:szCs w:val="20"/>
              </w:rPr>
              <w:t xml:space="preserve"> at ChMC and will</w:t>
            </w:r>
            <w:r w:rsidR="0003370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D53D0">
              <w:rPr>
                <w:rFonts w:eastAsia="Times New Roman" w:cs="Arial"/>
                <w:sz w:val="20"/>
                <w:szCs w:val="20"/>
              </w:rPr>
              <w:t>consist of some</w:t>
            </w:r>
            <w:r w:rsidR="0031770D">
              <w:rPr>
                <w:rFonts w:eastAsia="Times New Roman" w:cs="Arial"/>
                <w:sz w:val="20"/>
                <w:szCs w:val="20"/>
              </w:rPr>
              <w:t xml:space="preserve"> of</w:t>
            </w:r>
            <w:r w:rsidR="007E30A9">
              <w:rPr>
                <w:rFonts w:eastAsia="Times New Roman" w:cs="Arial"/>
                <w:sz w:val="20"/>
                <w:szCs w:val="20"/>
              </w:rPr>
              <w:t>, but not all</w:t>
            </w:r>
            <w:r w:rsidR="0031770D">
              <w:rPr>
                <w:rFonts w:eastAsia="Times New Roman" w:cs="Arial"/>
                <w:sz w:val="20"/>
                <w:szCs w:val="20"/>
              </w:rPr>
              <w:t>,</w:t>
            </w:r>
            <w:r w:rsidR="00AD53D0">
              <w:rPr>
                <w:rFonts w:eastAsia="Times New Roman" w:cs="Arial"/>
                <w:sz w:val="20"/>
                <w:szCs w:val="20"/>
              </w:rPr>
              <w:t xml:space="preserve"> the changes</w:t>
            </w:r>
            <w:r w:rsidR="00DC0DE1">
              <w:rPr>
                <w:rFonts w:eastAsia="Times New Roman" w:cs="Arial"/>
                <w:sz w:val="20"/>
                <w:szCs w:val="20"/>
              </w:rPr>
              <w:t xml:space="preserve"> contained within this EQR</w:t>
            </w:r>
            <w:r w:rsidR="00117154">
              <w:rPr>
                <w:rFonts w:eastAsia="Times New Roman" w:cs="Arial"/>
                <w:sz w:val="20"/>
                <w:szCs w:val="20"/>
              </w:rPr>
              <w:t xml:space="preserve">. Those changes from this list that are </w:t>
            </w:r>
            <w:r w:rsidR="0031770D">
              <w:rPr>
                <w:rFonts w:eastAsia="Times New Roman" w:cs="Arial"/>
                <w:sz w:val="20"/>
                <w:szCs w:val="20"/>
              </w:rPr>
              <w:t xml:space="preserve">subsequently </w:t>
            </w:r>
            <w:r w:rsidR="00117154">
              <w:rPr>
                <w:rFonts w:eastAsia="Times New Roman" w:cs="Arial"/>
                <w:sz w:val="20"/>
                <w:szCs w:val="20"/>
              </w:rPr>
              <w:t xml:space="preserve">not included in the scope for November 22 will be held for inclusion in </w:t>
            </w:r>
            <w:r w:rsidR="005165A0">
              <w:rPr>
                <w:rFonts w:eastAsia="Times New Roman" w:cs="Arial"/>
                <w:sz w:val="20"/>
                <w:szCs w:val="20"/>
              </w:rPr>
              <w:t>the scope of future releases from February 2023 onwards</w:t>
            </w:r>
            <w:r w:rsidR="00F04B46">
              <w:rPr>
                <w:rFonts w:eastAsia="Times New Roman" w:cs="Arial"/>
                <w:sz w:val="20"/>
                <w:szCs w:val="20"/>
              </w:rPr>
              <w:t xml:space="preserve"> or agreed to be delivered as stand-alone deliveries</w:t>
            </w:r>
            <w:r w:rsidR="000D6559">
              <w:rPr>
                <w:rFonts w:eastAsia="Times New Roman" w:cs="Arial"/>
                <w:sz w:val="20"/>
                <w:szCs w:val="20"/>
              </w:rPr>
              <w:t xml:space="preserve"> if required</w:t>
            </w:r>
            <w:r w:rsidR="005165A0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69F3AE00" w14:textId="7DA759AC" w:rsidR="00395E46" w:rsidRPr="00395E46" w:rsidRDefault="00395E46" w:rsidP="00395E4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Pr="00395E46">
              <w:rPr>
                <w:rFonts w:cs="Arial"/>
                <w:i/>
                <w:sz w:val="20"/>
                <w:szCs w:val="20"/>
              </w:rPr>
              <w:t>4900</w:t>
            </w:r>
            <w:r>
              <w:rPr>
                <w:rFonts w:cs="Arial"/>
                <w:i/>
                <w:sz w:val="20"/>
                <w:szCs w:val="20"/>
              </w:rPr>
              <w:t xml:space="preserve"> - </w:t>
            </w:r>
            <w:r w:rsidRPr="00395E46">
              <w:rPr>
                <w:rFonts w:cs="Arial"/>
                <w:i/>
                <w:sz w:val="20"/>
                <w:szCs w:val="20"/>
              </w:rPr>
              <w:t>Biomethane/Propane Reduction</w:t>
            </w:r>
          </w:p>
          <w:p w14:paraId="44672E09" w14:textId="60EA08F8" w:rsidR="00395E46" w:rsidRPr="00395E46" w:rsidRDefault="00395E46" w:rsidP="00395E4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Pr="00395E46">
              <w:rPr>
                <w:rFonts w:cs="Arial"/>
                <w:i/>
                <w:sz w:val="20"/>
                <w:szCs w:val="20"/>
              </w:rPr>
              <w:t>4978</w:t>
            </w:r>
            <w:r>
              <w:rPr>
                <w:rFonts w:cs="Arial"/>
                <w:i/>
                <w:sz w:val="20"/>
                <w:szCs w:val="20"/>
              </w:rPr>
              <w:t xml:space="preserve"> - </w:t>
            </w:r>
            <w:r w:rsidRPr="00395E46">
              <w:rPr>
                <w:rFonts w:cs="Arial"/>
                <w:i/>
                <w:sz w:val="20"/>
                <w:szCs w:val="20"/>
              </w:rPr>
              <w:t>Notification of Rolling AQ Value (following Transfer of Ownership between M-5 and M)</w:t>
            </w:r>
          </w:p>
          <w:p w14:paraId="455DE8A9" w14:textId="56FD7D5E" w:rsidR="00395E46" w:rsidRPr="00395E46" w:rsidRDefault="00395E46" w:rsidP="00395E4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Pr="00395E46">
              <w:rPr>
                <w:rFonts w:cs="Arial"/>
                <w:i/>
                <w:sz w:val="20"/>
                <w:szCs w:val="20"/>
              </w:rPr>
              <w:t>4990</w:t>
            </w:r>
            <w:r>
              <w:rPr>
                <w:rFonts w:cs="Arial"/>
                <w:i/>
                <w:sz w:val="20"/>
                <w:szCs w:val="20"/>
              </w:rPr>
              <w:t xml:space="preserve"> - </w:t>
            </w:r>
            <w:r w:rsidRPr="00395E46">
              <w:rPr>
                <w:rFonts w:cs="Arial"/>
                <w:i/>
                <w:sz w:val="20"/>
                <w:szCs w:val="20"/>
              </w:rPr>
              <w:t>MOD0664 – Transfer of Sites with Low Read Submission Performance from Class 2 and 3 into Class 4</w:t>
            </w:r>
          </w:p>
          <w:p w14:paraId="3EB3699F" w14:textId="0C825393" w:rsidR="00395E46" w:rsidRPr="00395E46" w:rsidRDefault="00395E46" w:rsidP="5A10A324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5A10A324">
              <w:rPr>
                <w:rFonts w:cs="Arial"/>
                <w:i/>
                <w:iCs/>
                <w:sz w:val="20"/>
                <w:szCs w:val="20"/>
              </w:rPr>
              <w:t>XRN4992 - MOD068</w:t>
            </w:r>
            <w:r w:rsidR="7E5910EE" w:rsidRPr="5A10A324">
              <w:rPr>
                <w:rFonts w:cs="Arial"/>
                <w:i/>
                <w:iCs/>
                <w:sz w:val="20"/>
                <w:szCs w:val="20"/>
              </w:rPr>
              <w:t>7</w:t>
            </w:r>
            <w:r w:rsidRPr="5A10A324">
              <w:rPr>
                <w:rFonts w:cs="Arial"/>
                <w:i/>
                <w:iCs/>
                <w:sz w:val="20"/>
                <w:szCs w:val="20"/>
              </w:rPr>
              <w:t xml:space="preserve"> - Creation of new charge to recover Last Resort Supply payments</w:t>
            </w:r>
          </w:p>
          <w:p w14:paraId="03E7C485" w14:textId="307E76FE" w:rsidR="00395E46" w:rsidRDefault="00395E46" w:rsidP="00395E4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Pr="00395E46">
              <w:rPr>
                <w:rFonts w:cs="Arial"/>
                <w:i/>
                <w:sz w:val="20"/>
                <w:szCs w:val="20"/>
              </w:rPr>
              <w:t>5091</w:t>
            </w:r>
            <w:r>
              <w:rPr>
                <w:rFonts w:cs="Arial"/>
                <w:i/>
                <w:sz w:val="20"/>
                <w:szCs w:val="20"/>
              </w:rPr>
              <w:t xml:space="preserve"> - </w:t>
            </w:r>
            <w:r w:rsidRPr="00395E46">
              <w:rPr>
                <w:rFonts w:cs="Arial"/>
                <w:i/>
                <w:sz w:val="20"/>
                <w:szCs w:val="20"/>
              </w:rPr>
              <w:t>Deferral of creation of Class change reads at transfer of ownership</w:t>
            </w:r>
          </w:p>
          <w:p w14:paraId="46F19BEB" w14:textId="1EF4308E" w:rsidR="00F31E37" w:rsidRPr="00395E46" w:rsidRDefault="001D363B" w:rsidP="00F31E37">
            <w:pPr>
              <w:pStyle w:val="ListParagrap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NB – a design for this change has been previously approved but </w:t>
            </w:r>
            <w:r w:rsidR="00635062">
              <w:rPr>
                <w:rFonts w:cs="Arial"/>
                <w:i/>
                <w:sz w:val="20"/>
                <w:szCs w:val="20"/>
              </w:rPr>
              <w:t xml:space="preserve">it now needs to be re-designed to work </w:t>
            </w:r>
            <w:r w:rsidR="00FD5F6F">
              <w:rPr>
                <w:rFonts w:cs="Arial"/>
                <w:i/>
                <w:sz w:val="20"/>
                <w:szCs w:val="20"/>
              </w:rPr>
              <w:t>as</w:t>
            </w:r>
            <w:r w:rsidR="00635062">
              <w:rPr>
                <w:rFonts w:cs="Arial"/>
                <w:i/>
                <w:sz w:val="20"/>
                <w:szCs w:val="20"/>
              </w:rPr>
              <w:t xml:space="preserve"> a post-CSSC </w:t>
            </w:r>
            <w:r w:rsidR="00FD5F6F">
              <w:rPr>
                <w:rFonts w:cs="Arial"/>
                <w:i/>
                <w:sz w:val="20"/>
                <w:szCs w:val="20"/>
              </w:rPr>
              <w:t>solution</w:t>
            </w:r>
          </w:p>
          <w:p w14:paraId="6D6AC7EE" w14:textId="7BCBF7B7" w:rsidR="00395E46" w:rsidRPr="00395E46" w:rsidRDefault="00395E46" w:rsidP="00395E4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Pr="00395E46">
              <w:rPr>
                <w:rFonts w:cs="Arial"/>
                <w:i/>
                <w:sz w:val="20"/>
                <w:szCs w:val="20"/>
              </w:rPr>
              <w:t>5186</w:t>
            </w:r>
            <w:r>
              <w:rPr>
                <w:rFonts w:cs="Arial"/>
                <w:i/>
                <w:sz w:val="20"/>
                <w:szCs w:val="20"/>
              </w:rPr>
              <w:t xml:space="preserve"> - </w:t>
            </w:r>
            <w:r w:rsidRPr="00395E46">
              <w:rPr>
                <w:rFonts w:cs="Arial"/>
                <w:i/>
                <w:sz w:val="20"/>
                <w:szCs w:val="20"/>
              </w:rPr>
              <w:t>MOD0701 - Aligning Capacity booking under the UNC and arrangements set out in relevant NExAs</w:t>
            </w:r>
          </w:p>
          <w:p w14:paraId="68D7F374" w14:textId="2D967E3A" w:rsidR="00AD47DD" w:rsidRPr="00E86F8D" w:rsidRDefault="00395E46" w:rsidP="00395E46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Pr="00395E46">
              <w:rPr>
                <w:rFonts w:cs="Arial"/>
                <w:i/>
                <w:sz w:val="20"/>
                <w:szCs w:val="20"/>
              </w:rPr>
              <w:t>5298</w:t>
            </w:r>
            <w:r>
              <w:rPr>
                <w:rFonts w:cs="Arial"/>
                <w:i/>
                <w:sz w:val="20"/>
                <w:szCs w:val="20"/>
              </w:rPr>
              <w:t xml:space="preserve"> - </w:t>
            </w:r>
            <w:r w:rsidRPr="00395E46">
              <w:rPr>
                <w:rFonts w:cs="Arial"/>
                <w:i/>
                <w:sz w:val="20"/>
                <w:szCs w:val="20"/>
              </w:rPr>
              <w:t>H100 Fife Project – Hydrogen Network Trial</w:t>
            </w:r>
          </w:p>
          <w:p w14:paraId="3FA39603" w14:textId="77777777" w:rsidR="00ED38E9" w:rsidRDefault="00ED38E9" w:rsidP="0031497F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01BEC803" w14:textId="77777777" w:rsidR="0031497F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 xml:space="preserve">Activities covered by </w:t>
            </w:r>
            <w:r w:rsidR="0049347C">
              <w:rPr>
                <w:rFonts w:eastAsia="Times New Roman" w:cs="Arial"/>
                <w:sz w:val="20"/>
                <w:szCs w:val="20"/>
              </w:rPr>
              <w:t>th</w:t>
            </w:r>
            <w:r w:rsidR="001C7CA9">
              <w:rPr>
                <w:rFonts w:eastAsia="Times New Roman" w:cs="Arial"/>
                <w:sz w:val="20"/>
                <w:szCs w:val="20"/>
              </w:rPr>
              <w:t>is</w:t>
            </w:r>
            <w:r w:rsidR="0049347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F4BF9">
              <w:rPr>
                <w:rFonts w:eastAsia="Times New Roman" w:cs="Arial"/>
                <w:sz w:val="20"/>
                <w:szCs w:val="20"/>
              </w:rPr>
              <w:t>EQR:</w:t>
            </w:r>
          </w:p>
          <w:p w14:paraId="514B7602" w14:textId="30A85058" w:rsidR="007A113D" w:rsidRPr="003F4BF9" w:rsidRDefault="003F4BF9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Mobilisation</w:t>
            </w:r>
            <w:r>
              <w:rPr>
                <w:rFonts w:eastAsia="Times New Roman" w:cs="Arial"/>
                <w:sz w:val="20"/>
                <w:szCs w:val="20"/>
              </w:rPr>
              <w:t xml:space="preserve"> of </w:t>
            </w:r>
            <w:r w:rsidR="007122BC">
              <w:rPr>
                <w:rFonts w:eastAsia="Times New Roman" w:cs="Arial"/>
                <w:sz w:val="20"/>
                <w:szCs w:val="20"/>
              </w:rPr>
              <w:t>resources required to complete the detailed design</w:t>
            </w:r>
            <w:r w:rsidR="000D0B76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1C7CA9">
              <w:rPr>
                <w:rFonts w:eastAsia="Times New Roman" w:cs="Arial"/>
                <w:sz w:val="20"/>
                <w:szCs w:val="20"/>
              </w:rPr>
              <w:t>including</w:t>
            </w:r>
            <w:r w:rsidR="000D6559">
              <w:rPr>
                <w:rFonts w:eastAsia="Times New Roman" w:cs="Arial"/>
                <w:sz w:val="20"/>
                <w:szCs w:val="20"/>
              </w:rPr>
              <w:t xml:space="preserve"> 3</w:t>
            </w:r>
            <w:r w:rsidR="000D6559" w:rsidRPr="000D6559">
              <w:rPr>
                <w:rFonts w:eastAsia="Times New Roman" w:cs="Arial"/>
                <w:sz w:val="20"/>
                <w:szCs w:val="20"/>
                <w:vertAlign w:val="superscript"/>
              </w:rPr>
              <w:t>rd</w:t>
            </w:r>
            <w:r w:rsidR="000D6559">
              <w:rPr>
                <w:rFonts w:eastAsia="Times New Roman" w:cs="Arial"/>
                <w:sz w:val="20"/>
                <w:szCs w:val="20"/>
              </w:rPr>
              <w:t xml:space="preserve"> party </w:t>
            </w:r>
            <w:r w:rsidR="001C7CA9">
              <w:rPr>
                <w:rFonts w:eastAsia="Times New Roman" w:cs="Arial"/>
                <w:sz w:val="20"/>
                <w:szCs w:val="20"/>
              </w:rPr>
              <w:t xml:space="preserve">supplier </w:t>
            </w:r>
            <w:r w:rsidR="004D33C1">
              <w:rPr>
                <w:rFonts w:eastAsia="Times New Roman" w:cs="Arial"/>
                <w:sz w:val="20"/>
                <w:szCs w:val="20"/>
              </w:rPr>
              <w:t>engagement</w:t>
            </w:r>
          </w:p>
          <w:p w14:paraId="56FB0158" w14:textId="77777777" w:rsidR="003F4BF9" w:rsidRDefault="00D205A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Detailed </w:t>
            </w:r>
            <w:r w:rsidR="006E5354">
              <w:rPr>
                <w:rFonts w:eastAsia="Times New Roman" w:cs="Arial"/>
                <w:sz w:val="20"/>
                <w:szCs w:val="20"/>
              </w:rPr>
              <w:t xml:space="preserve">requirements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3F4BF9" w:rsidRPr="003F4BF9">
              <w:rPr>
                <w:rFonts w:eastAsia="Times New Roman" w:cs="Arial"/>
                <w:sz w:val="20"/>
                <w:szCs w:val="20"/>
              </w:rPr>
              <w:t>nalysis</w:t>
            </w:r>
            <w:r w:rsidR="003F4BF9">
              <w:rPr>
                <w:rFonts w:eastAsia="Times New Roman" w:cs="Arial"/>
                <w:sz w:val="20"/>
                <w:szCs w:val="20"/>
              </w:rPr>
              <w:t xml:space="preserve"> and detailed impact assessment of </w:t>
            </w:r>
            <w:r w:rsidR="004F539F">
              <w:rPr>
                <w:rFonts w:eastAsia="Times New Roman" w:cs="Arial"/>
                <w:sz w:val="20"/>
                <w:szCs w:val="20"/>
              </w:rPr>
              <w:t>all XRNs</w:t>
            </w:r>
          </w:p>
          <w:p w14:paraId="766F65E8" w14:textId="77777777" w:rsidR="004F539F" w:rsidRDefault="00D50C4A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High Level and </w:t>
            </w:r>
            <w:r w:rsidR="004F539F" w:rsidRPr="003F4BF9">
              <w:rPr>
                <w:rFonts w:eastAsia="Times New Roman" w:cs="Arial"/>
                <w:sz w:val="20"/>
                <w:szCs w:val="20"/>
              </w:rPr>
              <w:t>Detailed Design</w:t>
            </w:r>
            <w:r w:rsidR="004F539F">
              <w:rPr>
                <w:rFonts w:eastAsia="Times New Roman" w:cs="Arial"/>
                <w:sz w:val="20"/>
                <w:szCs w:val="20"/>
              </w:rPr>
              <w:t xml:space="preserve"> of all changes</w:t>
            </w:r>
          </w:p>
          <w:p w14:paraId="77BAF2F3" w14:textId="5957F835" w:rsidR="0058645A" w:rsidRDefault="00EB0F08" w:rsidP="0058645A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Required</w:t>
            </w:r>
            <w:r w:rsidR="006F33DA">
              <w:rPr>
                <w:rFonts w:eastAsia="Times New Roman" w:cs="Arial"/>
                <w:sz w:val="20"/>
                <w:szCs w:val="20"/>
              </w:rPr>
              <w:t xml:space="preserve"> costs to complete delivery of all changes</w:t>
            </w:r>
          </w:p>
          <w:p w14:paraId="7E7BCCC2" w14:textId="0494F485" w:rsidR="006F33DA" w:rsidRPr="0058645A" w:rsidRDefault="006F33DA" w:rsidP="0058645A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Recommendation of scope for</w:t>
            </w:r>
            <w:r w:rsidR="00CB66D0">
              <w:rPr>
                <w:rFonts w:eastAsia="Times New Roman" w:cs="Arial"/>
                <w:sz w:val="20"/>
                <w:szCs w:val="20"/>
              </w:rPr>
              <w:t xml:space="preserve"> delivery in</w:t>
            </w:r>
            <w:r w:rsidR="00BA218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B66D0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BA2182">
              <w:rPr>
                <w:rFonts w:eastAsia="Times New Roman" w:cs="Arial"/>
                <w:sz w:val="20"/>
                <w:szCs w:val="20"/>
              </w:rPr>
              <w:t xml:space="preserve">November 22 </w:t>
            </w:r>
            <w:r w:rsidR="00CB66D0">
              <w:rPr>
                <w:rFonts w:eastAsia="Times New Roman" w:cs="Arial"/>
                <w:sz w:val="20"/>
                <w:szCs w:val="20"/>
              </w:rPr>
              <w:t>Major R</w:t>
            </w:r>
            <w:r w:rsidR="00BA2182">
              <w:rPr>
                <w:rFonts w:eastAsia="Times New Roman" w:cs="Arial"/>
                <w:sz w:val="20"/>
                <w:szCs w:val="20"/>
              </w:rPr>
              <w:t>elease</w:t>
            </w:r>
            <w:r w:rsidR="00C61450">
              <w:rPr>
                <w:rFonts w:eastAsia="Times New Roman" w:cs="Arial"/>
                <w:sz w:val="20"/>
                <w:szCs w:val="20"/>
              </w:rPr>
              <w:t xml:space="preserve"> and recommendation on how and when </w:t>
            </w:r>
            <w:r w:rsidR="00CB66D0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C61450">
              <w:rPr>
                <w:rFonts w:eastAsia="Times New Roman" w:cs="Arial"/>
                <w:sz w:val="20"/>
                <w:szCs w:val="20"/>
              </w:rPr>
              <w:t xml:space="preserve">remaining changes </w:t>
            </w:r>
            <w:r w:rsidR="00CB66D0">
              <w:rPr>
                <w:rFonts w:eastAsia="Times New Roman" w:cs="Arial"/>
                <w:sz w:val="20"/>
                <w:szCs w:val="20"/>
              </w:rPr>
              <w:t>could be</w:t>
            </w:r>
            <w:r w:rsidR="00C61450">
              <w:rPr>
                <w:rFonts w:eastAsia="Times New Roman" w:cs="Arial"/>
                <w:sz w:val="20"/>
                <w:szCs w:val="20"/>
              </w:rPr>
              <w:t xml:space="preserve"> delivered</w:t>
            </w:r>
          </w:p>
          <w:p w14:paraId="5A07420C" w14:textId="77777777" w:rsidR="007A113D" w:rsidRPr="007A113D" w:rsidRDefault="007A113D" w:rsidP="005B787A">
            <w:pPr>
              <w:rPr>
                <w:rFonts w:eastAsia="Times New Roman" w:cs="Arial"/>
                <w:b/>
                <w:color w:val="3E5AA8"/>
              </w:rPr>
            </w:pPr>
          </w:p>
        </w:tc>
      </w:tr>
      <w:tr w:rsidR="007A113D" w:rsidRPr="007A113D" w14:paraId="0CEB1F8D" w14:textId="77777777" w:rsidTr="5AD2BEBC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612CF37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45202" w14:textId="7970BB4F" w:rsidR="007A113D" w:rsidRPr="007A113D" w:rsidRDefault="00A82B5C" w:rsidP="000D0454">
            <w:pPr>
              <w:rPr>
                <w:rFonts w:eastAsia="Times New Roman" w:cs="Arial"/>
                <w:sz w:val="20"/>
                <w:szCs w:val="16"/>
              </w:rPr>
            </w:pPr>
            <w:r w:rsidRPr="00BF7137">
              <w:rPr>
                <w:rFonts w:eastAsia="Times New Roman" w:cs="Arial"/>
                <w:sz w:val="20"/>
                <w:szCs w:val="16"/>
              </w:rPr>
              <w:t>£</w:t>
            </w:r>
            <w:r w:rsidR="00BF7137" w:rsidRPr="00BF7137">
              <w:rPr>
                <w:rFonts w:eastAsia="Times New Roman" w:cs="Arial"/>
                <w:sz w:val="20"/>
                <w:szCs w:val="16"/>
              </w:rPr>
              <w:t>84</w:t>
            </w:r>
            <w:r w:rsidR="002F75AC">
              <w:rPr>
                <w:rFonts w:eastAsia="Times New Roman" w:cs="Arial"/>
                <w:sz w:val="20"/>
                <w:szCs w:val="16"/>
              </w:rPr>
              <w:t>.3</w:t>
            </w:r>
            <w:r w:rsidRPr="00BF7137">
              <w:rPr>
                <w:rFonts w:eastAsia="Times New Roman" w:cs="Arial"/>
                <w:sz w:val="20"/>
                <w:szCs w:val="16"/>
              </w:rPr>
              <w:t>K</w:t>
            </w:r>
          </w:p>
        </w:tc>
      </w:tr>
      <w:tr w:rsidR="007A113D" w:rsidRPr="007A113D" w14:paraId="559094E8" w14:textId="77777777" w:rsidTr="5AD2BEB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3260B69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27A75A13" w14:textId="77777777" w:rsidTr="5AD2BEB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D795A" w14:textId="77777777" w:rsidR="007A113D" w:rsidRPr="00C0410A" w:rsidRDefault="007A113D" w:rsidP="007A113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C0410A">
              <w:rPr>
                <w:rFonts w:eastAsia="Times New Roman" w:cs="Arial"/>
                <w:i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3259"/>
              <w:gridCol w:w="1842"/>
              <w:gridCol w:w="2414"/>
            </w:tblGrid>
            <w:tr w:rsidR="00240F79" w:rsidRPr="007A113D" w14:paraId="3BD594B3" w14:textId="77777777" w:rsidTr="004E778A">
              <w:tc>
                <w:tcPr>
                  <w:tcW w:w="1903" w:type="dxa"/>
                </w:tcPr>
                <w:p w14:paraId="681528D7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XRN</w:t>
                  </w:r>
                </w:p>
              </w:tc>
              <w:tc>
                <w:tcPr>
                  <w:tcW w:w="3259" w:type="dxa"/>
                  <w:vAlign w:val="center"/>
                </w:tcPr>
                <w:p w14:paraId="0ECCB453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1842" w:type="dxa"/>
                  <w:vAlign w:val="center"/>
                </w:tcPr>
                <w:p w14:paraId="5E2E7D10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2414" w:type="dxa"/>
                  <w:vAlign w:val="center"/>
                </w:tcPr>
                <w:p w14:paraId="3880AF65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40F79" w:rsidRPr="007A113D" w14:paraId="317C9E54" w14:textId="77777777" w:rsidTr="004E778A">
              <w:tc>
                <w:tcPr>
                  <w:tcW w:w="1903" w:type="dxa"/>
                  <w:shd w:val="clear" w:color="auto" w:fill="auto"/>
                </w:tcPr>
                <w:p w14:paraId="0BB67D28" w14:textId="150EE111" w:rsidR="00240F79" w:rsidRPr="001E2C89" w:rsidRDefault="00BB150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49</w:t>
                  </w:r>
                  <w:r w:rsidR="00BA2182">
                    <w:rPr>
                      <w:rFonts w:eastAsia="Times New Roman" w:cs="Arial"/>
                      <w:sz w:val="20"/>
                      <w:szCs w:val="16"/>
                    </w:rPr>
                    <w:t>00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72EC311C" w14:textId="19673DF8" w:rsidR="00240F79" w:rsidRPr="001E2C89" w:rsidRDefault="009A02A2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DN</w:t>
                  </w:r>
                  <w:r w:rsidR="001F42A9">
                    <w:rPr>
                      <w:rFonts w:eastAsia="Times New Roman" w:cs="Arial"/>
                      <w:sz w:val="20"/>
                      <w:szCs w:val="16"/>
                    </w:rPr>
                    <w:t xml:space="preserve"> (Decarb)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A24E73F" w14:textId="461C9980" w:rsidR="00240F79" w:rsidRPr="007A113D" w:rsidRDefault="00432A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14:paraId="24C84144" w14:textId="28ADCD12" w:rsidR="00240F79" w:rsidRPr="007A113D" w:rsidRDefault="00D87C34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Decarb Budget</w:t>
                  </w:r>
                </w:p>
              </w:tc>
            </w:tr>
            <w:tr w:rsidR="00BB1504" w:rsidRPr="007A113D" w14:paraId="1B27DF12" w14:textId="77777777" w:rsidTr="004E778A">
              <w:tc>
                <w:tcPr>
                  <w:tcW w:w="1903" w:type="dxa"/>
                </w:tcPr>
                <w:p w14:paraId="14D2C114" w14:textId="08882F9D" w:rsidR="00BB1504" w:rsidRPr="001E2C89" w:rsidRDefault="00BA2182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4978</w:t>
                  </w:r>
                </w:p>
              </w:tc>
              <w:tc>
                <w:tcPr>
                  <w:tcW w:w="3259" w:type="dxa"/>
                </w:tcPr>
                <w:p w14:paraId="7445D775" w14:textId="2E757FDA" w:rsidR="00BB1504" w:rsidRPr="001E2C89" w:rsidRDefault="001F42A9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679060" w14:textId="12D20CBC" w:rsidR="00BB1504" w:rsidRPr="007A113D" w:rsidRDefault="00432A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3E1A89DE" w14:textId="4961E87C" w:rsidR="00BB1504" w:rsidRPr="007A113D" w:rsidRDefault="00967AC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F92937">
                    <w:rPr>
                      <w:rFonts w:eastAsia="Times New Roman" w:cs="Arial"/>
                      <w:sz w:val="20"/>
                    </w:rPr>
                    <w:t>3,</w:t>
                  </w:r>
                  <w:r w:rsidR="00C641A7">
                    <w:rPr>
                      <w:rFonts w:eastAsia="Times New Roman" w:cs="Arial"/>
                      <w:sz w:val="20"/>
                    </w:rPr>
                    <w:t>700</w:t>
                  </w:r>
                </w:p>
              </w:tc>
            </w:tr>
            <w:tr w:rsidR="00BB1504" w:rsidRPr="007A113D" w14:paraId="78BDF03F" w14:textId="77777777" w:rsidTr="004E778A">
              <w:tc>
                <w:tcPr>
                  <w:tcW w:w="1903" w:type="dxa"/>
                </w:tcPr>
                <w:p w14:paraId="63A56BB6" w14:textId="2E3AE5FC" w:rsidR="00BB1504" w:rsidRPr="000909A7" w:rsidRDefault="00BA2182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4990</w:t>
                  </w:r>
                </w:p>
              </w:tc>
              <w:tc>
                <w:tcPr>
                  <w:tcW w:w="3259" w:type="dxa"/>
                </w:tcPr>
                <w:p w14:paraId="5C220B78" w14:textId="41620DB4" w:rsidR="00BB1504" w:rsidRPr="000909A7" w:rsidRDefault="00F62C41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1ED915" w14:textId="5F2A754E" w:rsidR="00BB1504" w:rsidRPr="000909A7" w:rsidRDefault="00432A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377AAFFB" w14:textId="21061241" w:rsidR="00BB1504" w:rsidRPr="000909A7" w:rsidRDefault="00967AC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7F2E35">
                    <w:rPr>
                      <w:rFonts w:eastAsia="Times New Roman" w:cs="Arial"/>
                      <w:sz w:val="20"/>
                    </w:rPr>
                    <w:t>7,</w:t>
                  </w:r>
                  <w:r w:rsidR="00C641A7">
                    <w:rPr>
                      <w:rFonts w:eastAsia="Times New Roman" w:cs="Arial"/>
                      <w:sz w:val="20"/>
                    </w:rPr>
                    <w:t>2</w:t>
                  </w:r>
                  <w:r w:rsidR="007F2E35">
                    <w:rPr>
                      <w:rFonts w:eastAsia="Times New Roman" w:cs="Arial"/>
                      <w:sz w:val="20"/>
                    </w:rPr>
                    <w:t>50</w:t>
                  </w:r>
                </w:p>
              </w:tc>
            </w:tr>
            <w:tr w:rsidR="00776364" w:rsidRPr="007A113D" w14:paraId="47EA5D26" w14:textId="77777777" w:rsidTr="004E778A">
              <w:tc>
                <w:tcPr>
                  <w:tcW w:w="1903" w:type="dxa"/>
                </w:tcPr>
                <w:p w14:paraId="29B68657" w14:textId="20069FE7" w:rsidR="00776364" w:rsidRDefault="00BA2182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4992</w:t>
                  </w:r>
                </w:p>
              </w:tc>
              <w:tc>
                <w:tcPr>
                  <w:tcW w:w="3259" w:type="dxa"/>
                </w:tcPr>
                <w:p w14:paraId="5A4C8F58" w14:textId="50150BBE" w:rsidR="00776364" w:rsidRPr="000909A7" w:rsidRDefault="00A0104C" w:rsidP="00B72AE8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2417B5" w14:textId="6292D2C7" w:rsidR="00776364" w:rsidRPr="000909A7" w:rsidRDefault="00A0104C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71AE5471" w14:textId="3779DF72" w:rsidR="00776364" w:rsidRPr="000909A7" w:rsidRDefault="00967AC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C641A7">
                    <w:rPr>
                      <w:rFonts w:eastAsia="Times New Roman" w:cs="Arial"/>
                      <w:sz w:val="20"/>
                    </w:rPr>
                    <w:t>11,100</w:t>
                  </w:r>
                </w:p>
              </w:tc>
            </w:tr>
            <w:tr w:rsidR="00776364" w:rsidRPr="007A113D" w14:paraId="07634AC9" w14:textId="77777777" w:rsidTr="004E778A">
              <w:tc>
                <w:tcPr>
                  <w:tcW w:w="1903" w:type="dxa"/>
                </w:tcPr>
                <w:p w14:paraId="05045C71" w14:textId="49CEFBA5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="00BA2182">
                    <w:rPr>
                      <w:rFonts w:eastAsia="Times New Roman" w:cs="Arial"/>
                      <w:sz w:val="20"/>
                      <w:szCs w:val="16"/>
                    </w:rPr>
                    <w:t>091</w:t>
                  </w:r>
                </w:p>
              </w:tc>
              <w:tc>
                <w:tcPr>
                  <w:tcW w:w="3259" w:type="dxa"/>
                </w:tcPr>
                <w:p w14:paraId="135B022B" w14:textId="17307664" w:rsidR="00776364" w:rsidRPr="000909A7" w:rsidRDefault="00B9218D" w:rsidP="00B72AE8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56ED80E" w14:textId="477F504B" w:rsidR="00776364" w:rsidRPr="000909A7" w:rsidRDefault="00B9218D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28635FEA" w14:textId="2A82D6AE" w:rsidR="00776364" w:rsidRPr="000909A7" w:rsidRDefault="00967AC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876ECE">
                    <w:rPr>
                      <w:rFonts w:eastAsia="Times New Roman" w:cs="Arial"/>
                      <w:sz w:val="20"/>
                    </w:rPr>
                    <w:t>1</w:t>
                  </w:r>
                  <w:r w:rsidR="00C641A7">
                    <w:rPr>
                      <w:rFonts w:eastAsia="Times New Roman" w:cs="Arial"/>
                      <w:sz w:val="20"/>
                    </w:rPr>
                    <w:t>6,950</w:t>
                  </w:r>
                </w:p>
              </w:tc>
            </w:tr>
            <w:tr w:rsidR="00AF4B0A" w:rsidRPr="007A113D" w14:paraId="209FB2B0" w14:textId="77777777" w:rsidTr="004E778A">
              <w:tc>
                <w:tcPr>
                  <w:tcW w:w="1903" w:type="dxa"/>
                </w:tcPr>
                <w:p w14:paraId="0738AC08" w14:textId="300B9BF4" w:rsidR="00AF4B0A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="00BA2182">
                    <w:rPr>
                      <w:rFonts w:eastAsia="Times New Roman" w:cs="Arial"/>
                      <w:sz w:val="20"/>
                      <w:szCs w:val="16"/>
                    </w:rPr>
                    <w:t>186</w:t>
                  </w:r>
                </w:p>
              </w:tc>
              <w:tc>
                <w:tcPr>
                  <w:tcW w:w="3259" w:type="dxa"/>
                </w:tcPr>
                <w:p w14:paraId="242C6C6D" w14:textId="52054A20" w:rsidR="00AF4B0A" w:rsidRPr="000909A7" w:rsidRDefault="00611E32" w:rsidP="0034006F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DN / </w:t>
                  </w:r>
                  <w:r w:rsidR="0034006F"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574849F1" w14:textId="2F36EFE0" w:rsidR="00AF4B0A" w:rsidRPr="000909A7" w:rsidRDefault="00611E32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50% / 50%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0B49932C" w14:textId="64627E16" w:rsidR="00AF4B0A" w:rsidRPr="000909A7" w:rsidRDefault="00967AC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</w:t>
                  </w:r>
                  <w:r w:rsidR="002734FB">
                    <w:rPr>
                      <w:rFonts w:eastAsia="Times New Roman" w:cs="Arial"/>
                      <w:sz w:val="20"/>
                    </w:rPr>
                    <w:t>1</w:t>
                  </w:r>
                  <w:r w:rsidR="00C641A7">
                    <w:rPr>
                      <w:rFonts w:eastAsia="Times New Roman" w:cs="Arial"/>
                      <w:sz w:val="20"/>
                    </w:rPr>
                    <w:t>4,000</w:t>
                  </w:r>
                </w:p>
              </w:tc>
            </w:tr>
            <w:tr w:rsidR="00776364" w:rsidRPr="007A113D" w14:paraId="73A99CF7" w14:textId="77777777" w:rsidTr="004E778A">
              <w:tc>
                <w:tcPr>
                  <w:tcW w:w="1903" w:type="dxa"/>
                </w:tcPr>
                <w:p w14:paraId="2996CA27" w14:textId="74453AFC" w:rsidR="00776364" w:rsidRDefault="00611E32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5298</w:t>
                  </w:r>
                </w:p>
              </w:tc>
              <w:tc>
                <w:tcPr>
                  <w:tcW w:w="3259" w:type="dxa"/>
                </w:tcPr>
                <w:p w14:paraId="18D60732" w14:textId="691863D9" w:rsidR="00776364" w:rsidRPr="000909A7" w:rsidRDefault="00912DBE" w:rsidP="0034006F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DN</w:t>
                  </w:r>
                  <w:r w:rsidR="00CE2099">
                    <w:rPr>
                      <w:rFonts w:eastAsia="Times New Roman" w:cs="Arial"/>
                      <w:sz w:val="20"/>
                      <w:szCs w:val="16"/>
                    </w:rPr>
                    <w:t xml:space="preserve"> (</w:t>
                  </w:r>
                  <w:r w:rsidR="00432A79">
                    <w:rPr>
                      <w:rFonts w:eastAsia="Times New Roman" w:cs="Arial"/>
                      <w:sz w:val="20"/>
                      <w:szCs w:val="16"/>
                    </w:rPr>
                    <w:t>Decarb)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DED883" w14:textId="41BA17D5" w:rsidR="00776364" w:rsidRPr="000909A7" w:rsidRDefault="00432A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31250124" w14:textId="0B8D3CBE" w:rsidR="00776364" w:rsidRPr="000909A7" w:rsidRDefault="00D87C34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Decarb Budget</w:t>
                  </w:r>
                </w:p>
              </w:tc>
            </w:tr>
            <w:tr w:rsidR="00240F79" w:rsidRPr="007A113D" w14:paraId="018B2D50" w14:textId="77777777" w:rsidTr="004E778A">
              <w:tc>
                <w:tcPr>
                  <w:tcW w:w="1903" w:type="dxa"/>
                </w:tcPr>
                <w:p w14:paraId="464BB45B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59" w:type="dxa"/>
                </w:tcPr>
                <w:p w14:paraId="6152F19B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0BAC63" w14:textId="178AA789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48E12D14" w14:textId="745F26D2" w:rsidR="00240F79" w:rsidRPr="000E4CCC" w:rsidRDefault="00C103CA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</w:rPr>
                  </w:pPr>
                  <w:r w:rsidRPr="000F4590">
                    <w:rPr>
                      <w:rFonts w:eastAsia="Times New Roman" w:cs="Arial"/>
                      <w:b/>
                      <w:sz w:val="20"/>
                    </w:rPr>
                    <w:t>£</w:t>
                  </w:r>
                  <w:r w:rsidR="0061549D">
                    <w:rPr>
                      <w:rFonts w:eastAsia="Times New Roman" w:cs="Arial"/>
                      <w:b/>
                      <w:sz w:val="20"/>
                    </w:rPr>
                    <w:t>53</w:t>
                  </w:r>
                  <w:r w:rsidR="000F4590" w:rsidRPr="000F4590">
                    <w:rPr>
                      <w:rFonts w:eastAsia="Times New Roman" w:cs="Arial"/>
                      <w:b/>
                      <w:sz w:val="20"/>
                    </w:rPr>
                    <w:t>,</w:t>
                  </w:r>
                  <w:r w:rsidR="0061549D">
                    <w:rPr>
                      <w:rFonts w:eastAsia="Times New Roman" w:cs="Arial"/>
                      <w:b/>
                      <w:sz w:val="20"/>
                    </w:rPr>
                    <w:t>000</w:t>
                  </w:r>
                </w:p>
              </w:tc>
            </w:tr>
          </w:tbl>
          <w:p w14:paraId="53560FC2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BE3BB43" w14:textId="77777777" w:rsidTr="5AD2BEBC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374C9D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16830857" w14:textId="56C8845B" w:rsidR="007A113D" w:rsidRPr="007A113D" w:rsidRDefault="0020257E" w:rsidP="0031497F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 </w:t>
            </w:r>
            <w:r w:rsidR="0031497F">
              <w:rPr>
                <w:rFonts w:eastAsia="Times New Roman" w:cs="Arial"/>
                <w:sz w:val="20"/>
                <w:szCs w:val="16"/>
              </w:rPr>
              <w:t>BER</w:t>
            </w:r>
            <w:r>
              <w:rPr>
                <w:rFonts w:eastAsia="Times New Roman" w:cs="Arial"/>
                <w:sz w:val="20"/>
                <w:szCs w:val="16"/>
              </w:rPr>
              <w:t xml:space="preserve">, for </w:t>
            </w:r>
            <w:r w:rsidR="00000BA6">
              <w:rPr>
                <w:rFonts w:eastAsia="Times New Roman" w:cs="Arial"/>
                <w:sz w:val="20"/>
                <w:szCs w:val="16"/>
              </w:rPr>
              <w:t>November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3D58CF">
              <w:rPr>
                <w:rFonts w:eastAsia="Times New Roman" w:cs="Arial"/>
                <w:sz w:val="20"/>
                <w:szCs w:val="16"/>
              </w:rPr>
              <w:t>20</w:t>
            </w:r>
            <w:r>
              <w:rPr>
                <w:rFonts w:eastAsia="Times New Roman" w:cs="Arial"/>
                <w:sz w:val="20"/>
                <w:szCs w:val="16"/>
              </w:rPr>
              <w:t>2</w:t>
            </w:r>
            <w:r w:rsidR="00526599">
              <w:rPr>
                <w:rFonts w:eastAsia="Times New Roman" w:cs="Arial"/>
                <w:sz w:val="20"/>
                <w:szCs w:val="16"/>
              </w:rPr>
              <w:t>2</w:t>
            </w:r>
            <w:r>
              <w:rPr>
                <w:rFonts w:eastAsia="Times New Roman" w:cs="Arial"/>
                <w:sz w:val="20"/>
                <w:szCs w:val="16"/>
              </w:rPr>
              <w:t>,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will be issued for approval at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the </w:t>
            </w:r>
            <w:r w:rsidR="00330623">
              <w:rPr>
                <w:rFonts w:eastAsia="Times New Roman" w:cs="Arial"/>
                <w:sz w:val="20"/>
                <w:szCs w:val="16"/>
              </w:rPr>
              <w:t>May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202</w:t>
            </w:r>
            <w:r w:rsidR="00526599">
              <w:rPr>
                <w:rFonts w:eastAsia="Times New Roman" w:cs="Arial"/>
                <w:sz w:val="20"/>
                <w:szCs w:val="16"/>
              </w:rPr>
              <w:t>2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ChMC.</w:t>
            </w:r>
          </w:p>
        </w:tc>
      </w:tr>
      <w:tr w:rsidR="007A113D" w:rsidRPr="007A113D" w14:paraId="37239908" w14:textId="77777777" w:rsidTr="5AD2BEBC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2A93C206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01871B01" w14:textId="02683CF3" w:rsidR="007A113D" w:rsidRPr="007A113D" w:rsidRDefault="00380E79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8</w:t>
            </w:r>
            <w:r w:rsidR="007939E6" w:rsidRPr="007939E6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 w:rsidR="007939E6">
              <w:rPr>
                <w:rFonts w:eastAsia="Times New Roman" w:cs="Arial"/>
                <w:sz w:val="20"/>
                <w:szCs w:val="16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</w:rPr>
              <w:t>December 2021</w:t>
            </w:r>
            <w:r w:rsidR="007939E6">
              <w:rPr>
                <w:rFonts w:eastAsia="Times New Roman" w:cs="Arial"/>
                <w:sz w:val="20"/>
                <w:szCs w:val="16"/>
              </w:rPr>
              <w:t xml:space="preserve"> to </w:t>
            </w:r>
            <w:r w:rsidR="00CA0EE7">
              <w:rPr>
                <w:rFonts w:eastAsia="Times New Roman" w:cs="Arial"/>
                <w:sz w:val="20"/>
                <w:szCs w:val="16"/>
              </w:rPr>
              <w:t>1</w:t>
            </w:r>
            <w:r w:rsidR="00823FD6">
              <w:rPr>
                <w:rFonts w:eastAsia="Times New Roman" w:cs="Arial"/>
                <w:sz w:val="20"/>
                <w:szCs w:val="16"/>
              </w:rPr>
              <w:t>1</w:t>
            </w:r>
            <w:r w:rsidR="00137448" w:rsidRPr="00137448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 w:rsidR="00137448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823FD6">
              <w:rPr>
                <w:rFonts w:eastAsia="Times New Roman" w:cs="Arial"/>
                <w:sz w:val="20"/>
                <w:szCs w:val="16"/>
              </w:rPr>
              <w:t>May</w:t>
            </w:r>
            <w:r w:rsidR="00C95DE0">
              <w:rPr>
                <w:rFonts w:eastAsia="Times New Roman" w:cs="Arial"/>
                <w:sz w:val="20"/>
                <w:szCs w:val="16"/>
              </w:rPr>
              <w:t xml:space="preserve"> 202</w:t>
            </w:r>
            <w:r w:rsidR="00CA0EE7">
              <w:rPr>
                <w:rFonts w:eastAsia="Times New Roman" w:cs="Arial"/>
                <w:sz w:val="20"/>
                <w:szCs w:val="16"/>
              </w:rPr>
              <w:t>2</w:t>
            </w:r>
          </w:p>
        </w:tc>
      </w:tr>
      <w:tr w:rsidR="007A113D" w:rsidRPr="007A113D" w14:paraId="3BDA9D38" w14:textId="77777777" w:rsidTr="5AD2BEBC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6BB28D10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09B00078" w14:textId="77777777" w:rsidTr="5AD2BEBC">
        <w:tc>
          <w:tcPr>
            <w:tcW w:w="5000" w:type="pct"/>
            <w:gridSpan w:val="4"/>
            <w:shd w:val="clear" w:color="auto" w:fill="auto"/>
            <w:vAlign w:val="center"/>
          </w:tcPr>
          <w:p w14:paraId="1D464D83" w14:textId="77777777" w:rsidR="007D7D34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2D185BB4" w14:textId="77777777" w:rsidR="00C0410A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Activit</w:t>
            </w:r>
            <w:r w:rsidR="004B68BF">
              <w:rPr>
                <w:rFonts w:eastAsia="Times New Roman" w:cs="Arial"/>
                <w:sz w:val="20"/>
                <w:szCs w:val="20"/>
              </w:rPr>
              <w:t>ies</w:t>
            </w:r>
            <w:r>
              <w:rPr>
                <w:rFonts w:eastAsia="Times New Roman" w:cs="Arial"/>
                <w:sz w:val="20"/>
                <w:szCs w:val="20"/>
              </w:rPr>
              <w:t>/Deliverables</w:t>
            </w:r>
            <w:r w:rsidR="00067FA3">
              <w:rPr>
                <w:rFonts w:eastAsia="Times New Roman" w:cs="Arial"/>
                <w:sz w:val="20"/>
                <w:szCs w:val="20"/>
              </w:rPr>
              <w:t xml:space="preserve"> to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undertaken </w:t>
            </w:r>
            <w:r w:rsidR="007B6FCD">
              <w:rPr>
                <w:rFonts w:eastAsia="Times New Roman" w:cs="Arial"/>
                <w:sz w:val="20"/>
                <w:szCs w:val="20"/>
              </w:rPr>
              <w:t>as a part of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155EE">
              <w:rPr>
                <w:rFonts w:eastAsia="Times New Roman" w:cs="Arial"/>
                <w:sz w:val="20"/>
                <w:szCs w:val="20"/>
              </w:rPr>
              <w:t xml:space="preserve">this </w:t>
            </w:r>
            <w:r w:rsidR="00205454">
              <w:rPr>
                <w:rFonts w:eastAsia="Times New Roman" w:cs="Arial"/>
                <w:sz w:val="20"/>
                <w:szCs w:val="20"/>
              </w:rPr>
              <w:t>EQR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14:paraId="518DFEBC" w14:textId="77777777" w:rsidR="00FF057F" w:rsidRDefault="00FF057F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Baselined 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Detailed </w:t>
            </w:r>
            <w:r>
              <w:rPr>
                <w:rFonts w:eastAsia="Times New Roman" w:cs="Arial"/>
                <w:sz w:val="20"/>
                <w:szCs w:val="20"/>
              </w:rPr>
              <w:t>Functional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 Requirements, </w:t>
            </w:r>
            <w:r>
              <w:rPr>
                <w:rFonts w:eastAsia="Times New Roman" w:cs="Arial"/>
                <w:sz w:val="20"/>
                <w:szCs w:val="20"/>
              </w:rPr>
              <w:t>Non-Functional Requirements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 and Business Rules</w:t>
            </w:r>
          </w:p>
          <w:p w14:paraId="51269478" w14:textId="6BB61F34" w:rsidR="007D7D34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High-Level Design Document</w:t>
            </w:r>
            <w:r w:rsidR="008F1D1C">
              <w:rPr>
                <w:sz w:val="20"/>
                <w:szCs w:val="20"/>
              </w:rPr>
              <w:t xml:space="preserve"> for all</w:t>
            </w:r>
            <w:r w:rsidR="00E9409D">
              <w:rPr>
                <w:sz w:val="20"/>
                <w:szCs w:val="20"/>
              </w:rPr>
              <w:t xml:space="preserve"> </w:t>
            </w:r>
            <w:r w:rsidR="002B17A9">
              <w:rPr>
                <w:sz w:val="20"/>
                <w:szCs w:val="20"/>
              </w:rPr>
              <w:t>impacted Xoserve systems</w:t>
            </w:r>
          </w:p>
          <w:p w14:paraId="501AA93E" w14:textId="3E98BDC4" w:rsidR="00C0410A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 xml:space="preserve">Detailed Design Document(s) for all </w:t>
            </w:r>
            <w:r w:rsidR="002B17A9">
              <w:rPr>
                <w:sz w:val="20"/>
                <w:szCs w:val="20"/>
              </w:rPr>
              <w:t>impacted Xoserve systems</w:t>
            </w:r>
          </w:p>
          <w:p w14:paraId="29DB8DB6" w14:textId="52D9C6CB" w:rsidR="007D7D34" w:rsidRPr="007D7D34" w:rsidRDefault="008E2669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and updated </w:t>
            </w:r>
            <w:r w:rsidR="007D7D34" w:rsidRPr="007D7D34">
              <w:rPr>
                <w:sz w:val="20"/>
                <w:szCs w:val="20"/>
              </w:rPr>
              <w:t>Functional Specifications and Non</w:t>
            </w:r>
            <w:r w:rsidR="00FB10A0">
              <w:rPr>
                <w:sz w:val="20"/>
                <w:szCs w:val="20"/>
              </w:rPr>
              <w:t>-</w:t>
            </w:r>
            <w:r w:rsidR="007D7D34" w:rsidRPr="007D7D34">
              <w:rPr>
                <w:sz w:val="20"/>
                <w:szCs w:val="20"/>
              </w:rPr>
              <w:t>SAP Design Documents where applicable</w:t>
            </w:r>
          </w:p>
          <w:p w14:paraId="00E391F2" w14:textId="77777777" w:rsidR="00420FD1" w:rsidRDefault="00420FD1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</w:t>
            </w:r>
            <w:r w:rsidRPr="007D7D34">
              <w:rPr>
                <w:sz w:val="20"/>
                <w:szCs w:val="20"/>
              </w:rPr>
              <w:t>ef</w:t>
            </w:r>
            <w:r>
              <w:rPr>
                <w:sz w:val="20"/>
                <w:szCs w:val="20"/>
              </w:rPr>
              <w:t xml:space="preserve">ined </w:t>
            </w:r>
            <w:r w:rsidRPr="007D7D34">
              <w:rPr>
                <w:sz w:val="20"/>
                <w:szCs w:val="20"/>
              </w:rPr>
              <w:t>Security Design (e.g., authorisation and authentication framework)</w:t>
            </w:r>
            <w:r>
              <w:rPr>
                <w:sz w:val="20"/>
                <w:szCs w:val="20"/>
              </w:rPr>
              <w:t xml:space="preserve"> or each change</w:t>
            </w:r>
          </w:p>
          <w:p w14:paraId="3562B1F4" w14:textId="77777777" w:rsidR="00420FD1" w:rsidRDefault="00420FD1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scenarios for each change</w:t>
            </w:r>
          </w:p>
          <w:p w14:paraId="2651AA98" w14:textId="77777777" w:rsidR="00420FD1" w:rsidRDefault="00420FD1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approach considerations and requirements for each individual change that can be used to formulate the eventual implementation approach for any Release containing the change(s)</w:t>
            </w:r>
          </w:p>
          <w:p w14:paraId="1B4D1DD5" w14:textId="64A2D5A8" w:rsidR="0082648D" w:rsidRDefault="007331B9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 of any data cleanse, update or migration activities required to support the change</w:t>
            </w:r>
          </w:p>
          <w:p w14:paraId="260A5D11" w14:textId="77777777" w:rsidR="00420FD1" w:rsidRDefault="00420FD1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breakdown </w:t>
            </w:r>
            <w:r w:rsidRPr="007D7D34">
              <w:rPr>
                <w:sz w:val="20"/>
                <w:szCs w:val="20"/>
              </w:rPr>
              <w:t xml:space="preserve">of any impacts to </w:t>
            </w:r>
            <w:r>
              <w:rPr>
                <w:sz w:val="20"/>
                <w:szCs w:val="20"/>
              </w:rPr>
              <w:t xml:space="preserve">Maintain the </w:t>
            </w:r>
            <w:r w:rsidRPr="007D7D3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usiness (MTB)</w:t>
            </w:r>
            <w:r w:rsidRPr="007D7D34">
              <w:rPr>
                <w:sz w:val="20"/>
                <w:szCs w:val="20"/>
              </w:rPr>
              <w:t xml:space="preserve"> costs </w:t>
            </w:r>
            <w:r>
              <w:rPr>
                <w:sz w:val="20"/>
                <w:szCs w:val="20"/>
              </w:rPr>
              <w:t>that can be expected following implementation of the changes,</w:t>
            </w:r>
            <w:r w:rsidRPr="007D7D34">
              <w:rPr>
                <w:sz w:val="20"/>
                <w:szCs w:val="20"/>
              </w:rPr>
              <w:t xml:space="preserve"> with re</w:t>
            </w:r>
            <w:r>
              <w:rPr>
                <w:sz w:val="20"/>
                <w:szCs w:val="20"/>
              </w:rPr>
              <w:t>levant supporting information.</w:t>
            </w:r>
          </w:p>
          <w:p w14:paraId="76A11277" w14:textId="77777777" w:rsidR="00420FD1" w:rsidRDefault="00420FD1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updates to ChMC and on Xoserve.com as well as responding to queries relating to the detailed design of each change</w:t>
            </w:r>
          </w:p>
          <w:p w14:paraId="5C3C4FAE" w14:textId="77777777" w:rsidR="001F294F" w:rsidRDefault="001F294F" w:rsidP="001F294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of design change packs for each change, for approval by ChMC</w:t>
            </w:r>
          </w:p>
          <w:p w14:paraId="4C9355B4" w14:textId="77777777" w:rsidR="000303CF" w:rsidRPr="007D7D34" w:rsidRDefault="000303CF" w:rsidP="000303CF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 xml:space="preserve">Full delivery plan option(s) for each individual change to include each </w:t>
            </w:r>
            <w:r>
              <w:rPr>
                <w:sz w:val="20"/>
                <w:szCs w:val="20"/>
              </w:rPr>
              <w:t xml:space="preserve">remaining </w:t>
            </w:r>
            <w:r w:rsidRPr="007D7D34">
              <w:rPr>
                <w:sz w:val="20"/>
                <w:szCs w:val="20"/>
              </w:rPr>
              <w:t>project lifecycle stage</w:t>
            </w:r>
            <w:r>
              <w:rPr>
                <w:sz w:val="20"/>
                <w:szCs w:val="20"/>
              </w:rPr>
              <w:t xml:space="preserve"> </w:t>
            </w:r>
            <w:r w:rsidRPr="007D7D34">
              <w:rPr>
                <w:sz w:val="20"/>
                <w:szCs w:val="20"/>
              </w:rPr>
              <w:t>(Build and Unit Test/System Testing/System Integration Testing/Performance and Regression Testing//User Acceptance Testing/Implementation/P</w:t>
            </w:r>
            <w:r>
              <w:rPr>
                <w:sz w:val="20"/>
                <w:szCs w:val="20"/>
              </w:rPr>
              <w:t xml:space="preserve">ost </w:t>
            </w:r>
            <w:r w:rsidRPr="007D7D3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mplementation </w:t>
            </w:r>
            <w:r w:rsidRPr="007D7D3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upport</w:t>
            </w:r>
            <w:r w:rsidRPr="007D7D34">
              <w:rPr>
                <w:sz w:val="20"/>
                <w:szCs w:val="20"/>
              </w:rPr>
              <w:t>).</w:t>
            </w:r>
          </w:p>
          <w:p w14:paraId="4B4BAE63" w14:textId="77777777" w:rsidR="000303CF" w:rsidRPr="00FF057F" w:rsidRDefault="000303CF" w:rsidP="000303CF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D7D34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>s</w:t>
            </w:r>
            <w:r w:rsidRPr="007D7D34">
              <w:rPr>
                <w:sz w:val="20"/>
                <w:szCs w:val="20"/>
              </w:rPr>
              <w:t xml:space="preserve">, per change, for undertaking each </w:t>
            </w:r>
            <w:r>
              <w:rPr>
                <w:sz w:val="20"/>
                <w:szCs w:val="20"/>
              </w:rPr>
              <w:t xml:space="preserve">remaining </w:t>
            </w:r>
            <w:r w:rsidRPr="007D7D34">
              <w:rPr>
                <w:sz w:val="20"/>
                <w:szCs w:val="20"/>
              </w:rPr>
              <w:t>project stage (Build and Unit Test/System Testing/System Integration Testing/Performance and Regression Testing//User Acceptance Testing/Implementation/P</w:t>
            </w:r>
            <w:r>
              <w:rPr>
                <w:sz w:val="20"/>
                <w:szCs w:val="20"/>
              </w:rPr>
              <w:t>ost Implementation Support</w:t>
            </w:r>
            <w:r w:rsidRPr="007D7D34">
              <w:rPr>
                <w:sz w:val="20"/>
                <w:szCs w:val="20"/>
              </w:rPr>
              <w:t>)</w:t>
            </w:r>
          </w:p>
          <w:p w14:paraId="1169658C" w14:textId="77777777" w:rsidR="007A113D" w:rsidRDefault="007D7D34" w:rsidP="00420FD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 xml:space="preserve">Environment and data requirements </w:t>
            </w:r>
            <w:r w:rsidR="004F62D4">
              <w:rPr>
                <w:sz w:val="20"/>
                <w:szCs w:val="20"/>
              </w:rPr>
              <w:t xml:space="preserve">to support </w:t>
            </w:r>
            <w:r w:rsidR="00E73AFF">
              <w:rPr>
                <w:sz w:val="20"/>
                <w:szCs w:val="20"/>
              </w:rPr>
              <w:t xml:space="preserve">build, test and implementation </w:t>
            </w:r>
            <w:r w:rsidRPr="007D7D34">
              <w:rPr>
                <w:sz w:val="20"/>
                <w:szCs w:val="20"/>
              </w:rPr>
              <w:t xml:space="preserve">for </w:t>
            </w:r>
            <w:r w:rsidR="00CB71FC">
              <w:rPr>
                <w:sz w:val="20"/>
                <w:szCs w:val="20"/>
              </w:rPr>
              <w:t>each change</w:t>
            </w:r>
          </w:p>
          <w:p w14:paraId="0BA9BC78" w14:textId="13F4DEBC" w:rsidR="00420FD1" w:rsidRPr="00BE4F98" w:rsidRDefault="00BE4F98" w:rsidP="00BE4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Unless specifically stated, documents produced will be for internal</w:t>
            </w:r>
            <w:r w:rsidR="000B754D">
              <w:rPr>
                <w:sz w:val="20"/>
                <w:szCs w:val="20"/>
              </w:rPr>
              <w:t xml:space="preserve"> Xoserve/Correla</w:t>
            </w:r>
            <w:r>
              <w:rPr>
                <w:sz w:val="20"/>
                <w:szCs w:val="20"/>
              </w:rPr>
              <w:t xml:space="preserve"> review and not shared with ChMC</w:t>
            </w:r>
          </w:p>
        </w:tc>
      </w:tr>
    </w:tbl>
    <w:p w14:paraId="400EA9E6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0D98C023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1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380FC18D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7"/>
        <w:gridCol w:w="1217"/>
        <w:gridCol w:w="1492"/>
        <w:gridCol w:w="3843"/>
      </w:tblGrid>
      <w:tr w:rsidR="007A113D" w:rsidRPr="007A113D" w14:paraId="15362D29" w14:textId="77777777" w:rsidTr="00CD6259">
        <w:trPr>
          <w:trHeight w:val="611"/>
        </w:trPr>
        <w:tc>
          <w:tcPr>
            <w:tcW w:w="888" w:type="pct"/>
            <w:shd w:val="clear" w:color="auto" w:fill="D6DCF0" w:themeFill="accent1" w:themeFillTint="33"/>
            <w:vAlign w:val="center"/>
          </w:tcPr>
          <w:p w14:paraId="4F8118F6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22" w:type="pct"/>
            <w:shd w:val="clear" w:color="auto" w:fill="D6DCF0" w:themeFill="accent1" w:themeFillTint="33"/>
            <w:vAlign w:val="center"/>
          </w:tcPr>
          <w:p w14:paraId="26A76DEF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11" w:type="pct"/>
            <w:shd w:val="clear" w:color="auto" w:fill="D6DCF0" w:themeFill="accent1" w:themeFillTint="33"/>
            <w:vAlign w:val="center"/>
          </w:tcPr>
          <w:p w14:paraId="00313821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49" w:type="pct"/>
            <w:shd w:val="clear" w:color="auto" w:fill="D6DCF0" w:themeFill="accent1" w:themeFillTint="33"/>
            <w:vAlign w:val="center"/>
          </w:tcPr>
          <w:p w14:paraId="7B42F65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30" w:type="pct"/>
            <w:shd w:val="clear" w:color="auto" w:fill="D6DCF0" w:themeFill="accent1" w:themeFillTint="33"/>
            <w:vAlign w:val="center"/>
          </w:tcPr>
          <w:p w14:paraId="52F17C30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14:paraId="40932B6E" w14:textId="77777777" w:rsidTr="00CD6259">
        <w:tc>
          <w:tcPr>
            <w:tcW w:w="888" w:type="pct"/>
          </w:tcPr>
          <w:p w14:paraId="5A6F2AB3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22" w:type="pct"/>
          </w:tcPr>
          <w:p w14:paraId="75C606B1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48FBA332" w14:textId="75AFFD38" w:rsidR="007A113D" w:rsidRPr="007A113D" w:rsidRDefault="00D30763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</w:t>
            </w:r>
            <w:r w:rsidR="007F213B">
              <w:rPr>
                <w:rFonts w:eastAsia="Times New Roman" w:cs="Arial"/>
                <w:sz w:val="20"/>
                <w:szCs w:val="20"/>
              </w:rPr>
              <w:t>/</w:t>
            </w:r>
            <w:r>
              <w:rPr>
                <w:rFonts w:eastAsia="Times New Roman" w:cs="Arial"/>
                <w:sz w:val="20"/>
                <w:szCs w:val="20"/>
              </w:rPr>
              <w:t>11</w:t>
            </w:r>
            <w:r w:rsidR="00E523E4">
              <w:rPr>
                <w:rFonts w:eastAsia="Times New Roman" w:cs="Arial"/>
                <w:sz w:val="20"/>
                <w:szCs w:val="20"/>
              </w:rPr>
              <w:t>/202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749" w:type="pct"/>
          </w:tcPr>
          <w:p w14:paraId="78B08868" w14:textId="6C189936" w:rsidR="007A113D" w:rsidRPr="007A113D" w:rsidRDefault="00B32AC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 Hopkins</w:t>
            </w:r>
          </w:p>
        </w:tc>
        <w:tc>
          <w:tcPr>
            <w:tcW w:w="1930" w:type="pct"/>
          </w:tcPr>
          <w:p w14:paraId="276DF66B" w14:textId="0FD7A264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Initial </w:t>
            </w:r>
            <w:r w:rsidR="004F48E8">
              <w:rPr>
                <w:rFonts w:eastAsia="Times New Roman" w:cs="Arial"/>
                <w:sz w:val="20"/>
                <w:szCs w:val="20"/>
              </w:rPr>
              <w:t>d</w:t>
            </w:r>
            <w:r>
              <w:rPr>
                <w:rFonts w:eastAsia="Times New Roman" w:cs="Arial"/>
                <w:sz w:val="20"/>
                <w:szCs w:val="20"/>
              </w:rPr>
              <w:t>raft</w:t>
            </w:r>
            <w:r w:rsidR="00960E92">
              <w:rPr>
                <w:rFonts w:eastAsia="Times New Roman" w:cs="Arial"/>
                <w:sz w:val="20"/>
                <w:szCs w:val="20"/>
              </w:rPr>
              <w:t xml:space="preserve"> for</w:t>
            </w:r>
            <w:r w:rsidR="00335666">
              <w:rPr>
                <w:rFonts w:eastAsia="Times New Roman" w:cs="Arial"/>
                <w:sz w:val="20"/>
                <w:szCs w:val="20"/>
              </w:rPr>
              <w:t xml:space="preserve"> internal</w:t>
            </w:r>
            <w:r w:rsidR="00960E92">
              <w:rPr>
                <w:rFonts w:eastAsia="Times New Roman" w:cs="Arial"/>
                <w:sz w:val="20"/>
                <w:szCs w:val="20"/>
              </w:rPr>
              <w:t xml:space="preserve"> review</w:t>
            </w:r>
          </w:p>
        </w:tc>
      </w:tr>
      <w:tr w:rsidR="0054749A" w:rsidRPr="007A113D" w14:paraId="3A510E27" w14:textId="77777777" w:rsidTr="00CD6259">
        <w:tc>
          <w:tcPr>
            <w:tcW w:w="888" w:type="pct"/>
          </w:tcPr>
          <w:p w14:paraId="68F5FC84" w14:textId="68E1059D" w:rsidR="0054749A" w:rsidRDefault="004F4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22" w:type="pct"/>
          </w:tcPr>
          <w:p w14:paraId="3FE540D3" w14:textId="04257CBE" w:rsidR="0054749A" w:rsidRDefault="004F4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review</w:t>
            </w:r>
          </w:p>
        </w:tc>
        <w:tc>
          <w:tcPr>
            <w:tcW w:w="611" w:type="pct"/>
          </w:tcPr>
          <w:p w14:paraId="58F4B591" w14:textId="6709344B" w:rsidR="0054749A" w:rsidRDefault="004F4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18/11/2021</w:t>
            </w:r>
          </w:p>
        </w:tc>
        <w:tc>
          <w:tcPr>
            <w:tcW w:w="749" w:type="pct"/>
          </w:tcPr>
          <w:p w14:paraId="3EE6707D" w14:textId="5E9F3B78" w:rsidR="0054749A" w:rsidRDefault="004F4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 Hopkins</w:t>
            </w:r>
          </w:p>
        </w:tc>
        <w:tc>
          <w:tcPr>
            <w:tcW w:w="1930" w:type="pct"/>
          </w:tcPr>
          <w:p w14:paraId="29764C12" w14:textId="3B4ADA31" w:rsidR="0054749A" w:rsidRDefault="004F4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Final draft for </w:t>
            </w:r>
            <w:r w:rsidR="00335666">
              <w:rPr>
                <w:rFonts w:eastAsia="Times New Roman" w:cs="Arial"/>
                <w:sz w:val="20"/>
                <w:szCs w:val="20"/>
              </w:rPr>
              <w:t>internal approval</w:t>
            </w:r>
          </w:p>
        </w:tc>
      </w:tr>
      <w:tr w:rsidR="00626D17" w:rsidRPr="007A113D" w14:paraId="4E9513A8" w14:textId="77777777" w:rsidTr="00CD6259">
        <w:tc>
          <w:tcPr>
            <w:tcW w:w="888" w:type="pct"/>
          </w:tcPr>
          <w:p w14:paraId="5298D02C" w14:textId="044B91BD" w:rsidR="00626D17" w:rsidRDefault="008874F3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0.3c</w:t>
            </w:r>
          </w:p>
        </w:tc>
        <w:tc>
          <w:tcPr>
            <w:tcW w:w="822" w:type="pct"/>
          </w:tcPr>
          <w:p w14:paraId="4B77184D" w14:textId="3B80E34B" w:rsidR="00626D17" w:rsidRDefault="008874F3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DSC+</w:t>
            </w:r>
          </w:p>
        </w:tc>
        <w:tc>
          <w:tcPr>
            <w:tcW w:w="611" w:type="pct"/>
          </w:tcPr>
          <w:p w14:paraId="32EC2687" w14:textId="0CC24172" w:rsidR="00626D17" w:rsidRDefault="008874F3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19/11/2021</w:t>
            </w:r>
          </w:p>
        </w:tc>
        <w:tc>
          <w:tcPr>
            <w:tcW w:w="749" w:type="pct"/>
          </w:tcPr>
          <w:p w14:paraId="288ED9BE" w14:textId="5A2E8D1E" w:rsidR="00626D17" w:rsidRDefault="008874F3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 Hopkins</w:t>
            </w:r>
          </w:p>
        </w:tc>
        <w:tc>
          <w:tcPr>
            <w:tcW w:w="1930" w:type="pct"/>
          </w:tcPr>
          <w:p w14:paraId="0B44198E" w14:textId="6F918EA4" w:rsidR="00626D17" w:rsidRDefault="00D95DF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for DSC+ approval</w:t>
            </w:r>
          </w:p>
        </w:tc>
      </w:tr>
      <w:tr w:rsidR="00D95DFA" w:rsidRPr="007A113D" w14:paraId="44B5CCD1" w14:textId="77777777" w:rsidTr="00CD6259">
        <w:tc>
          <w:tcPr>
            <w:tcW w:w="888" w:type="pct"/>
          </w:tcPr>
          <w:p w14:paraId="1FBF6114" w14:textId="39C2A50D" w:rsidR="00D95DFA" w:rsidRDefault="003345B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0.4</w:t>
            </w:r>
          </w:p>
        </w:tc>
        <w:tc>
          <w:tcPr>
            <w:tcW w:w="822" w:type="pct"/>
          </w:tcPr>
          <w:p w14:paraId="0BFBFDC2" w14:textId="651FBA94" w:rsidR="00D95DFA" w:rsidRDefault="003345B1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 by DSC+</w:t>
            </w:r>
          </w:p>
        </w:tc>
        <w:tc>
          <w:tcPr>
            <w:tcW w:w="611" w:type="pct"/>
          </w:tcPr>
          <w:p w14:paraId="5D42A583" w14:textId="6BA45691" w:rsidR="00D95DFA" w:rsidRDefault="00FF526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24/11/2021</w:t>
            </w:r>
          </w:p>
        </w:tc>
        <w:tc>
          <w:tcPr>
            <w:tcW w:w="749" w:type="pct"/>
          </w:tcPr>
          <w:p w14:paraId="60D4689B" w14:textId="40521F1F" w:rsidR="00D95DFA" w:rsidRDefault="00FF526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 Hopkins</w:t>
            </w:r>
          </w:p>
        </w:tc>
        <w:tc>
          <w:tcPr>
            <w:tcW w:w="1930" w:type="pct"/>
          </w:tcPr>
          <w:p w14:paraId="4FBDF03A" w14:textId="42F0E611" w:rsidR="00D95DFA" w:rsidRDefault="00FF5262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 by DSC+ for review by Xoserve and submission to ChMC</w:t>
            </w:r>
          </w:p>
        </w:tc>
      </w:tr>
      <w:tr w:rsidR="00FF5262" w:rsidRPr="007A113D" w14:paraId="08161596" w14:textId="77777777" w:rsidTr="00CD6259">
        <w:tc>
          <w:tcPr>
            <w:tcW w:w="888" w:type="pct"/>
          </w:tcPr>
          <w:p w14:paraId="25713E1F" w14:textId="291357D1" w:rsidR="00FF5262" w:rsidRDefault="001241DC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0.5</w:t>
            </w:r>
          </w:p>
        </w:tc>
        <w:tc>
          <w:tcPr>
            <w:tcW w:w="822" w:type="pct"/>
          </w:tcPr>
          <w:p w14:paraId="0468DF44" w14:textId="28BDA9C4" w:rsidR="00FF5262" w:rsidRDefault="001241DC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approval</w:t>
            </w:r>
          </w:p>
        </w:tc>
        <w:tc>
          <w:tcPr>
            <w:tcW w:w="611" w:type="pct"/>
          </w:tcPr>
          <w:p w14:paraId="4649E96D" w14:textId="69315D12" w:rsidR="00FF5262" w:rsidRDefault="001241DC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25/11/2021</w:t>
            </w:r>
          </w:p>
        </w:tc>
        <w:tc>
          <w:tcPr>
            <w:tcW w:w="749" w:type="pct"/>
          </w:tcPr>
          <w:p w14:paraId="1C8CDD81" w14:textId="6775AC7D" w:rsidR="00FF5262" w:rsidRDefault="001241DC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 Hopkins</w:t>
            </w:r>
          </w:p>
        </w:tc>
        <w:tc>
          <w:tcPr>
            <w:tcW w:w="1930" w:type="pct"/>
          </w:tcPr>
          <w:p w14:paraId="631A6EB6" w14:textId="6BE0DDF1" w:rsidR="00FF5262" w:rsidRDefault="00C81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Incorporating Xoserve comments and amendments</w:t>
            </w:r>
          </w:p>
        </w:tc>
      </w:tr>
      <w:tr w:rsidR="00C818E8" w:rsidRPr="007A113D" w14:paraId="167E02E2" w14:textId="77777777" w:rsidTr="00CD6259">
        <w:tc>
          <w:tcPr>
            <w:tcW w:w="888" w:type="pct"/>
          </w:tcPr>
          <w:p w14:paraId="0BD32C13" w14:textId="5CA27AE8" w:rsidR="00C818E8" w:rsidRDefault="00C81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2" w:type="pct"/>
          </w:tcPr>
          <w:p w14:paraId="3F4E94F7" w14:textId="77777777" w:rsidR="00C818E8" w:rsidRDefault="00C81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B5AD2F" w14:textId="77777777" w:rsidR="00C818E8" w:rsidRDefault="00C81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9" w:type="pct"/>
          </w:tcPr>
          <w:p w14:paraId="08C1BBAB" w14:textId="77777777" w:rsidR="00C818E8" w:rsidRDefault="00C81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30" w:type="pct"/>
          </w:tcPr>
          <w:p w14:paraId="0B494F90" w14:textId="77777777" w:rsidR="00C818E8" w:rsidRDefault="00C818E8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8200147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385"/>
        <w:gridCol w:w="1519"/>
        <w:gridCol w:w="1384"/>
        <w:gridCol w:w="2073"/>
        <w:gridCol w:w="3596"/>
      </w:tblGrid>
      <w:tr w:rsidR="007A113D" w:rsidRPr="007A113D" w14:paraId="655644EA" w14:textId="77777777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DDD431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2215A5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9A53D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3341F67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1A5811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14:paraId="35AD6747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399EC4FC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AF7DAA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318D049A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09F6550D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4A2983AD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14:paraId="3CB32213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585FEA0E" w14:textId="77777777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lastRenderedPageBreak/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2A2FE10" w14:textId="77777777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1F9A9FD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11FB4A9F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Heather Spensley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706A650A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Moved onto Xoserve’s new Word template in line with new branding</w:t>
            </w:r>
          </w:p>
        </w:tc>
      </w:tr>
    </w:tbl>
    <w:p w14:paraId="3F2F0D0B" w14:textId="77777777" w:rsidR="00D66C7E" w:rsidRPr="00D66C7E" w:rsidRDefault="00D66C7E" w:rsidP="00D66C7E">
      <w:r>
        <w:br w:type="textWrapping" w:clear="all"/>
      </w:r>
    </w:p>
    <w:sectPr w:rsidR="00D66C7E" w:rsidRPr="00D66C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7FE4" w14:textId="77777777" w:rsidR="000B2506" w:rsidRDefault="000B2506" w:rsidP="00324744">
      <w:pPr>
        <w:spacing w:after="0" w:line="240" w:lineRule="auto"/>
      </w:pPr>
      <w:r>
        <w:separator/>
      </w:r>
    </w:p>
  </w:endnote>
  <w:endnote w:type="continuationSeparator" w:id="0">
    <w:p w14:paraId="32659BD1" w14:textId="77777777" w:rsidR="000B2506" w:rsidRDefault="000B250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3F2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1B9C9" wp14:editId="32911A9A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7D7D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A446" w14:textId="77777777" w:rsidR="000B2506" w:rsidRDefault="000B2506" w:rsidP="00324744">
      <w:pPr>
        <w:spacing w:after="0" w:line="240" w:lineRule="auto"/>
      </w:pPr>
      <w:r>
        <w:separator/>
      </w:r>
    </w:p>
  </w:footnote>
  <w:footnote w:type="continuationSeparator" w:id="0">
    <w:p w14:paraId="7DDB2B51" w14:textId="77777777" w:rsidR="000B2506" w:rsidRDefault="000B250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AA5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B815" wp14:editId="0BF0F27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7A87D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542"/>
    <w:multiLevelType w:val="hybridMultilevel"/>
    <w:tmpl w:val="3C4E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CF9"/>
    <w:multiLevelType w:val="hybridMultilevel"/>
    <w:tmpl w:val="B6B2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73C"/>
    <w:multiLevelType w:val="hybridMultilevel"/>
    <w:tmpl w:val="5CD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BA6"/>
    <w:rsid w:val="0000140B"/>
    <w:rsid w:val="000303CF"/>
    <w:rsid w:val="0003052A"/>
    <w:rsid w:val="0003370E"/>
    <w:rsid w:val="0004205A"/>
    <w:rsid w:val="00045C27"/>
    <w:rsid w:val="00055D54"/>
    <w:rsid w:val="0006249B"/>
    <w:rsid w:val="00067613"/>
    <w:rsid w:val="00067FA3"/>
    <w:rsid w:val="00087AB7"/>
    <w:rsid w:val="000909A7"/>
    <w:rsid w:val="00091138"/>
    <w:rsid w:val="0009211B"/>
    <w:rsid w:val="000A1A72"/>
    <w:rsid w:val="000A1AD1"/>
    <w:rsid w:val="000A33A2"/>
    <w:rsid w:val="000A789C"/>
    <w:rsid w:val="000A7ADF"/>
    <w:rsid w:val="000B20E2"/>
    <w:rsid w:val="000B2506"/>
    <w:rsid w:val="000B54C7"/>
    <w:rsid w:val="000B5B98"/>
    <w:rsid w:val="000B754D"/>
    <w:rsid w:val="000D0454"/>
    <w:rsid w:val="000D0B76"/>
    <w:rsid w:val="000D6559"/>
    <w:rsid w:val="000E4CCC"/>
    <w:rsid w:val="000F4590"/>
    <w:rsid w:val="0010163E"/>
    <w:rsid w:val="00104F1F"/>
    <w:rsid w:val="001108D1"/>
    <w:rsid w:val="00117154"/>
    <w:rsid w:val="001178BC"/>
    <w:rsid w:val="001241DC"/>
    <w:rsid w:val="00125B61"/>
    <w:rsid w:val="001328C2"/>
    <w:rsid w:val="00137448"/>
    <w:rsid w:val="00144E00"/>
    <w:rsid w:val="00151BE5"/>
    <w:rsid w:val="00152E99"/>
    <w:rsid w:val="001615C2"/>
    <w:rsid w:val="0017550E"/>
    <w:rsid w:val="00175E55"/>
    <w:rsid w:val="00181047"/>
    <w:rsid w:val="001835AB"/>
    <w:rsid w:val="001A7B6A"/>
    <w:rsid w:val="001B0B95"/>
    <w:rsid w:val="001B20E5"/>
    <w:rsid w:val="001C1BC1"/>
    <w:rsid w:val="001C3241"/>
    <w:rsid w:val="001C7CA9"/>
    <w:rsid w:val="001D363B"/>
    <w:rsid w:val="001E0DAB"/>
    <w:rsid w:val="001E2C89"/>
    <w:rsid w:val="001E5AEA"/>
    <w:rsid w:val="001F294F"/>
    <w:rsid w:val="001F42A9"/>
    <w:rsid w:val="001F4A05"/>
    <w:rsid w:val="0020257E"/>
    <w:rsid w:val="002030B8"/>
    <w:rsid w:val="00205454"/>
    <w:rsid w:val="00207A7F"/>
    <w:rsid w:val="002104EC"/>
    <w:rsid w:val="0021201F"/>
    <w:rsid w:val="002244E1"/>
    <w:rsid w:val="00225B5A"/>
    <w:rsid w:val="00226D34"/>
    <w:rsid w:val="00235D5F"/>
    <w:rsid w:val="00240F79"/>
    <w:rsid w:val="00247E0C"/>
    <w:rsid w:val="00250552"/>
    <w:rsid w:val="0025435D"/>
    <w:rsid w:val="002620C0"/>
    <w:rsid w:val="002627D3"/>
    <w:rsid w:val="002734FB"/>
    <w:rsid w:val="002761FA"/>
    <w:rsid w:val="00285E75"/>
    <w:rsid w:val="002A0FE7"/>
    <w:rsid w:val="002B17A9"/>
    <w:rsid w:val="002B3A6A"/>
    <w:rsid w:val="002C48EF"/>
    <w:rsid w:val="002D1217"/>
    <w:rsid w:val="002D6B86"/>
    <w:rsid w:val="002E1314"/>
    <w:rsid w:val="002E44FD"/>
    <w:rsid w:val="002F75AC"/>
    <w:rsid w:val="003113B1"/>
    <w:rsid w:val="00312524"/>
    <w:rsid w:val="0031497F"/>
    <w:rsid w:val="0031753D"/>
    <w:rsid w:val="0031770D"/>
    <w:rsid w:val="00320294"/>
    <w:rsid w:val="00324744"/>
    <w:rsid w:val="00330623"/>
    <w:rsid w:val="00332551"/>
    <w:rsid w:val="003345B1"/>
    <w:rsid w:val="00334EAA"/>
    <w:rsid w:val="00335666"/>
    <w:rsid w:val="0034006F"/>
    <w:rsid w:val="00343FF2"/>
    <w:rsid w:val="00344BA4"/>
    <w:rsid w:val="00345F99"/>
    <w:rsid w:val="003520FA"/>
    <w:rsid w:val="0036067B"/>
    <w:rsid w:val="0036480A"/>
    <w:rsid w:val="003709E6"/>
    <w:rsid w:val="00380E79"/>
    <w:rsid w:val="00384C7D"/>
    <w:rsid w:val="00387F9E"/>
    <w:rsid w:val="00392D4E"/>
    <w:rsid w:val="00395E46"/>
    <w:rsid w:val="003A1A27"/>
    <w:rsid w:val="003C5F6B"/>
    <w:rsid w:val="003D0470"/>
    <w:rsid w:val="003D58CF"/>
    <w:rsid w:val="003E5CF4"/>
    <w:rsid w:val="003E68C4"/>
    <w:rsid w:val="003F4BF9"/>
    <w:rsid w:val="003F7B86"/>
    <w:rsid w:val="00404190"/>
    <w:rsid w:val="00410912"/>
    <w:rsid w:val="00414E5B"/>
    <w:rsid w:val="004155EE"/>
    <w:rsid w:val="004156D9"/>
    <w:rsid w:val="00420FD1"/>
    <w:rsid w:val="00426807"/>
    <w:rsid w:val="004274EA"/>
    <w:rsid w:val="00432A79"/>
    <w:rsid w:val="00433E94"/>
    <w:rsid w:val="00436A9A"/>
    <w:rsid w:val="0044426A"/>
    <w:rsid w:val="00451A47"/>
    <w:rsid w:val="00457E06"/>
    <w:rsid w:val="004614BF"/>
    <w:rsid w:val="0046194E"/>
    <w:rsid w:val="004621BF"/>
    <w:rsid w:val="004720DB"/>
    <w:rsid w:val="0047418A"/>
    <w:rsid w:val="00487136"/>
    <w:rsid w:val="00491F83"/>
    <w:rsid w:val="0049226A"/>
    <w:rsid w:val="00492F5B"/>
    <w:rsid w:val="0049347C"/>
    <w:rsid w:val="004A213D"/>
    <w:rsid w:val="004A2DB9"/>
    <w:rsid w:val="004B68BF"/>
    <w:rsid w:val="004C609D"/>
    <w:rsid w:val="004D0908"/>
    <w:rsid w:val="004D2A60"/>
    <w:rsid w:val="004D33C1"/>
    <w:rsid w:val="004E778A"/>
    <w:rsid w:val="004F1975"/>
    <w:rsid w:val="004F3362"/>
    <w:rsid w:val="004F48E8"/>
    <w:rsid w:val="004F539F"/>
    <w:rsid w:val="004F62D4"/>
    <w:rsid w:val="004F6551"/>
    <w:rsid w:val="00510FB9"/>
    <w:rsid w:val="005165A0"/>
    <w:rsid w:val="00517F6F"/>
    <w:rsid w:val="00526599"/>
    <w:rsid w:val="0054749A"/>
    <w:rsid w:val="00552286"/>
    <w:rsid w:val="0055298E"/>
    <w:rsid w:val="005544BD"/>
    <w:rsid w:val="005652BE"/>
    <w:rsid w:val="00565C5B"/>
    <w:rsid w:val="00566102"/>
    <w:rsid w:val="00574728"/>
    <w:rsid w:val="00584739"/>
    <w:rsid w:val="0058645A"/>
    <w:rsid w:val="00586557"/>
    <w:rsid w:val="00586836"/>
    <w:rsid w:val="0059282C"/>
    <w:rsid w:val="005A6656"/>
    <w:rsid w:val="005B24B6"/>
    <w:rsid w:val="005B28DE"/>
    <w:rsid w:val="005B4665"/>
    <w:rsid w:val="005B787A"/>
    <w:rsid w:val="005E1631"/>
    <w:rsid w:val="00603B6F"/>
    <w:rsid w:val="00605167"/>
    <w:rsid w:val="00611E32"/>
    <w:rsid w:val="0061549D"/>
    <w:rsid w:val="00617008"/>
    <w:rsid w:val="00624FD2"/>
    <w:rsid w:val="00626D17"/>
    <w:rsid w:val="00635062"/>
    <w:rsid w:val="00640B26"/>
    <w:rsid w:val="00640E9D"/>
    <w:rsid w:val="00643C3E"/>
    <w:rsid w:val="00662FBA"/>
    <w:rsid w:val="00666E1D"/>
    <w:rsid w:val="006828F3"/>
    <w:rsid w:val="006909AD"/>
    <w:rsid w:val="006A1415"/>
    <w:rsid w:val="006A1A05"/>
    <w:rsid w:val="006B566B"/>
    <w:rsid w:val="006C7426"/>
    <w:rsid w:val="006D075A"/>
    <w:rsid w:val="006D6B42"/>
    <w:rsid w:val="006E5354"/>
    <w:rsid w:val="006E6528"/>
    <w:rsid w:val="006F1A6B"/>
    <w:rsid w:val="006F33DA"/>
    <w:rsid w:val="006F343E"/>
    <w:rsid w:val="007122BC"/>
    <w:rsid w:val="00717778"/>
    <w:rsid w:val="00722E91"/>
    <w:rsid w:val="007243D3"/>
    <w:rsid w:val="00725321"/>
    <w:rsid w:val="007331B9"/>
    <w:rsid w:val="00740C6B"/>
    <w:rsid w:val="00744671"/>
    <w:rsid w:val="00752242"/>
    <w:rsid w:val="007524B6"/>
    <w:rsid w:val="00752BF1"/>
    <w:rsid w:val="007543CC"/>
    <w:rsid w:val="00765989"/>
    <w:rsid w:val="00773AE3"/>
    <w:rsid w:val="00774F28"/>
    <w:rsid w:val="00776364"/>
    <w:rsid w:val="00780074"/>
    <w:rsid w:val="007930A7"/>
    <w:rsid w:val="007939E6"/>
    <w:rsid w:val="00795245"/>
    <w:rsid w:val="007A113D"/>
    <w:rsid w:val="007A3111"/>
    <w:rsid w:val="007A56DB"/>
    <w:rsid w:val="007B0384"/>
    <w:rsid w:val="007B6FCD"/>
    <w:rsid w:val="007C7057"/>
    <w:rsid w:val="007D4F26"/>
    <w:rsid w:val="007D7073"/>
    <w:rsid w:val="007D7D34"/>
    <w:rsid w:val="007E30A9"/>
    <w:rsid w:val="007E5485"/>
    <w:rsid w:val="007F213B"/>
    <w:rsid w:val="007F2E35"/>
    <w:rsid w:val="007F5950"/>
    <w:rsid w:val="00804EFE"/>
    <w:rsid w:val="00811211"/>
    <w:rsid w:val="00813949"/>
    <w:rsid w:val="00822CF0"/>
    <w:rsid w:val="00823FD6"/>
    <w:rsid w:val="0082648D"/>
    <w:rsid w:val="00831D58"/>
    <w:rsid w:val="00845F11"/>
    <w:rsid w:val="00851563"/>
    <w:rsid w:val="00852E88"/>
    <w:rsid w:val="00861FD7"/>
    <w:rsid w:val="00870664"/>
    <w:rsid w:val="008746D4"/>
    <w:rsid w:val="00876B91"/>
    <w:rsid w:val="00876ECE"/>
    <w:rsid w:val="00886EDB"/>
    <w:rsid w:val="008874F3"/>
    <w:rsid w:val="008A327D"/>
    <w:rsid w:val="008B7933"/>
    <w:rsid w:val="008C7E49"/>
    <w:rsid w:val="008D3DE5"/>
    <w:rsid w:val="008D46A4"/>
    <w:rsid w:val="008D6E14"/>
    <w:rsid w:val="008E2669"/>
    <w:rsid w:val="008F1D1C"/>
    <w:rsid w:val="008F529C"/>
    <w:rsid w:val="00902B0B"/>
    <w:rsid w:val="00904641"/>
    <w:rsid w:val="00907651"/>
    <w:rsid w:val="00912DBE"/>
    <w:rsid w:val="00915E65"/>
    <w:rsid w:val="009314E8"/>
    <w:rsid w:val="00954294"/>
    <w:rsid w:val="00960E92"/>
    <w:rsid w:val="009658AB"/>
    <w:rsid w:val="00967ACA"/>
    <w:rsid w:val="0097215F"/>
    <w:rsid w:val="0098074D"/>
    <w:rsid w:val="00990831"/>
    <w:rsid w:val="00992DEF"/>
    <w:rsid w:val="009944A4"/>
    <w:rsid w:val="00996E71"/>
    <w:rsid w:val="00997ACD"/>
    <w:rsid w:val="009A02A2"/>
    <w:rsid w:val="009D3C23"/>
    <w:rsid w:val="009D63D3"/>
    <w:rsid w:val="009E0673"/>
    <w:rsid w:val="009F7D92"/>
    <w:rsid w:val="00A0104C"/>
    <w:rsid w:val="00A05013"/>
    <w:rsid w:val="00A131BD"/>
    <w:rsid w:val="00A13243"/>
    <w:rsid w:val="00A25FEC"/>
    <w:rsid w:val="00A30386"/>
    <w:rsid w:val="00A41AE9"/>
    <w:rsid w:val="00A65176"/>
    <w:rsid w:val="00A82B5C"/>
    <w:rsid w:val="00A87173"/>
    <w:rsid w:val="00A877F7"/>
    <w:rsid w:val="00A95637"/>
    <w:rsid w:val="00AB5B54"/>
    <w:rsid w:val="00AB63DE"/>
    <w:rsid w:val="00AD47DD"/>
    <w:rsid w:val="00AD53D0"/>
    <w:rsid w:val="00AD5477"/>
    <w:rsid w:val="00AD6E52"/>
    <w:rsid w:val="00AF34E2"/>
    <w:rsid w:val="00AF4B0A"/>
    <w:rsid w:val="00B12C0C"/>
    <w:rsid w:val="00B14E8B"/>
    <w:rsid w:val="00B32AC1"/>
    <w:rsid w:val="00B35A54"/>
    <w:rsid w:val="00B37D9F"/>
    <w:rsid w:val="00B4282A"/>
    <w:rsid w:val="00B479A2"/>
    <w:rsid w:val="00B677AA"/>
    <w:rsid w:val="00B72AE8"/>
    <w:rsid w:val="00B7369A"/>
    <w:rsid w:val="00B741A2"/>
    <w:rsid w:val="00B75BA5"/>
    <w:rsid w:val="00B9218D"/>
    <w:rsid w:val="00BA2182"/>
    <w:rsid w:val="00BB059D"/>
    <w:rsid w:val="00BB1504"/>
    <w:rsid w:val="00BD0A45"/>
    <w:rsid w:val="00BE04AE"/>
    <w:rsid w:val="00BE4F98"/>
    <w:rsid w:val="00BF7137"/>
    <w:rsid w:val="00C0179C"/>
    <w:rsid w:val="00C0410A"/>
    <w:rsid w:val="00C103CA"/>
    <w:rsid w:val="00C10845"/>
    <w:rsid w:val="00C2406A"/>
    <w:rsid w:val="00C263CD"/>
    <w:rsid w:val="00C34ABF"/>
    <w:rsid w:val="00C371C7"/>
    <w:rsid w:val="00C5105A"/>
    <w:rsid w:val="00C56167"/>
    <w:rsid w:val="00C5677B"/>
    <w:rsid w:val="00C61450"/>
    <w:rsid w:val="00C641A7"/>
    <w:rsid w:val="00C818E8"/>
    <w:rsid w:val="00C91717"/>
    <w:rsid w:val="00C95DE0"/>
    <w:rsid w:val="00C97A2F"/>
    <w:rsid w:val="00CA0EE7"/>
    <w:rsid w:val="00CB66D0"/>
    <w:rsid w:val="00CB71FC"/>
    <w:rsid w:val="00CC157E"/>
    <w:rsid w:val="00CD01EE"/>
    <w:rsid w:val="00CD272E"/>
    <w:rsid w:val="00CD6259"/>
    <w:rsid w:val="00CD770C"/>
    <w:rsid w:val="00CE2099"/>
    <w:rsid w:val="00CE691D"/>
    <w:rsid w:val="00CE6D81"/>
    <w:rsid w:val="00CF1E2F"/>
    <w:rsid w:val="00D01E39"/>
    <w:rsid w:val="00D043EB"/>
    <w:rsid w:val="00D066C5"/>
    <w:rsid w:val="00D11247"/>
    <w:rsid w:val="00D15EC4"/>
    <w:rsid w:val="00D205AD"/>
    <w:rsid w:val="00D20DDD"/>
    <w:rsid w:val="00D30763"/>
    <w:rsid w:val="00D31E04"/>
    <w:rsid w:val="00D3406E"/>
    <w:rsid w:val="00D473CE"/>
    <w:rsid w:val="00D50C4A"/>
    <w:rsid w:val="00D608A2"/>
    <w:rsid w:val="00D66C7E"/>
    <w:rsid w:val="00D67773"/>
    <w:rsid w:val="00D87C34"/>
    <w:rsid w:val="00D9006A"/>
    <w:rsid w:val="00D900B1"/>
    <w:rsid w:val="00D93217"/>
    <w:rsid w:val="00D95DFA"/>
    <w:rsid w:val="00DB1806"/>
    <w:rsid w:val="00DB3B37"/>
    <w:rsid w:val="00DC0DE1"/>
    <w:rsid w:val="00DC4386"/>
    <w:rsid w:val="00DC71C3"/>
    <w:rsid w:val="00DD5308"/>
    <w:rsid w:val="00DE1F2E"/>
    <w:rsid w:val="00DF69F3"/>
    <w:rsid w:val="00E03DBB"/>
    <w:rsid w:val="00E21853"/>
    <w:rsid w:val="00E23769"/>
    <w:rsid w:val="00E320A9"/>
    <w:rsid w:val="00E42BBF"/>
    <w:rsid w:val="00E51CD1"/>
    <w:rsid w:val="00E523E4"/>
    <w:rsid w:val="00E727D1"/>
    <w:rsid w:val="00E73AFF"/>
    <w:rsid w:val="00E76017"/>
    <w:rsid w:val="00E86F8D"/>
    <w:rsid w:val="00E9409D"/>
    <w:rsid w:val="00E95E53"/>
    <w:rsid w:val="00EB0746"/>
    <w:rsid w:val="00EB0F08"/>
    <w:rsid w:val="00EC070C"/>
    <w:rsid w:val="00ED0464"/>
    <w:rsid w:val="00ED38E9"/>
    <w:rsid w:val="00ED5EE6"/>
    <w:rsid w:val="00EE0A27"/>
    <w:rsid w:val="00EE3109"/>
    <w:rsid w:val="00EE7A11"/>
    <w:rsid w:val="00EF395A"/>
    <w:rsid w:val="00EF3A02"/>
    <w:rsid w:val="00EF4ACA"/>
    <w:rsid w:val="00F04B46"/>
    <w:rsid w:val="00F1096E"/>
    <w:rsid w:val="00F167FA"/>
    <w:rsid w:val="00F168AF"/>
    <w:rsid w:val="00F31E37"/>
    <w:rsid w:val="00F35765"/>
    <w:rsid w:val="00F40122"/>
    <w:rsid w:val="00F4117C"/>
    <w:rsid w:val="00F43D25"/>
    <w:rsid w:val="00F55FB5"/>
    <w:rsid w:val="00F62C41"/>
    <w:rsid w:val="00F72C62"/>
    <w:rsid w:val="00F81935"/>
    <w:rsid w:val="00F9107A"/>
    <w:rsid w:val="00F92937"/>
    <w:rsid w:val="00F95876"/>
    <w:rsid w:val="00FA6DCD"/>
    <w:rsid w:val="00FB10A0"/>
    <w:rsid w:val="00FC7E70"/>
    <w:rsid w:val="00FD5F6F"/>
    <w:rsid w:val="00FE4B53"/>
    <w:rsid w:val="00FF057F"/>
    <w:rsid w:val="00FF5262"/>
    <w:rsid w:val="1253B9A4"/>
    <w:rsid w:val="1CC8BC75"/>
    <w:rsid w:val="2405D11D"/>
    <w:rsid w:val="4F653B50"/>
    <w:rsid w:val="5A10A324"/>
    <w:rsid w:val="5AD2BEBC"/>
    <w:rsid w:val="5D2C5D82"/>
    <w:rsid w:val="7E5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0D79"/>
  <w15:docId w15:val="{02F2C41E-C6D0-401F-A205-0B5F353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141F2-A689-4446-9373-5FB53C4CD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3</cp:revision>
  <dcterms:created xsi:type="dcterms:W3CDTF">2021-11-29T13:55:00Z</dcterms:created>
  <dcterms:modified xsi:type="dcterms:W3CDTF">2021-11-29T13:56:00Z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