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79F67" w14:textId="10661B42" w:rsidR="00D66C7E" w:rsidRPr="001C2268" w:rsidRDefault="00EA73B3" w:rsidP="00EA73B3">
      <w:pPr>
        <w:pStyle w:val="Title"/>
        <w:jc w:val="center"/>
        <w:rPr>
          <w:szCs w:val="48"/>
        </w:rPr>
      </w:pPr>
      <w:r w:rsidRPr="001C2268">
        <w:rPr>
          <w:szCs w:val="48"/>
        </w:rPr>
        <w:t>DSC Change Completion Report (CCR)</w:t>
      </w:r>
    </w:p>
    <w:p w14:paraId="67279F68" w14:textId="36BF3759" w:rsidR="00EA73B3" w:rsidRDefault="00EA73B3" w:rsidP="00D66C7E">
      <w:r>
        <w:rPr>
          <w:noProof/>
        </w:rPr>
        <w:drawing>
          <wp:anchor distT="0" distB="0" distL="114300" distR="114300" simplePos="0" relativeHeight="251664896" behindDoc="0" locked="0" layoutInCell="1" allowOverlap="1" wp14:anchorId="67279F85" wp14:editId="0FD02F43">
            <wp:simplePos x="0" y="0"/>
            <wp:positionH relativeFrom="column">
              <wp:posOffset>826770</wp:posOffset>
            </wp:positionH>
            <wp:positionV relativeFrom="paragraph">
              <wp:posOffset>110927</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p>
    <w:p w14:paraId="00F32253" w14:textId="3FFA09AD" w:rsidR="00EA73B3" w:rsidRDefault="00EA73B3" w:rsidP="00EA73B3"/>
    <w:p w14:paraId="2EBB5376" w14:textId="77777777" w:rsidR="00EA73B3" w:rsidRDefault="00EA73B3" w:rsidP="00EA73B3"/>
    <w:tbl>
      <w:tblPr>
        <w:tblStyle w:val="TableGrid1"/>
        <w:tblW w:w="5256" w:type="pct"/>
        <w:tblLayout w:type="fixed"/>
        <w:tblLook w:val="04A0" w:firstRow="1" w:lastRow="0" w:firstColumn="1" w:lastColumn="0" w:noHBand="0" w:noVBand="1"/>
      </w:tblPr>
      <w:tblGrid>
        <w:gridCol w:w="4394"/>
        <w:gridCol w:w="5084"/>
      </w:tblGrid>
      <w:tr w:rsidR="00EA73B3" w:rsidRPr="00EA73B3" w14:paraId="1601AE27" w14:textId="77777777" w:rsidTr="0A57A144">
        <w:tc>
          <w:tcPr>
            <w:tcW w:w="2318" w:type="pct"/>
            <w:shd w:val="clear" w:color="auto" w:fill="FFFFFF" w:themeFill="background1"/>
            <w:vAlign w:val="center"/>
          </w:tcPr>
          <w:p w14:paraId="4180B42D" w14:textId="77777777" w:rsidR="00EA73B3" w:rsidRPr="00EA73B3" w:rsidRDefault="00EA73B3" w:rsidP="00EA73B3">
            <w:pPr>
              <w:rPr>
                <w:rFonts w:eastAsia="Times New Roman" w:cs="Arial"/>
                <w:b/>
                <w:sz w:val="20"/>
                <w:szCs w:val="16"/>
              </w:rPr>
            </w:pPr>
            <w:r w:rsidRPr="00EA73B3">
              <w:rPr>
                <w:rFonts w:eastAsia="Times New Roman" w:cs="Arial"/>
                <w:b/>
                <w:sz w:val="20"/>
                <w:szCs w:val="16"/>
              </w:rPr>
              <w:t>Change Title</w:t>
            </w:r>
          </w:p>
        </w:tc>
        <w:tc>
          <w:tcPr>
            <w:tcW w:w="2682" w:type="pct"/>
          </w:tcPr>
          <w:p w14:paraId="018CEA35" w14:textId="7F7D3C17" w:rsidR="00EA73B3" w:rsidRPr="00C97339" w:rsidRDefault="00E454D2" w:rsidP="00141275">
            <w:pPr>
              <w:pStyle w:val="Heading1"/>
              <w:spacing w:before="0"/>
              <w:textAlignment w:val="baseline"/>
              <w:outlineLvl w:val="0"/>
              <w:rPr>
                <w:rFonts w:asciiTheme="minorHAnsi" w:hAnsiTheme="minorHAnsi" w:cstheme="minorHAnsi"/>
                <w:b w:val="0"/>
                <w:bCs w:val="0"/>
                <w:color w:val="auto"/>
                <w:sz w:val="20"/>
                <w:szCs w:val="20"/>
              </w:rPr>
            </w:pPr>
            <w:r w:rsidRPr="00C97339">
              <w:rPr>
                <w:rStyle w:val="smaller"/>
                <w:rFonts w:asciiTheme="minorHAnsi" w:hAnsiTheme="minorHAnsi" w:cstheme="minorHAnsi"/>
                <w:b w:val="0"/>
                <w:bCs w:val="0"/>
                <w:color w:val="auto"/>
                <w:sz w:val="20"/>
                <w:szCs w:val="20"/>
                <w:bdr w:val="none" w:sz="0" w:space="0" w:color="auto" w:frame="1"/>
              </w:rPr>
              <w:t>Resource to support the Retail Energy Code (REC)</w:t>
            </w:r>
          </w:p>
        </w:tc>
      </w:tr>
      <w:tr w:rsidR="00EA73B3" w:rsidRPr="00EA73B3" w14:paraId="06D4D571" w14:textId="77777777" w:rsidTr="0A57A144">
        <w:tc>
          <w:tcPr>
            <w:tcW w:w="2318" w:type="pct"/>
            <w:shd w:val="clear" w:color="auto" w:fill="FFFFFF" w:themeFill="background1"/>
            <w:vAlign w:val="center"/>
          </w:tcPr>
          <w:p w14:paraId="5982B8CD" w14:textId="77777777" w:rsidR="00EA73B3" w:rsidRPr="00EA73B3" w:rsidRDefault="00EA73B3" w:rsidP="00EA73B3">
            <w:pPr>
              <w:rPr>
                <w:rFonts w:eastAsia="Times New Roman" w:cs="Arial"/>
                <w:b/>
                <w:sz w:val="20"/>
                <w:szCs w:val="16"/>
              </w:rPr>
            </w:pPr>
            <w:r w:rsidRPr="00EA73B3">
              <w:rPr>
                <w:rFonts w:eastAsia="Times New Roman" w:cs="Arial"/>
                <w:b/>
                <w:sz w:val="20"/>
                <w:szCs w:val="16"/>
              </w:rPr>
              <w:t>Change reference number (XRN)</w:t>
            </w:r>
          </w:p>
        </w:tc>
        <w:tc>
          <w:tcPr>
            <w:tcW w:w="2682" w:type="pct"/>
          </w:tcPr>
          <w:p w14:paraId="06F88361" w14:textId="62C7A9AB" w:rsidR="00EA73B3" w:rsidRPr="00C97339" w:rsidRDefault="00370843" w:rsidP="00195A39">
            <w:pPr>
              <w:rPr>
                <w:rFonts w:asciiTheme="minorHAnsi" w:eastAsia="Times New Roman" w:hAnsiTheme="minorHAnsi" w:cstheme="minorHAnsi"/>
                <w:sz w:val="20"/>
                <w:szCs w:val="20"/>
              </w:rPr>
            </w:pPr>
            <w:r w:rsidRPr="00C97339">
              <w:rPr>
                <w:rFonts w:asciiTheme="minorHAnsi" w:eastAsia="Times New Roman" w:hAnsiTheme="minorHAnsi" w:cstheme="minorHAnsi"/>
                <w:sz w:val="20"/>
                <w:szCs w:val="20"/>
              </w:rPr>
              <w:t>XRN</w:t>
            </w:r>
            <w:r w:rsidR="00E454D2" w:rsidRPr="00C97339">
              <w:rPr>
                <w:rFonts w:asciiTheme="minorHAnsi" w:eastAsia="Times New Roman" w:hAnsiTheme="minorHAnsi" w:cstheme="minorHAnsi"/>
                <w:sz w:val="20"/>
                <w:szCs w:val="20"/>
              </w:rPr>
              <w:t>5</w:t>
            </w:r>
            <w:r w:rsidR="0026279B" w:rsidRPr="00C97339">
              <w:rPr>
                <w:rFonts w:asciiTheme="minorHAnsi" w:eastAsia="Times New Roman" w:hAnsiTheme="minorHAnsi" w:cstheme="minorHAnsi"/>
                <w:sz w:val="20"/>
                <w:szCs w:val="20"/>
              </w:rPr>
              <w:t>485</w:t>
            </w:r>
          </w:p>
        </w:tc>
      </w:tr>
      <w:tr w:rsidR="00EA73B3" w:rsidRPr="00EA73B3" w14:paraId="1D6C8AD7" w14:textId="77777777" w:rsidTr="0A57A144">
        <w:tc>
          <w:tcPr>
            <w:tcW w:w="2318" w:type="pct"/>
            <w:tcBorders>
              <w:bottom w:val="single" w:sz="4" w:space="0" w:color="auto"/>
            </w:tcBorders>
            <w:shd w:val="clear" w:color="auto" w:fill="FFFFFF" w:themeFill="background1"/>
            <w:vAlign w:val="center"/>
          </w:tcPr>
          <w:p w14:paraId="2E0D022E" w14:textId="182D2CD2" w:rsidR="00EA73B3" w:rsidRPr="00EA73B3" w:rsidRDefault="00EA73B3" w:rsidP="00EA73B3">
            <w:pPr>
              <w:rPr>
                <w:rFonts w:eastAsia="Times New Roman" w:cs="Arial"/>
                <w:b/>
                <w:sz w:val="20"/>
                <w:szCs w:val="16"/>
              </w:rPr>
            </w:pPr>
            <w:r w:rsidRPr="00EA73B3">
              <w:rPr>
                <w:rFonts w:eastAsia="Times New Roman" w:cs="Arial"/>
                <w:b/>
                <w:sz w:val="20"/>
                <w:szCs w:val="16"/>
              </w:rPr>
              <w:t xml:space="preserve">Xoserve </w:t>
            </w:r>
            <w:r w:rsidR="00141275">
              <w:rPr>
                <w:rFonts w:eastAsia="Times New Roman" w:cs="Arial"/>
                <w:b/>
                <w:sz w:val="20"/>
                <w:szCs w:val="16"/>
              </w:rPr>
              <w:t>Lead</w:t>
            </w:r>
            <w:r w:rsidRPr="00EA73B3">
              <w:rPr>
                <w:rFonts w:eastAsia="Times New Roman" w:cs="Arial"/>
                <w:b/>
                <w:sz w:val="20"/>
                <w:szCs w:val="16"/>
              </w:rPr>
              <w:t xml:space="preserve">  </w:t>
            </w:r>
          </w:p>
        </w:tc>
        <w:tc>
          <w:tcPr>
            <w:tcW w:w="2682" w:type="pct"/>
            <w:tcBorders>
              <w:bottom w:val="single" w:sz="4" w:space="0" w:color="auto"/>
            </w:tcBorders>
          </w:tcPr>
          <w:p w14:paraId="4419660B" w14:textId="3471D599" w:rsidR="00EA73B3" w:rsidRPr="00C97339" w:rsidRDefault="006C3674" w:rsidP="0A57A144">
            <w:pPr>
              <w:rPr>
                <w:rFonts w:asciiTheme="minorHAnsi" w:eastAsia="Times New Roman" w:hAnsiTheme="minorHAnsi" w:cstheme="minorHAnsi"/>
                <w:sz w:val="20"/>
                <w:szCs w:val="20"/>
              </w:rPr>
            </w:pPr>
            <w:r w:rsidRPr="00C97339">
              <w:rPr>
                <w:rFonts w:asciiTheme="minorHAnsi" w:eastAsia="Times New Roman" w:hAnsiTheme="minorHAnsi" w:cstheme="minorHAnsi"/>
                <w:sz w:val="20"/>
                <w:szCs w:val="20"/>
              </w:rPr>
              <w:t>Ellie Rogers</w:t>
            </w:r>
          </w:p>
        </w:tc>
      </w:tr>
      <w:tr w:rsidR="00EA73B3" w:rsidRPr="00EA73B3" w14:paraId="2390A8AC" w14:textId="77777777" w:rsidTr="0A57A144">
        <w:tc>
          <w:tcPr>
            <w:tcW w:w="2318" w:type="pct"/>
            <w:tcBorders>
              <w:bottom w:val="single" w:sz="4" w:space="0" w:color="auto"/>
            </w:tcBorders>
            <w:shd w:val="clear" w:color="auto" w:fill="FFFFFF" w:themeFill="background1"/>
            <w:vAlign w:val="center"/>
          </w:tcPr>
          <w:p w14:paraId="68172196" w14:textId="77777777" w:rsidR="00EA73B3" w:rsidRPr="00EA73B3" w:rsidRDefault="00EA73B3" w:rsidP="00EA73B3">
            <w:pPr>
              <w:rPr>
                <w:rFonts w:eastAsia="Times New Roman" w:cs="Arial"/>
                <w:b/>
                <w:sz w:val="20"/>
                <w:szCs w:val="16"/>
              </w:rPr>
            </w:pPr>
            <w:r w:rsidRPr="00EA73B3">
              <w:rPr>
                <w:rFonts w:eastAsia="Times New Roman" w:cs="Arial"/>
                <w:b/>
                <w:sz w:val="20"/>
                <w:szCs w:val="16"/>
              </w:rPr>
              <w:t>Email address</w:t>
            </w:r>
          </w:p>
        </w:tc>
        <w:tc>
          <w:tcPr>
            <w:tcW w:w="2682" w:type="pct"/>
            <w:tcBorders>
              <w:bottom w:val="single" w:sz="4" w:space="0" w:color="auto"/>
            </w:tcBorders>
          </w:tcPr>
          <w:p w14:paraId="5A705C45" w14:textId="4E51BEB6" w:rsidR="00EA73B3" w:rsidRPr="00C97339" w:rsidRDefault="00286394" w:rsidP="0A57A144">
            <w:pPr>
              <w:rPr>
                <w:rFonts w:asciiTheme="minorHAnsi" w:eastAsia="Times New Roman" w:hAnsiTheme="minorHAnsi" w:cstheme="minorHAnsi"/>
                <w:sz w:val="20"/>
                <w:szCs w:val="20"/>
              </w:rPr>
            </w:pPr>
            <w:hyperlink r:id="rId11" w:history="1">
              <w:r w:rsidR="0080420F" w:rsidRPr="00C97339">
                <w:rPr>
                  <w:rStyle w:val="Hyperlink"/>
                  <w:rFonts w:asciiTheme="minorHAnsi" w:eastAsia="Times New Roman" w:hAnsiTheme="minorHAnsi" w:cstheme="minorHAnsi"/>
                  <w:sz w:val="20"/>
                  <w:szCs w:val="20"/>
                </w:rPr>
                <w:t>Ellie.rogers@xoserve.com</w:t>
              </w:r>
            </w:hyperlink>
          </w:p>
        </w:tc>
      </w:tr>
      <w:tr w:rsidR="00EA73B3" w:rsidRPr="00EA73B3" w14:paraId="3B9ABC1E" w14:textId="77777777" w:rsidTr="0A57A144">
        <w:tc>
          <w:tcPr>
            <w:tcW w:w="2318" w:type="pct"/>
            <w:tcBorders>
              <w:bottom w:val="single" w:sz="4" w:space="0" w:color="auto"/>
            </w:tcBorders>
            <w:shd w:val="clear" w:color="auto" w:fill="FFFFFF" w:themeFill="background1"/>
            <w:vAlign w:val="center"/>
          </w:tcPr>
          <w:p w14:paraId="7FA38DA5" w14:textId="77777777" w:rsidR="00EA73B3" w:rsidRPr="00EA73B3" w:rsidRDefault="00EA73B3" w:rsidP="00EA73B3">
            <w:pPr>
              <w:rPr>
                <w:rFonts w:eastAsia="Times New Roman" w:cs="Arial"/>
                <w:b/>
                <w:sz w:val="20"/>
                <w:szCs w:val="16"/>
              </w:rPr>
            </w:pPr>
            <w:r w:rsidRPr="00EA73B3">
              <w:rPr>
                <w:rFonts w:eastAsia="Times New Roman" w:cs="Arial"/>
                <w:b/>
                <w:sz w:val="20"/>
                <w:szCs w:val="16"/>
              </w:rPr>
              <w:t>Contact number</w:t>
            </w:r>
          </w:p>
        </w:tc>
        <w:tc>
          <w:tcPr>
            <w:tcW w:w="2682" w:type="pct"/>
            <w:tcBorders>
              <w:bottom w:val="single" w:sz="4" w:space="0" w:color="auto"/>
            </w:tcBorders>
          </w:tcPr>
          <w:p w14:paraId="407DF7DD" w14:textId="31ABA767" w:rsidR="00EA73B3" w:rsidRPr="00C97339" w:rsidRDefault="0000665F" w:rsidP="0A57A144">
            <w:pPr>
              <w:rPr>
                <w:rFonts w:asciiTheme="minorHAnsi" w:eastAsia="Times New Roman" w:hAnsiTheme="minorHAnsi" w:cstheme="minorHAnsi"/>
                <w:sz w:val="20"/>
                <w:szCs w:val="20"/>
              </w:rPr>
            </w:pPr>
            <w:r w:rsidRPr="00C97339">
              <w:rPr>
                <w:rFonts w:asciiTheme="minorHAnsi" w:hAnsiTheme="minorHAnsi" w:cstheme="minorHAnsi"/>
                <w:sz w:val="20"/>
                <w:szCs w:val="20"/>
              </w:rPr>
              <w:t>+44 212 292 185</w:t>
            </w:r>
          </w:p>
        </w:tc>
      </w:tr>
      <w:tr w:rsidR="00EA73B3" w:rsidRPr="00EA73B3" w14:paraId="0B495390" w14:textId="77777777" w:rsidTr="0A57A144">
        <w:tc>
          <w:tcPr>
            <w:tcW w:w="2318" w:type="pct"/>
            <w:tcBorders>
              <w:bottom w:val="single" w:sz="4" w:space="0" w:color="auto"/>
            </w:tcBorders>
            <w:shd w:val="clear" w:color="auto" w:fill="FFFFFF" w:themeFill="background1"/>
            <w:vAlign w:val="center"/>
          </w:tcPr>
          <w:p w14:paraId="3A2F94C7" w14:textId="77777777" w:rsidR="00EA73B3" w:rsidRPr="00EA73B3" w:rsidRDefault="00EA73B3" w:rsidP="00EA73B3">
            <w:pPr>
              <w:rPr>
                <w:rFonts w:eastAsia="Times New Roman" w:cs="Arial"/>
                <w:b/>
                <w:sz w:val="20"/>
                <w:szCs w:val="16"/>
              </w:rPr>
            </w:pPr>
            <w:r w:rsidRPr="00EA73B3">
              <w:rPr>
                <w:rFonts w:eastAsia="Times New Roman" w:cs="Arial"/>
                <w:b/>
                <w:sz w:val="20"/>
                <w:szCs w:val="16"/>
              </w:rPr>
              <w:t>Target Change Management Committee date</w:t>
            </w:r>
          </w:p>
        </w:tc>
        <w:tc>
          <w:tcPr>
            <w:tcW w:w="2682" w:type="pct"/>
            <w:tcBorders>
              <w:bottom w:val="single" w:sz="4" w:space="0" w:color="auto"/>
            </w:tcBorders>
          </w:tcPr>
          <w:p w14:paraId="4E6B73E1" w14:textId="316956D6" w:rsidR="00EA73B3" w:rsidRPr="00C97339" w:rsidRDefault="00C97339" w:rsidP="00EA73B3">
            <w:pPr>
              <w:rPr>
                <w:rFonts w:asciiTheme="minorHAnsi" w:eastAsia="Times New Roman" w:hAnsiTheme="minorHAnsi" w:cstheme="minorHAnsi"/>
                <w:sz w:val="20"/>
                <w:szCs w:val="20"/>
              </w:rPr>
            </w:pPr>
            <w:r w:rsidRPr="00C97339">
              <w:rPr>
                <w:rFonts w:asciiTheme="minorHAnsi" w:eastAsia="Times New Roman" w:hAnsiTheme="minorHAnsi" w:cstheme="minorHAnsi"/>
                <w:sz w:val="20"/>
                <w:szCs w:val="20"/>
              </w:rPr>
              <w:t>10/08/22</w:t>
            </w:r>
          </w:p>
        </w:tc>
      </w:tr>
      <w:tr w:rsidR="00EA73B3" w:rsidRPr="00EA73B3" w14:paraId="70D298E7" w14:textId="77777777" w:rsidTr="0A57A144">
        <w:tc>
          <w:tcPr>
            <w:tcW w:w="2318" w:type="pct"/>
            <w:tcBorders>
              <w:bottom w:val="single" w:sz="4" w:space="0" w:color="auto"/>
            </w:tcBorders>
            <w:shd w:val="clear" w:color="auto" w:fill="FFFFFF" w:themeFill="background1"/>
            <w:vAlign w:val="center"/>
          </w:tcPr>
          <w:p w14:paraId="1717601B" w14:textId="77777777" w:rsidR="00EA73B3" w:rsidRPr="00EA73B3" w:rsidRDefault="00EA73B3" w:rsidP="00EA73B3">
            <w:pPr>
              <w:rPr>
                <w:rFonts w:eastAsia="Times New Roman" w:cs="Arial"/>
                <w:b/>
                <w:sz w:val="20"/>
                <w:szCs w:val="16"/>
              </w:rPr>
            </w:pPr>
            <w:r w:rsidRPr="00EA73B3">
              <w:rPr>
                <w:rFonts w:eastAsia="Times New Roman" w:cs="Arial"/>
                <w:b/>
                <w:sz w:val="20"/>
                <w:szCs w:val="16"/>
              </w:rPr>
              <w:t>Date of Solution Implementation</w:t>
            </w:r>
          </w:p>
        </w:tc>
        <w:tc>
          <w:tcPr>
            <w:tcW w:w="2682" w:type="pct"/>
            <w:tcBorders>
              <w:bottom w:val="single" w:sz="4" w:space="0" w:color="auto"/>
            </w:tcBorders>
          </w:tcPr>
          <w:p w14:paraId="76CEA666" w14:textId="3C058620" w:rsidR="00EA73B3" w:rsidRPr="00C97339" w:rsidRDefault="00E648E2" w:rsidP="0A57A144">
            <w:pPr>
              <w:rPr>
                <w:rFonts w:asciiTheme="minorHAnsi" w:eastAsia="Times New Roman" w:hAnsiTheme="minorHAnsi" w:cstheme="minorHAnsi"/>
                <w:sz w:val="20"/>
                <w:szCs w:val="20"/>
              </w:rPr>
            </w:pPr>
            <w:r w:rsidRPr="00C97339">
              <w:rPr>
                <w:rFonts w:asciiTheme="minorHAnsi" w:eastAsia="Times New Roman" w:hAnsiTheme="minorHAnsi" w:cstheme="minorHAnsi"/>
                <w:sz w:val="20"/>
                <w:szCs w:val="20"/>
              </w:rPr>
              <w:t>n/a</w:t>
            </w:r>
          </w:p>
        </w:tc>
      </w:tr>
      <w:tr w:rsidR="00EA73B3" w:rsidRPr="00EA73B3" w14:paraId="0327033D" w14:textId="77777777" w:rsidTr="0A57A144">
        <w:tc>
          <w:tcPr>
            <w:tcW w:w="5000" w:type="pct"/>
            <w:gridSpan w:val="2"/>
            <w:tcBorders>
              <w:bottom w:val="single" w:sz="4" w:space="0" w:color="auto"/>
            </w:tcBorders>
            <w:shd w:val="clear" w:color="auto" w:fill="3E5AA8" w:themeFill="accent1"/>
            <w:vAlign w:val="center"/>
          </w:tcPr>
          <w:p w14:paraId="5A40CDE0" w14:textId="77777777" w:rsidR="00EA73B3" w:rsidRPr="00EA73B3" w:rsidRDefault="00EA73B3" w:rsidP="00EA73B3">
            <w:pPr>
              <w:jc w:val="center"/>
              <w:rPr>
                <w:rFonts w:eastAsia="Times New Roman" w:cs="Arial"/>
                <w:b/>
                <w:color w:val="FFFFFF"/>
                <w:sz w:val="20"/>
              </w:rPr>
            </w:pPr>
            <w:r w:rsidRPr="00EA73B3">
              <w:rPr>
                <w:rFonts w:eastAsia="Arial" w:cs="Arial"/>
                <w:b/>
                <w:color w:val="FFFFFF"/>
                <w:sz w:val="20"/>
                <w:lang w:eastAsia="en-US"/>
              </w:rPr>
              <w:t>Section 1: Overview of Change Delivery</w:t>
            </w:r>
          </w:p>
        </w:tc>
      </w:tr>
      <w:tr w:rsidR="00EA73B3" w:rsidRPr="00EA73B3" w14:paraId="0CEE08D9" w14:textId="77777777" w:rsidTr="0A57A144">
        <w:tc>
          <w:tcPr>
            <w:tcW w:w="5000" w:type="pct"/>
            <w:gridSpan w:val="2"/>
            <w:tcBorders>
              <w:bottom w:val="single" w:sz="4" w:space="0" w:color="auto"/>
            </w:tcBorders>
            <w:shd w:val="clear" w:color="auto" w:fill="FFFFFF" w:themeFill="background1"/>
          </w:tcPr>
          <w:p w14:paraId="3CF00982" w14:textId="7DC47FE7" w:rsidR="00195A39" w:rsidRDefault="00195A39" w:rsidP="00195A39">
            <w:pPr>
              <w:contextualSpacing/>
              <w:rPr>
                <w:rFonts w:eastAsia="Times New Roman" w:cs="Arial"/>
                <w:i/>
                <w:iCs/>
                <w:color w:val="0070C0"/>
                <w:sz w:val="20"/>
                <w:szCs w:val="20"/>
              </w:rPr>
            </w:pPr>
          </w:p>
          <w:p w14:paraId="766BB4D4" w14:textId="77777777" w:rsidR="00C56E0B" w:rsidRDefault="00C56E0B" w:rsidP="00195A39">
            <w:pPr>
              <w:contextualSpacing/>
              <w:rPr>
                <w:rFonts w:eastAsia="Times New Roman" w:cs="Arial"/>
                <w:i/>
                <w:iCs/>
                <w:color w:val="0070C0"/>
                <w:sz w:val="20"/>
                <w:szCs w:val="20"/>
              </w:rPr>
            </w:pPr>
          </w:p>
          <w:p w14:paraId="5B6401E9" w14:textId="422B259F" w:rsidR="00930D71" w:rsidRDefault="005A680C" w:rsidP="00195A39">
            <w:pPr>
              <w:contextualSpacing/>
              <w:rPr>
                <w:sz w:val="20"/>
                <w:szCs w:val="20"/>
              </w:rPr>
            </w:pPr>
            <w:r>
              <w:rPr>
                <w:sz w:val="20"/>
                <w:szCs w:val="20"/>
              </w:rPr>
              <w:t xml:space="preserve">The activities required under Change Proposal </w:t>
            </w:r>
            <w:hyperlink r:id="rId12" w:history="1">
              <w:r w:rsidR="00513FB9" w:rsidRPr="00D11B4D">
                <w:rPr>
                  <w:rStyle w:val="Hyperlink"/>
                  <w:i/>
                  <w:iCs/>
                  <w:sz w:val="20"/>
                  <w:szCs w:val="20"/>
                </w:rPr>
                <w:t>XRN5485</w:t>
              </w:r>
            </w:hyperlink>
            <w:r w:rsidR="00513FB9" w:rsidRPr="00D11B4D">
              <w:rPr>
                <w:i/>
                <w:iCs/>
                <w:sz w:val="20"/>
                <w:szCs w:val="20"/>
              </w:rPr>
              <w:t xml:space="preserve"> – Resource to support the Retail Energy Code (REC)</w:t>
            </w:r>
            <w:r w:rsidR="00513FB9">
              <w:rPr>
                <w:sz w:val="20"/>
                <w:szCs w:val="20"/>
              </w:rPr>
              <w:t xml:space="preserve"> have been completed. </w:t>
            </w:r>
          </w:p>
          <w:p w14:paraId="166ED00A" w14:textId="342FD5EB" w:rsidR="004E7AB4" w:rsidRDefault="004E7AB4" w:rsidP="00195A39">
            <w:pPr>
              <w:contextualSpacing/>
              <w:rPr>
                <w:sz w:val="20"/>
                <w:szCs w:val="20"/>
              </w:rPr>
            </w:pPr>
          </w:p>
          <w:p w14:paraId="2A2E5A62" w14:textId="0D971462" w:rsidR="004E7AB4" w:rsidRDefault="004E7AB4" w:rsidP="00195A39">
            <w:pPr>
              <w:contextualSpacing/>
              <w:rPr>
                <w:sz w:val="20"/>
                <w:szCs w:val="20"/>
              </w:rPr>
            </w:pPr>
            <w:r>
              <w:rPr>
                <w:sz w:val="20"/>
                <w:szCs w:val="20"/>
              </w:rPr>
              <w:t>XRN</w:t>
            </w:r>
            <w:r w:rsidR="00BD1EA6">
              <w:rPr>
                <w:sz w:val="20"/>
                <w:szCs w:val="20"/>
              </w:rPr>
              <w:t xml:space="preserve">5485 was </w:t>
            </w:r>
            <w:r w:rsidR="00AD30B2">
              <w:rPr>
                <w:sz w:val="20"/>
                <w:szCs w:val="20"/>
              </w:rPr>
              <w:t xml:space="preserve">raised </w:t>
            </w:r>
            <w:r w:rsidR="00AD30B2" w:rsidRPr="00C00D5F">
              <w:rPr>
                <w:sz w:val="20"/>
                <w:szCs w:val="20"/>
              </w:rPr>
              <w:t xml:space="preserve">to appoint essential resources for activities associated with the ongoing development, assessment, </w:t>
            </w:r>
            <w:proofErr w:type="gramStart"/>
            <w:r w:rsidR="00AD30B2" w:rsidRPr="00C00D5F">
              <w:rPr>
                <w:sz w:val="20"/>
                <w:szCs w:val="20"/>
              </w:rPr>
              <w:t>support</w:t>
            </w:r>
            <w:proofErr w:type="gramEnd"/>
            <w:r w:rsidR="00AD30B2" w:rsidRPr="00C00D5F">
              <w:rPr>
                <w:sz w:val="20"/>
                <w:szCs w:val="20"/>
              </w:rPr>
              <w:t xml:space="preserve"> and delivery of REC change impacting central systems and processes for financial year 2022/23.</w:t>
            </w:r>
          </w:p>
          <w:p w14:paraId="6A0B1B17" w14:textId="77777777" w:rsidR="00C56E0B" w:rsidRDefault="00C56E0B" w:rsidP="00195A39">
            <w:pPr>
              <w:contextualSpacing/>
              <w:rPr>
                <w:sz w:val="20"/>
                <w:szCs w:val="20"/>
              </w:rPr>
            </w:pPr>
          </w:p>
          <w:p w14:paraId="4397400A" w14:textId="276D7682" w:rsidR="009F01A2" w:rsidRDefault="00EF4C3B" w:rsidP="00195A39">
            <w:pPr>
              <w:contextualSpacing/>
              <w:rPr>
                <w:sz w:val="20"/>
                <w:szCs w:val="20"/>
              </w:rPr>
            </w:pPr>
            <w:r>
              <w:rPr>
                <w:sz w:val="20"/>
                <w:szCs w:val="20"/>
              </w:rPr>
              <w:t>To recap, w</w:t>
            </w:r>
            <w:r w:rsidR="00F76B99" w:rsidRPr="00C00D5F">
              <w:rPr>
                <w:sz w:val="20"/>
                <w:szCs w:val="20"/>
              </w:rPr>
              <w:t xml:space="preserve">hen developing the 2022/23 Business Plan (BP), it was agreed by DSC Customers that there would be ringfenced part of the DSC Change Budget to fund the support of the </w:t>
            </w:r>
            <w:r w:rsidR="002C1A26">
              <w:rPr>
                <w:sz w:val="20"/>
                <w:szCs w:val="20"/>
              </w:rPr>
              <w:t>REC</w:t>
            </w:r>
            <w:r w:rsidR="00335C65">
              <w:rPr>
                <w:sz w:val="20"/>
                <w:szCs w:val="20"/>
              </w:rPr>
              <w:t xml:space="preserve"> (£250,000</w:t>
            </w:r>
            <w:r w:rsidR="00AA6C6B">
              <w:rPr>
                <w:sz w:val="20"/>
                <w:szCs w:val="20"/>
              </w:rPr>
              <w:t xml:space="preserve"> was agreed)</w:t>
            </w:r>
            <w:r w:rsidR="002C1A26">
              <w:rPr>
                <w:sz w:val="20"/>
                <w:szCs w:val="20"/>
              </w:rPr>
              <w:t>.</w:t>
            </w:r>
          </w:p>
          <w:p w14:paraId="0EB74FAC" w14:textId="77777777" w:rsidR="009F01A2" w:rsidRDefault="009F01A2" w:rsidP="00195A39">
            <w:pPr>
              <w:contextualSpacing/>
              <w:rPr>
                <w:sz w:val="20"/>
                <w:szCs w:val="20"/>
              </w:rPr>
            </w:pPr>
          </w:p>
          <w:p w14:paraId="779DB7C3" w14:textId="77777777" w:rsidR="00794058" w:rsidRDefault="00F76B99" w:rsidP="00195A39">
            <w:pPr>
              <w:contextualSpacing/>
              <w:rPr>
                <w:sz w:val="20"/>
                <w:szCs w:val="20"/>
              </w:rPr>
            </w:pPr>
            <w:r w:rsidRPr="00C00D5F">
              <w:rPr>
                <w:sz w:val="20"/>
                <w:szCs w:val="20"/>
              </w:rPr>
              <w:t xml:space="preserve">XRN5485 </w:t>
            </w:r>
            <w:r w:rsidR="00A3425F">
              <w:rPr>
                <w:sz w:val="20"/>
                <w:szCs w:val="20"/>
              </w:rPr>
              <w:t>was</w:t>
            </w:r>
            <w:r w:rsidRPr="00C00D5F">
              <w:rPr>
                <w:sz w:val="20"/>
                <w:szCs w:val="20"/>
              </w:rPr>
              <w:t xml:space="preserve"> raised to secure the resource to support the REC</w:t>
            </w:r>
            <w:r w:rsidR="00C5770B">
              <w:rPr>
                <w:sz w:val="20"/>
                <w:szCs w:val="20"/>
              </w:rPr>
              <w:t>,</w:t>
            </w:r>
            <w:r w:rsidR="00A3425F">
              <w:rPr>
                <w:sz w:val="20"/>
                <w:szCs w:val="20"/>
              </w:rPr>
              <w:t xml:space="preserve"> and the EQR </w:t>
            </w:r>
            <w:r w:rsidR="008F0E28">
              <w:rPr>
                <w:sz w:val="20"/>
                <w:szCs w:val="20"/>
              </w:rPr>
              <w:t>discussed</w:t>
            </w:r>
            <w:r w:rsidR="00A3425F">
              <w:rPr>
                <w:sz w:val="20"/>
                <w:szCs w:val="20"/>
              </w:rPr>
              <w:t xml:space="preserve"> at the </w:t>
            </w:r>
            <w:r w:rsidR="005D79B7">
              <w:rPr>
                <w:sz w:val="20"/>
                <w:szCs w:val="20"/>
              </w:rPr>
              <w:t>March 2023 C</w:t>
            </w:r>
            <w:r w:rsidR="00AC58F5">
              <w:rPr>
                <w:sz w:val="20"/>
                <w:szCs w:val="20"/>
              </w:rPr>
              <w:t xml:space="preserve">hange </w:t>
            </w:r>
            <w:r w:rsidR="005D79B7">
              <w:rPr>
                <w:sz w:val="20"/>
                <w:szCs w:val="20"/>
              </w:rPr>
              <w:t>M</w:t>
            </w:r>
            <w:r w:rsidR="00AC58F5">
              <w:rPr>
                <w:sz w:val="20"/>
                <w:szCs w:val="20"/>
              </w:rPr>
              <w:t xml:space="preserve">anagement </w:t>
            </w:r>
            <w:r w:rsidR="005D79B7">
              <w:rPr>
                <w:sz w:val="20"/>
                <w:szCs w:val="20"/>
              </w:rPr>
              <w:t>C</w:t>
            </w:r>
            <w:r w:rsidR="00AC58F5">
              <w:rPr>
                <w:sz w:val="20"/>
                <w:szCs w:val="20"/>
              </w:rPr>
              <w:t>ommittee (ChMC)</w:t>
            </w:r>
            <w:r w:rsidR="005D79B7">
              <w:rPr>
                <w:sz w:val="20"/>
                <w:szCs w:val="20"/>
              </w:rPr>
              <w:t xml:space="preserve"> meeting</w:t>
            </w:r>
            <w:r w:rsidR="008F0E28">
              <w:rPr>
                <w:sz w:val="20"/>
                <w:szCs w:val="20"/>
              </w:rPr>
              <w:t xml:space="preserve">, approved the </w:t>
            </w:r>
            <w:r w:rsidR="000C4718">
              <w:rPr>
                <w:sz w:val="20"/>
                <w:szCs w:val="20"/>
              </w:rPr>
              <w:t>request of £160,000 to appoint</w:t>
            </w:r>
            <w:r w:rsidR="00794058">
              <w:rPr>
                <w:sz w:val="20"/>
                <w:szCs w:val="20"/>
              </w:rPr>
              <w:t xml:space="preserve"> the essential resource</w:t>
            </w:r>
            <w:r w:rsidR="000C4718">
              <w:rPr>
                <w:sz w:val="20"/>
                <w:szCs w:val="20"/>
              </w:rPr>
              <w:t xml:space="preserve">. </w:t>
            </w:r>
          </w:p>
          <w:p w14:paraId="1E330521" w14:textId="77777777" w:rsidR="00794058" w:rsidRDefault="00794058" w:rsidP="00195A39">
            <w:pPr>
              <w:contextualSpacing/>
              <w:rPr>
                <w:sz w:val="20"/>
                <w:szCs w:val="20"/>
              </w:rPr>
            </w:pPr>
          </w:p>
          <w:p w14:paraId="1B956E46" w14:textId="1B64B605" w:rsidR="00AC6BB3" w:rsidRDefault="00794058" w:rsidP="00195A39">
            <w:pPr>
              <w:contextualSpacing/>
              <w:rPr>
                <w:sz w:val="20"/>
                <w:szCs w:val="20"/>
              </w:rPr>
            </w:pPr>
            <w:r>
              <w:rPr>
                <w:sz w:val="20"/>
                <w:szCs w:val="20"/>
              </w:rPr>
              <w:t>To confirm, the resource secured will</w:t>
            </w:r>
            <w:r w:rsidR="00F76B99" w:rsidRPr="00C00D5F">
              <w:rPr>
                <w:sz w:val="20"/>
                <w:szCs w:val="20"/>
              </w:rPr>
              <w:t xml:space="preserve"> support the REC, specifically the development of the required processes and knowledge share internally of the required processes and development, assessment and delivery of REC change impacting central systems and processes. </w:t>
            </w:r>
          </w:p>
          <w:p w14:paraId="01A7ABE5" w14:textId="187A2E03" w:rsidR="00D83027" w:rsidRDefault="00D83027" w:rsidP="00195A39">
            <w:pPr>
              <w:contextualSpacing/>
              <w:rPr>
                <w:sz w:val="20"/>
                <w:szCs w:val="20"/>
              </w:rPr>
            </w:pPr>
          </w:p>
          <w:p w14:paraId="7486D2F0" w14:textId="3682A210" w:rsidR="00AC6BB3" w:rsidRDefault="00E85A3A" w:rsidP="00195A39">
            <w:pPr>
              <w:contextualSpacing/>
              <w:rPr>
                <w:sz w:val="20"/>
                <w:szCs w:val="20"/>
              </w:rPr>
            </w:pPr>
            <w:r>
              <w:rPr>
                <w:sz w:val="20"/>
                <w:szCs w:val="20"/>
              </w:rPr>
              <w:t>Since the activities under XRN54</w:t>
            </w:r>
            <w:r w:rsidR="00D62B83">
              <w:rPr>
                <w:sz w:val="20"/>
                <w:szCs w:val="20"/>
              </w:rPr>
              <w:t xml:space="preserve">85 have </w:t>
            </w:r>
            <w:r w:rsidR="0020358E">
              <w:rPr>
                <w:sz w:val="20"/>
                <w:szCs w:val="20"/>
              </w:rPr>
              <w:t xml:space="preserve">been completed and </w:t>
            </w:r>
            <w:r w:rsidR="00D2633C">
              <w:rPr>
                <w:sz w:val="20"/>
                <w:szCs w:val="20"/>
              </w:rPr>
              <w:t>the resource specific to this request have been appointed, this Change C</w:t>
            </w:r>
            <w:r w:rsidR="00990DE7">
              <w:rPr>
                <w:sz w:val="20"/>
                <w:szCs w:val="20"/>
              </w:rPr>
              <w:t>lo</w:t>
            </w:r>
            <w:r w:rsidR="0045757B">
              <w:rPr>
                <w:sz w:val="20"/>
                <w:szCs w:val="20"/>
              </w:rPr>
              <w:t xml:space="preserve">sure Request (CCR) has been raised for approval to </w:t>
            </w:r>
            <w:r w:rsidR="005E4D22">
              <w:rPr>
                <w:sz w:val="20"/>
                <w:szCs w:val="20"/>
              </w:rPr>
              <w:t xml:space="preserve">confirm the cost and </w:t>
            </w:r>
            <w:r w:rsidR="0045757B">
              <w:rPr>
                <w:sz w:val="20"/>
                <w:szCs w:val="20"/>
              </w:rPr>
              <w:t>close the</w:t>
            </w:r>
            <w:r w:rsidR="005E4D22">
              <w:rPr>
                <w:sz w:val="20"/>
                <w:szCs w:val="20"/>
              </w:rPr>
              <w:t xml:space="preserve"> Change Proposal. </w:t>
            </w:r>
          </w:p>
          <w:p w14:paraId="2AE0FC3A" w14:textId="14390DFF" w:rsidR="00CF1785" w:rsidRDefault="00CF1785" w:rsidP="00195A39">
            <w:pPr>
              <w:contextualSpacing/>
            </w:pPr>
          </w:p>
          <w:p w14:paraId="6BDAA9B4" w14:textId="3EAD55D4" w:rsidR="00CF1785" w:rsidRDefault="00CF1785" w:rsidP="00195A39">
            <w:pPr>
              <w:contextualSpacing/>
            </w:pPr>
          </w:p>
          <w:p w14:paraId="78B5834E" w14:textId="667B479C" w:rsidR="0009751D" w:rsidRDefault="0009751D" w:rsidP="00195A39">
            <w:pPr>
              <w:contextualSpacing/>
            </w:pPr>
          </w:p>
          <w:p w14:paraId="22772AAD" w14:textId="05A0E346" w:rsidR="0009751D" w:rsidRDefault="0009751D" w:rsidP="00195A39">
            <w:pPr>
              <w:contextualSpacing/>
            </w:pPr>
          </w:p>
          <w:p w14:paraId="083BAB48" w14:textId="77777777" w:rsidR="0051490E" w:rsidRDefault="0051490E" w:rsidP="00195A39">
            <w:pPr>
              <w:contextualSpacing/>
            </w:pPr>
          </w:p>
          <w:p w14:paraId="1883C180" w14:textId="77777777" w:rsidR="0009751D" w:rsidRDefault="0009751D" w:rsidP="00195A39">
            <w:pPr>
              <w:contextualSpacing/>
            </w:pPr>
          </w:p>
          <w:tbl>
            <w:tblPr>
              <w:tblStyle w:val="TableGrid1"/>
              <w:tblpPr w:leftFromText="180" w:rightFromText="180" w:vertAnchor="text" w:horzAnchor="margin" w:tblpY="-285"/>
              <w:tblOverlap w:val="never"/>
              <w:tblW w:w="9493" w:type="dxa"/>
              <w:tblLayout w:type="fixed"/>
              <w:tblLook w:val="04A0" w:firstRow="1" w:lastRow="0" w:firstColumn="1" w:lastColumn="0" w:noHBand="0" w:noVBand="1"/>
            </w:tblPr>
            <w:tblGrid>
              <w:gridCol w:w="2689"/>
              <w:gridCol w:w="1701"/>
              <w:gridCol w:w="2551"/>
              <w:gridCol w:w="2552"/>
            </w:tblGrid>
            <w:tr w:rsidR="00622A97" w:rsidRPr="00EA73B3" w14:paraId="5C771345" w14:textId="77777777" w:rsidTr="00CF1785">
              <w:tc>
                <w:tcPr>
                  <w:tcW w:w="2689" w:type="dxa"/>
                </w:tcPr>
                <w:p w14:paraId="496897D1" w14:textId="77777777" w:rsidR="00622A97" w:rsidRPr="00EA73B3" w:rsidRDefault="00622A97" w:rsidP="00622A97">
                  <w:pPr>
                    <w:jc w:val="center"/>
                    <w:rPr>
                      <w:rFonts w:eastAsia="Times New Roman" w:cs="Arial"/>
                      <w:b/>
                      <w:sz w:val="20"/>
                      <w:szCs w:val="16"/>
                    </w:rPr>
                  </w:pPr>
                  <w:r w:rsidRPr="00EA73B3">
                    <w:rPr>
                      <w:rFonts w:eastAsia="Times New Roman" w:cs="Arial"/>
                      <w:b/>
                      <w:sz w:val="20"/>
                      <w:szCs w:val="16"/>
                    </w:rPr>
                    <w:lastRenderedPageBreak/>
                    <w:t>Xoserve Service Area</w:t>
                  </w:r>
                </w:p>
              </w:tc>
              <w:tc>
                <w:tcPr>
                  <w:tcW w:w="1701" w:type="dxa"/>
                </w:tcPr>
                <w:p w14:paraId="4C94FD19" w14:textId="77777777" w:rsidR="00622A97" w:rsidRPr="00EA73B3" w:rsidRDefault="00622A97" w:rsidP="00622A97">
                  <w:pPr>
                    <w:jc w:val="center"/>
                    <w:rPr>
                      <w:rFonts w:eastAsia="Times New Roman" w:cs="Arial"/>
                      <w:b/>
                      <w:sz w:val="20"/>
                      <w:szCs w:val="16"/>
                    </w:rPr>
                  </w:pPr>
                  <w:r w:rsidRPr="00EA73B3">
                    <w:rPr>
                      <w:rFonts w:eastAsia="Times New Roman" w:cs="Arial"/>
                      <w:b/>
                      <w:sz w:val="20"/>
                      <w:szCs w:val="16"/>
                    </w:rPr>
                    <w:t>Xoserve Service Line</w:t>
                  </w:r>
                </w:p>
              </w:tc>
              <w:tc>
                <w:tcPr>
                  <w:tcW w:w="2551" w:type="dxa"/>
                </w:tcPr>
                <w:p w14:paraId="0ABE8F90" w14:textId="77777777" w:rsidR="00622A97" w:rsidRPr="00EA73B3" w:rsidRDefault="00622A97" w:rsidP="00622A97">
                  <w:pPr>
                    <w:jc w:val="center"/>
                    <w:rPr>
                      <w:rFonts w:eastAsia="Times New Roman" w:cs="Arial"/>
                      <w:b/>
                      <w:sz w:val="20"/>
                      <w:szCs w:val="16"/>
                    </w:rPr>
                  </w:pPr>
                  <w:r w:rsidRPr="00EA73B3">
                    <w:rPr>
                      <w:rFonts w:eastAsia="Times New Roman" w:cs="Arial"/>
                      <w:b/>
                      <w:sz w:val="20"/>
                      <w:szCs w:val="16"/>
                    </w:rPr>
                    <w:t>(+/-) Projected Change in Annual Cost</w:t>
                  </w:r>
                </w:p>
              </w:tc>
              <w:tc>
                <w:tcPr>
                  <w:tcW w:w="2552" w:type="dxa"/>
                </w:tcPr>
                <w:p w14:paraId="4B9634DE" w14:textId="77777777" w:rsidR="00622A97" w:rsidRPr="00EA73B3" w:rsidRDefault="00622A97" w:rsidP="00622A97">
                  <w:pPr>
                    <w:jc w:val="center"/>
                    <w:rPr>
                      <w:rFonts w:eastAsia="Times New Roman" w:cs="Arial"/>
                      <w:b/>
                      <w:szCs w:val="16"/>
                    </w:rPr>
                  </w:pPr>
                  <w:r w:rsidRPr="00EA73B3">
                    <w:rPr>
                      <w:rFonts w:eastAsia="Times New Roman" w:cs="Arial"/>
                      <w:b/>
                      <w:szCs w:val="16"/>
                    </w:rPr>
                    <w:t>(+/</w:t>
                  </w:r>
                  <w:proofErr w:type="gramStart"/>
                  <w:r w:rsidRPr="00EA73B3">
                    <w:rPr>
                      <w:rFonts w:eastAsia="Times New Roman" w:cs="Arial"/>
                      <w:b/>
                      <w:szCs w:val="16"/>
                    </w:rPr>
                    <w:t>-)Actual</w:t>
                  </w:r>
                  <w:proofErr w:type="gramEnd"/>
                  <w:r w:rsidRPr="00EA73B3">
                    <w:rPr>
                      <w:rFonts w:eastAsia="Times New Roman" w:cs="Arial"/>
                      <w:b/>
                      <w:szCs w:val="16"/>
                    </w:rPr>
                    <w:t xml:space="preserve"> Change in Annual Cost </w:t>
                  </w:r>
                </w:p>
              </w:tc>
            </w:tr>
            <w:tr w:rsidR="00622A97" w:rsidRPr="00EA73B3" w14:paraId="7E90F90C" w14:textId="77777777" w:rsidTr="00CF1785">
              <w:tc>
                <w:tcPr>
                  <w:tcW w:w="2689" w:type="dxa"/>
                  <w:vAlign w:val="center"/>
                </w:tcPr>
                <w:p w14:paraId="5F2B2A1D" w14:textId="59F1FB5C" w:rsidR="00622A97" w:rsidRPr="00EA73B3" w:rsidRDefault="005645F8" w:rsidP="00622A97">
                  <w:pPr>
                    <w:jc w:val="center"/>
                    <w:rPr>
                      <w:rFonts w:eastAsia="Times New Roman" w:cs="Arial"/>
                      <w:sz w:val="20"/>
                      <w:szCs w:val="20"/>
                    </w:rPr>
                  </w:pPr>
                  <w:r>
                    <w:rPr>
                      <w:rFonts w:eastAsia="Times New Roman" w:cs="Arial"/>
                      <w:sz w:val="20"/>
                      <w:szCs w:val="20"/>
                    </w:rPr>
                    <w:t>Service Area 1</w:t>
                  </w:r>
                  <w:r w:rsidR="00290845">
                    <w:rPr>
                      <w:rFonts w:eastAsia="Times New Roman" w:cs="Arial"/>
                      <w:sz w:val="20"/>
                      <w:szCs w:val="20"/>
                    </w:rPr>
                    <w:t>3 – Managing Change</w:t>
                  </w:r>
                </w:p>
              </w:tc>
              <w:tc>
                <w:tcPr>
                  <w:tcW w:w="1701" w:type="dxa"/>
                  <w:vAlign w:val="center"/>
                </w:tcPr>
                <w:p w14:paraId="15FB7188" w14:textId="108B5B4F" w:rsidR="00622A97" w:rsidRPr="00EA73B3" w:rsidRDefault="00CF1785" w:rsidP="00622A97">
                  <w:pPr>
                    <w:jc w:val="center"/>
                    <w:rPr>
                      <w:rFonts w:eastAsia="Times New Roman" w:cs="Arial"/>
                      <w:sz w:val="20"/>
                      <w:szCs w:val="20"/>
                    </w:rPr>
                  </w:pPr>
                  <w:r>
                    <w:rPr>
                      <w:rFonts w:eastAsia="Times New Roman" w:cs="Arial"/>
                      <w:sz w:val="20"/>
                      <w:szCs w:val="20"/>
                    </w:rPr>
                    <w:t>n/a</w:t>
                  </w:r>
                </w:p>
              </w:tc>
              <w:tc>
                <w:tcPr>
                  <w:tcW w:w="2551" w:type="dxa"/>
                  <w:vAlign w:val="center"/>
                </w:tcPr>
                <w:p w14:paraId="6A3F1D75" w14:textId="408F937F" w:rsidR="00622A97" w:rsidRPr="00EA73B3" w:rsidRDefault="00883C57" w:rsidP="00622A97">
                  <w:pPr>
                    <w:jc w:val="center"/>
                    <w:rPr>
                      <w:rFonts w:eastAsia="Times New Roman" w:cs="Arial"/>
                      <w:sz w:val="20"/>
                      <w:szCs w:val="20"/>
                    </w:rPr>
                  </w:pPr>
                  <w:r>
                    <w:rPr>
                      <w:rFonts w:eastAsia="Times New Roman" w:cs="Arial"/>
                      <w:sz w:val="20"/>
                      <w:szCs w:val="20"/>
                    </w:rPr>
                    <w:t xml:space="preserve">Expected increase in MTB for </w:t>
                  </w:r>
                  <w:r w:rsidR="00415444">
                    <w:rPr>
                      <w:rFonts w:eastAsia="Times New Roman" w:cs="Arial"/>
                      <w:sz w:val="20"/>
                      <w:szCs w:val="20"/>
                    </w:rPr>
                    <w:t>financial year</w:t>
                  </w:r>
                  <w:r w:rsidR="000A5DB6">
                    <w:rPr>
                      <w:rFonts w:eastAsia="Times New Roman" w:cs="Arial"/>
                      <w:sz w:val="20"/>
                      <w:szCs w:val="20"/>
                    </w:rPr>
                    <w:t xml:space="preserve"> 2023/24</w:t>
                  </w:r>
                </w:p>
              </w:tc>
              <w:tc>
                <w:tcPr>
                  <w:tcW w:w="2552" w:type="dxa"/>
                  <w:vAlign w:val="center"/>
                </w:tcPr>
                <w:p w14:paraId="28A0A736" w14:textId="77777777" w:rsidR="0051490E" w:rsidRDefault="0051490E" w:rsidP="00622A97">
                  <w:pPr>
                    <w:jc w:val="center"/>
                    <w:rPr>
                      <w:rFonts w:eastAsia="Times New Roman" w:cs="Arial"/>
                      <w:sz w:val="20"/>
                      <w:szCs w:val="20"/>
                    </w:rPr>
                  </w:pPr>
                </w:p>
                <w:p w14:paraId="125A1468" w14:textId="230DDC76" w:rsidR="00622A97" w:rsidRDefault="001A32EC" w:rsidP="00622A97">
                  <w:pPr>
                    <w:jc w:val="center"/>
                    <w:rPr>
                      <w:rFonts w:eastAsia="Times New Roman" w:cs="Arial"/>
                      <w:sz w:val="20"/>
                      <w:szCs w:val="20"/>
                    </w:rPr>
                  </w:pPr>
                  <w:r>
                    <w:rPr>
                      <w:rFonts w:eastAsia="Times New Roman" w:cs="Arial"/>
                      <w:sz w:val="20"/>
                      <w:szCs w:val="20"/>
                    </w:rPr>
                    <w:t>A</w:t>
                  </w:r>
                  <w:r w:rsidR="005B3348">
                    <w:rPr>
                      <w:rFonts w:eastAsia="Times New Roman" w:cs="Arial"/>
                      <w:sz w:val="20"/>
                      <w:szCs w:val="20"/>
                    </w:rPr>
                    <w:t xml:space="preserve">dditional MTB </w:t>
                  </w:r>
                  <w:r w:rsidR="00490B9A">
                    <w:rPr>
                      <w:rFonts w:eastAsia="Times New Roman" w:cs="Arial"/>
                      <w:sz w:val="20"/>
                      <w:szCs w:val="20"/>
                    </w:rPr>
                    <w:t>cost</w:t>
                  </w:r>
                  <w:r w:rsidR="005B3348">
                    <w:rPr>
                      <w:rFonts w:eastAsia="Times New Roman" w:cs="Arial"/>
                      <w:sz w:val="20"/>
                      <w:szCs w:val="20"/>
                    </w:rPr>
                    <w:t xml:space="preserve"> from April </w:t>
                  </w:r>
                  <w:r w:rsidR="0051490E">
                    <w:rPr>
                      <w:rFonts w:eastAsia="Times New Roman" w:cs="Arial"/>
                      <w:sz w:val="20"/>
                      <w:szCs w:val="20"/>
                    </w:rPr>
                    <w:t>2023</w:t>
                  </w:r>
                  <w:r>
                    <w:rPr>
                      <w:rFonts w:eastAsia="Times New Roman" w:cs="Arial"/>
                      <w:sz w:val="20"/>
                      <w:szCs w:val="20"/>
                    </w:rPr>
                    <w:t xml:space="preserve"> is required – uplift of £10</w:t>
                  </w:r>
                  <w:r w:rsidR="00B01E38">
                    <w:rPr>
                      <w:rFonts w:eastAsia="Times New Roman" w:cs="Arial"/>
                      <w:sz w:val="20"/>
                      <w:szCs w:val="20"/>
                    </w:rPr>
                    <w:t>6</w:t>
                  </w:r>
                  <w:r>
                    <w:rPr>
                      <w:rFonts w:eastAsia="Times New Roman" w:cs="Arial"/>
                      <w:sz w:val="20"/>
                      <w:szCs w:val="20"/>
                    </w:rPr>
                    <w:t>,</w:t>
                  </w:r>
                  <w:r w:rsidR="00F97386">
                    <w:rPr>
                      <w:rFonts w:eastAsia="Times New Roman" w:cs="Arial"/>
                      <w:sz w:val="20"/>
                      <w:szCs w:val="20"/>
                    </w:rPr>
                    <w:t>000</w:t>
                  </w:r>
                </w:p>
                <w:p w14:paraId="24CD99C6" w14:textId="77777777" w:rsidR="00622A97" w:rsidRPr="00EA73B3" w:rsidRDefault="00622A97" w:rsidP="00622A97">
                  <w:pPr>
                    <w:rPr>
                      <w:rFonts w:eastAsia="Times New Roman" w:cs="Arial"/>
                      <w:sz w:val="20"/>
                      <w:szCs w:val="20"/>
                    </w:rPr>
                  </w:pPr>
                </w:p>
              </w:tc>
            </w:tr>
          </w:tbl>
          <w:p w14:paraId="646B8C30" w14:textId="74CAE4AC" w:rsidR="00EA73B3" w:rsidRPr="00EA73B3" w:rsidRDefault="00EA73B3" w:rsidP="0A57A144">
            <w:pPr>
              <w:contextualSpacing/>
              <w:rPr>
                <w:rFonts w:eastAsia="Times New Roman" w:cs="Arial"/>
                <w:i/>
                <w:iCs/>
                <w:color w:val="0070C0"/>
                <w:sz w:val="20"/>
                <w:szCs w:val="20"/>
              </w:rPr>
            </w:pPr>
          </w:p>
        </w:tc>
      </w:tr>
      <w:tr w:rsidR="00EA73B3" w:rsidRPr="00EA73B3" w14:paraId="0C90DDA4" w14:textId="77777777" w:rsidTr="0A57A144">
        <w:tc>
          <w:tcPr>
            <w:tcW w:w="5000" w:type="pct"/>
            <w:gridSpan w:val="2"/>
            <w:tcBorders>
              <w:bottom w:val="single" w:sz="4" w:space="0" w:color="auto"/>
            </w:tcBorders>
            <w:shd w:val="clear" w:color="auto" w:fill="3E5AA8" w:themeFill="accent1"/>
            <w:vAlign w:val="center"/>
          </w:tcPr>
          <w:p w14:paraId="0BFF5D8A" w14:textId="77777777" w:rsidR="0051490E" w:rsidRDefault="0051490E" w:rsidP="0051490E">
            <w:pPr>
              <w:rPr>
                <w:rFonts w:eastAsia="Arial" w:cs="Arial"/>
                <w:b/>
                <w:color w:val="FFFFFF"/>
                <w:sz w:val="20"/>
                <w:lang w:eastAsia="en-US"/>
              </w:rPr>
            </w:pPr>
          </w:p>
          <w:p w14:paraId="22D62687" w14:textId="3F03B339" w:rsidR="00EA73B3" w:rsidRPr="00EA73B3" w:rsidRDefault="00EA73B3" w:rsidP="00EA73B3">
            <w:pPr>
              <w:jc w:val="center"/>
              <w:rPr>
                <w:rFonts w:eastAsia="Times New Roman" w:cs="Arial"/>
                <w:b/>
                <w:color w:val="FFFFFF"/>
                <w:sz w:val="20"/>
                <w:szCs w:val="20"/>
              </w:rPr>
            </w:pPr>
            <w:r w:rsidRPr="00EA73B3">
              <w:rPr>
                <w:rFonts w:eastAsia="Arial" w:cs="Arial"/>
                <w:b/>
                <w:color w:val="FFFFFF"/>
                <w:sz w:val="20"/>
                <w:lang w:eastAsia="en-US"/>
              </w:rPr>
              <w:t>Section 2: Confirmed Funding Arrangements</w:t>
            </w:r>
          </w:p>
        </w:tc>
      </w:tr>
      <w:tr w:rsidR="003C0F52" w:rsidRPr="00EA73B3" w14:paraId="5440B27A" w14:textId="77777777" w:rsidTr="003C0F52">
        <w:tc>
          <w:tcPr>
            <w:tcW w:w="5000" w:type="pct"/>
            <w:gridSpan w:val="2"/>
            <w:tcBorders>
              <w:bottom w:val="single" w:sz="4" w:space="0" w:color="auto"/>
            </w:tcBorders>
            <w:shd w:val="clear" w:color="auto" w:fill="auto"/>
            <w:vAlign w:val="center"/>
          </w:tcPr>
          <w:p w14:paraId="5916E79C" w14:textId="77777777" w:rsidR="003C0F52" w:rsidRDefault="003C0F52" w:rsidP="00EA73B3">
            <w:pPr>
              <w:jc w:val="center"/>
              <w:rPr>
                <w:rFonts w:eastAsia="Arial" w:cs="Arial"/>
                <w:b/>
                <w:color w:val="FFFFFF"/>
                <w:sz w:val="20"/>
                <w:lang w:eastAsia="en-US"/>
              </w:rPr>
            </w:pPr>
          </w:p>
          <w:p w14:paraId="11E9F302" w14:textId="3C4FED24" w:rsidR="003223EF" w:rsidRDefault="003223EF" w:rsidP="003223EF">
            <w:pPr>
              <w:contextualSpacing/>
              <w:rPr>
                <w:sz w:val="20"/>
                <w:szCs w:val="20"/>
              </w:rPr>
            </w:pPr>
            <w:r w:rsidRPr="003223EF">
              <w:rPr>
                <w:sz w:val="20"/>
                <w:szCs w:val="20"/>
              </w:rPr>
              <w:t xml:space="preserve">Please </w:t>
            </w:r>
            <w:r>
              <w:rPr>
                <w:sz w:val="20"/>
                <w:szCs w:val="20"/>
              </w:rPr>
              <w:t xml:space="preserve">note, the confirmed cost </w:t>
            </w:r>
            <w:r w:rsidR="000F087C">
              <w:rPr>
                <w:sz w:val="20"/>
                <w:szCs w:val="20"/>
              </w:rPr>
              <w:t xml:space="preserve">for XRN5485 </w:t>
            </w:r>
            <w:r w:rsidR="00510427">
              <w:rPr>
                <w:sz w:val="20"/>
                <w:szCs w:val="20"/>
              </w:rPr>
              <w:t xml:space="preserve">for this financial year (2022/23) </w:t>
            </w:r>
            <w:r w:rsidR="000F087C">
              <w:rPr>
                <w:sz w:val="20"/>
                <w:szCs w:val="20"/>
              </w:rPr>
              <w:t>is £10</w:t>
            </w:r>
            <w:r w:rsidR="00F3292D">
              <w:rPr>
                <w:sz w:val="20"/>
                <w:szCs w:val="20"/>
              </w:rPr>
              <w:t>6</w:t>
            </w:r>
            <w:r w:rsidR="000F087C">
              <w:rPr>
                <w:sz w:val="20"/>
                <w:szCs w:val="20"/>
              </w:rPr>
              <w:t xml:space="preserve">,000 and </w:t>
            </w:r>
            <w:r w:rsidR="00C04113">
              <w:rPr>
                <w:sz w:val="20"/>
                <w:szCs w:val="20"/>
              </w:rPr>
              <w:t xml:space="preserve">the table below shows the cost </w:t>
            </w:r>
            <w:r w:rsidR="00A023DD">
              <w:rPr>
                <w:sz w:val="20"/>
                <w:szCs w:val="20"/>
              </w:rPr>
              <w:t>per Constituency</w:t>
            </w:r>
            <w:r w:rsidR="00C04113">
              <w:rPr>
                <w:sz w:val="20"/>
                <w:szCs w:val="20"/>
              </w:rPr>
              <w:t xml:space="preserve"> </w:t>
            </w:r>
            <w:r w:rsidR="00695BC4">
              <w:rPr>
                <w:sz w:val="20"/>
                <w:szCs w:val="20"/>
              </w:rPr>
              <w:t xml:space="preserve">based on </w:t>
            </w:r>
            <w:r w:rsidR="00C04113">
              <w:rPr>
                <w:sz w:val="20"/>
                <w:szCs w:val="20"/>
              </w:rPr>
              <w:t>the</w:t>
            </w:r>
            <w:r w:rsidR="00A023DD">
              <w:rPr>
                <w:sz w:val="20"/>
                <w:szCs w:val="20"/>
              </w:rPr>
              <w:t xml:space="preserve"> agreed share. </w:t>
            </w:r>
            <w:r w:rsidR="00C04113">
              <w:rPr>
                <w:sz w:val="20"/>
                <w:szCs w:val="20"/>
              </w:rPr>
              <w:t xml:space="preserve"> </w:t>
            </w:r>
            <w:r w:rsidR="000F087C">
              <w:rPr>
                <w:sz w:val="20"/>
                <w:szCs w:val="20"/>
              </w:rPr>
              <w:t xml:space="preserve"> </w:t>
            </w:r>
          </w:p>
          <w:p w14:paraId="2A6691AA" w14:textId="3BEEE7B9" w:rsidR="00510427" w:rsidRDefault="00510427" w:rsidP="003223EF">
            <w:pPr>
              <w:contextualSpacing/>
              <w:rPr>
                <w:sz w:val="20"/>
                <w:szCs w:val="20"/>
              </w:rPr>
            </w:pPr>
          </w:p>
          <w:p w14:paraId="573C6A30" w14:textId="0C90584A" w:rsidR="00510427" w:rsidRPr="003223EF" w:rsidRDefault="00510427" w:rsidP="003223EF">
            <w:pPr>
              <w:contextualSpacing/>
              <w:rPr>
                <w:sz w:val="20"/>
                <w:szCs w:val="20"/>
              </w:rPr>
            </w:pPr>
            <w:r>
              <w:rPr>
                <w:sz w:val="20"/>
                <w:szCs w:val="20"/>
              </w:rPr>
              <w:t>As detailed above, we are proposing an uplift in MTB</w:t>
            </w:r>
            <w:r w:rsidR="00490B9A">
              <w:rPr>
                <w:sz w:val="20"/>
                <w:szCs w:val="20"/>
              </w:rPr>
              <w:t xml:space="preserve"> costs</w:t>
            </w:r>
            <w:r>
              <w:rPr>
                <w:sz w:val="20"/>
                <w:szCs w:val="20"/>
              </w:rPr>
              <w:t xml:space="preserve"> of £10</w:t>
            </w:r>
            <w:r w:rsidR="00F3292D">
              <w:rPr>
                <w:sz w:val="20"/>
                <w:szCs w:val="20"/>
              </w:rPr>
              <w:t>6</w:t>
            </w:r>
            <w:r>
              <w:rPr>
                <w:sz w:val="20"/>
                <w:szCs w:val="20"/>
              </w:rPr>
              <w:t>,0</w:t>
            </w:r>
            <w:r w:rsidR="009E2776">
              <w:rPr>
                <w:sz w:val="20"/>
                <w:szCs w:val="20"/>
              </w:rPr>
              <w:t>00</w:t>
            </w:r>
            <w:r w:rsidR="007F675E">
              <w:rPr>
                <w:sz w:val="20"/>
                <w:szCs w:val="20"/>
              </w:rPr>
              <w:t xml:space="preserve"> from start of the 2023/24 financial year to account for the resource going forward. </w:t>
            </w:r>
            <w:r w:rsidR="008351AD">
              <w:rPr>
                <w:sz w:val="20"/>
                <w:szCs w:val="20"/>
              </w:rPr>
              <w:t>To confirm, the resource secured and proposed to be funded via MTB from financial year 2023/24 onwards, will</w:t>
            </w:r>
            <w:r w:rsidR="008351AD" w:rsidRPr="00C00D5F">
              <w:rPr>
                <w:sz w:val="20"/>
                <w:szCs w:val="20"/>
              </w:rPr>
              <w:t xml:space="preserve"> support the REC, specifically the development of the required processes and knowledge share internally of the required processes and development, assessment and delivery of REC change impacting central systems and processes</w:t>
            </w:r>
            <w:r w:rsidR="008351AD">
              <w:rPr>
                <w:sz w:val="20"/>
                <w:szCs w:val="20"/>
              </w:rPr>
              <w:t>.</w:t>
            </w:r>
          </w:p>
          <w:p w14:paraId="74E0198A" w14:textId="08BB3674" w:rsidR="003223EF" w:rsidRPr="00EA73B3" w:rsidRDefault="003223EF" w:rsidP="003223EF">
            <w:pPr>
              <w:rPr>
                <w:rFonts w:eastAsia="Arial" w:cs="Arial"/>
                <w:b/>
                <w:color w:val="FFFFFF"/>
                <w:sz w:val="20"/>
                <w:lang w:eastAsia="en-US"/>
              </w:rPr>
            </w:pPr>
          </w:p>
        </w:tc>
      </w:tr>
      <w:tr w:rsidR="00EA73B3" w:rsidRPr="00EA73B3" w14:paraId="45233572" w14:textId="77777777" w:rsidTr="0A57A144">
        <w:tc>
          <w:tcPr>
            <w:tcW w:w="5000" w:type="pct"/>
            <w:gridSpan w:val="2"/>
            <w:tcBorders>
              <w:bottom w:val="single" w:sz="4" w:space="0" w:color="auto"/>
            </w:tcBorders>
            <w:shd w:val="clear" w:color="auto" w:fill="FFFFFF" w:themeFill="background1"/>
          </w:tcPr>
          <w:tbl>
            <w:tblPr>
              <w:tblStyle w:val="TableGrid1"/>
              <w:tblW w:w="9489" w:type="dxa"/>
              <w:tblLayout w:type="fixed"/>
              <w:tblLook w:val="04A0" w:firstRow="1" w:lastRow="0" w:firstColumn="1" w:lastColumn="0" w:noHBand="0" w:noVBand="1"/>
            </w:tblPr>
            <w:tblGrid>
              <w:gridCol w:w="2547"/>
              <w:gridCol w:w="1417"/>
              <w:gridCol w:w="1729"/>
              <w:gridCol w:w="1532"/>
              <w:gridCol w:w="2264"/>
            </w:tblGrid>
            <w:tr w:rsidR="00EA73B3" w:rsidRPr="00EA73B3" w14:paraId="6E11255F" w14:textId="77777777" w:rsidTr="00773701">
              <w:tc>
                <w:tcPr>
                  <w:tcW w:w="2547" w:type="dxa"/>
                </w:tcPr>
                <w:p w14:paraId="2C9392D4"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Gas Industry Participant</w:t>
                  </w:r>
                </w:p>
              </w:tc>
              <w:tc>
                <w:tcPr>
                  <w:tcW w:w="1417" w:type="dxa"/>
                </w:tcPr>
                <w:p w14:paraId="347495F9" w14:textId="5969ABD0" w:rsidR="00EA73B3" w:rsidRPr="00EA73B3" w:rsidRDefault="00773701" w:rsidP="00EA73B3">
                  <w:pPr>
                    <w:jc w:val="center"/>
                    <w:rPr>
                      <w:rFonts w:eastAsia="Times New Roman" w:cs="Arial"/>
                      <w:b/>
                      <w:sz w:val="20"/>
                      <w:szCs w:val="20"/>
                    </w:rPr>
                  </w:pPr>
                  <w:r>
                    <w:rPr>
                      <w:rFonts w:eastAsia="Times New Roman" w:cs="Arial"/>
                      <w:b/>
                      <w:sz w:val="20"/>
                      <w:szCs w:val="20"/>
                    </w:rPr>
                    <w:t>EQR</w:t>
                  </w:r>
                  <w:r w:rsidR="00EA73B3" w:rsidRPr="00EA73B3">
                    <w:rPr>
                      <w:rFonts w:eastAsia="Times New Roman" w:cs="Arial"/>
                      <w:b/>
                      <w:sz w:val="20"/>
                      <w:szCs w:val="20"/>
                    </w:rPr>
                    <w:t xml:space="preserve"> Share </w:t>
                  </w:r>
                  <w:proofErr w:type="gramStart"/>
                  <w:r w:rsidR="00EA73B3" w:rsidRPr="00EA73B3">
                    <w:rPr>
                      <w:rFonts w:eastAsia="Times New Roman" w:cs="Arial"/>
                      <w:b/>
                      <w:sz w:val="20"/>
                      <w:szCs w:val="20"/>
                    </w:rPr>
                    <w:t>of  Cost</w:t>
                  </w:r>
                  <w:proofErr w:type="gramEnd"/>
                </w:p>
              </w:tc>
              <w:tc>
                <w:tcPr>
                  <w:tcW w:w="1729" w:type="dxa"/>
                </w:tcPr>
                <w:p w14:paraId="77AA4BD1"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Actual Share of Cost</w:t>
                  </w:r>
                </w:p>
              </w:tc>
              <w:tc>
                <w:tcPr>
                  <w:tcW w:w="1532" w:type="dxa"/>
                </w:tcPr>
                <w:p w14:paraId="5B2B9360" w14:textId="4B43459D" w:rsidR="00EA73B3" w:rsidRPr="00EA73B3" w:rsidRDefault="00167462" w:rsidP="00EA73B3">
                  <w:pPr>
                    <w:jc w:val="center"/>
                    <w:rPr>
                      <w:rFonts w:eastAsia="Times New Roman" w:cs="Arial"/>
                      <w:b/>
                      <w:sz w:val="20"/>
                      <w:szCs w:val="20"/>
                    </w:rPr>
                  </w:pPr>
                  <w:r>
                    <w:rPr>
                      <w:rFonts w:eastAsia="Times New Roman" w:cs="Arial"/>
                      <w:b/>
                      <w:sz w:val="20"/>
                      <w:szCs w:val="20"/>
                    </w:rPr>
                    <w:t>EQR</w:t>
                  </w:r>
                  <w:r w:rsidR="00EA73B3" w:rsidRPr="00EA73B3">
                    <w:rPr>
                      <w:rFonts w:eastAsia="Times New Roman" w:cs="Arial"/>
                      <w:b/>
                      <w:sz w:val="20"/>
                      <w:szCs w:val="20"/>
                    </w:rPr>
                    <w:t xml:space="preserve"> Cost Value</w:t>
                  </w:r>
                </w:p>
              </w:tc>
              <w:tc>
                <w:tcPr>
                  <w:tcW w:w="2264" w:type="dxa"/>
                </w:tcPr>
                <w:p w14:paraId="31C1ACDB" w14:textId="77777777" w:rsidR="00EA73B3" w:rsidRPr="00F93425" w:rsidRDefault="00EA73B3" w:rsidP="00EA73B3">
                  <w:pPr>
                    <w:jc w:val="center"/>
                    <w:rPr>
                      <w:rFonts w:eastAsia="Times New Roman" w:cs="Arial"/>
                      <w:b/>
                      <w:sz w:val="20"/>
                      <w:szCs w:val="20"/>
                    </w:rPr>
                  </w:pPr>
                  <w:r w:rsidRPr="00F93425">
                    <w:rPr>
                      <w:rFonts w:eastAsia="Times New Roman" w:cs="Arial"/>
                      <w:b/>
                      <w:sz w:val="20"/>
                      <w:szCs w:val="20"/>
                    </w:rPr>
                    <w:t>Actual Cost Value</w:t>
                  </w:r>
                </w:p>
              </w:tc>
            </w:tr>
            <w:tr w:rsidR="00773701" w:rsidRPr="00EA73B3" w14:paraId="26F15468" w14:textId="77777777" w:rsidTr="00F93425">
              <w:trPr>
                <w:trHeight w:val="127"/>
              </w:trPr>
              <w:tc>
                <w:tcPr>
                  <w:tcW w:w="2547" w:type="dxa"/>
                </w:tcPr>
                <w:p w14:paraId="22D3A938" w14:textId="38531FCC" w:rsidR="00773701" w:rsidRPr="00EA73B3" w:rsidRDefault="00773701" w:rsidP="00773701">
                  <w:pPr>
                    <w:rPr>
                      <w:rFonts w:eastAsia="Times New Roman" w:cs="Arial"/>
                      <w:b/>
                      <w:bCs/>
                      <w:sz w:val="20"/>
                      <w:szCs w:val="20"/>
                    </w:rPr>
                  </w:pPr>
                  <w:r w:rsidRPr="0A57A144">
                    <w:rPr>
                      <w:rFonts w:eastAsia="Times New Roman" w:cs="Arial"/>
                      <w:b/>
                      <w:bCs/>
                      <w:sz w:val="20"/>
                      <w:szCs w:val="20"/>
                    </w:rPr>
                    <w:t>Shippers:</w:t>
                  </w:r>
                </w:p>
              </w:tc>
              <w:tc>
                <w:tcPr>
                  <w:tcW w:w="1417" w:type="dxa"/>
                  <w:vAlign w:val="center"/>
                </w:tcPr>
                <w:p w14:paraId="2D0F9EFD" w14:textId="2517DEB8" w:rsidR="00773701" w:rsidRPr="00EA73B3" w:rsidRDefault="00773701" w:rsidP="00773701">
                  <w:pPr>
                    <w:jc w:val="center"/>
                    <w:rPr>
                      <w:rFonts w:eastAsia="Times New Roman" w:cs="Arial"/>
                      <w:sz w:val="20"/>
                      <w:szCs w:val="20"/>
                    </w:rPr>
                  </w:pPr>
                  <w:r>
                    <w:rPr>
                      <w:rFonts w:eastAsia="Times New Roman" w:cs="Arial"/>
                      <w:sz w:val="20"/>
                      <w:szCs w:val="20"/>
                    </w:rPr>
                    <w:t>59%</w:t>
                  </w:r>
                </w:p>
              </w:tc>
              <w:tc>
                <w:tcPr>
                  <w:tcW w:w="1729" w:type="dxa"/>
                  <w:vAlign w:val="center"/>
                </w:tcPr>
                <w:p w14:paraId="4B531AFD" w14:textId="64103935" w:rsidR="00773701" w:rsidRPr="00EA73B3" w:rsidRDefault="00773701" w:rsidP="00773701">
                  <w:pPr>
                    <w:jc w:val="center"/>
                    <w:rPr>
                      <w:rFonts w:eastAsia="Times New Roman" w:cs="Arial"/>
                      <w:sz w:val="20"/>
                      <w:szCs w:val="20"/>
                    </w:rPr>
                  </w:pPr>
                  <w:r>
                    <w:rPr>
                      <w:rFonts w:eastAsia="Times New Roman" w:cs="Arial"/>
                      <w:sz w:val="20"/>
                      <w:szCs w:val="20"/>
                    </w:rPr>
                    <w:t>59%</w:t>
                  </w:r>
                </w:p>
              </w:tc>
              <w:tc>
                <w:tcPr>
                  <w:tcW w:w="1532" w:type="dxa"/>
                  <w:vAlign w:val="center"/>
                </w:tcPr>
                <w:p w14:paraId="4E3F35E6" w14:textId="57707B92" w:rsidR="00773701" w:rsidRPr="00EA73B3" w:rsidRDefault="0009751D" w:rsidP="00773701">
                  <w:pPr>
                    <w:jc w:val="center"/>
                    <w:rPr>
                      <w:rFonts w:eastAsia="Times New Roman" w:cs="Arial"/>
                      <w:sz w:val="20"/>
                      <w:szCs w:val="20"/>
                    </w:rPr>
                  </w:pPr>
                  <w:r>
                    <w:rPr>
                      <w:rFonts w:eastAsia="Times New Roman" w:cs="Arial"/>
                      <w:sz w:val="20"/>
                      <w:szCs w:val="20"/>
                    </w:rPr>
                    <w:t>£94,400</w:t>
                  </w:r>
                </w:p>
              </w:tc>
              <w:tc>
                <w:tcPr>
                  <w:tcW w:w="2264" w:type="dxa"/>
                  <w:shd w:val="clear" w:color="auto" w:fill="auto"/>
                  <w:vAlign w:val="center"/>
                </w:tcPr>
                <w:p w14:paraId="6A039829" w14:textId="5268EA74" w:rsidR="00773701" w:rsidRPr="00F93425" w:rsidRDefault="005F0770" w:rsidP="00290A2C">
                  <w:pPr>
                    <w:jc w:val="center"/>
                    <w:rPr>
                      <w:rFonts w:eastAsia="Times New Roman" w:cs="Arial"/>
                      <w:sz w:val="20"/>
                      <w:szCs w:val="20"/>
                    </w:rPr>
                  </w:pPr>
                  <w:r w:rsidRPr="00F93425">
                    <w:rPr>
                      <w:rFonts w:eastAsia="Times New Roman" w:cs="Arial"/>
                      <w:sz w:val="20"/>
                      <w:szCs w:val="20"/>
                    </w:rPr>
                    <w:t>£</w:t>
                  </w:r>
                  <w:r w:rsidR="00EF6D9B" w:rsidRPr="00F93425">
                    <w:rPr>
                      <w:rFonts w:eastAsia="Times New Roman" w:cs="Arial"/>
                      <w:sz w:val="20"/>
                      <w:szCs w:val="20"/>
                    </w:rPr>
                    <w:t>62,540</w:t>
                  </w:r>
                </w:p>
              </w:tc>
            </w:tr>
            <w:tr w:rsidR="00773701" w:rsidRPr="00EA73B3" w14:paraId="199F5DC6" w14:textId="77777777" w:rsidTr="00F93425">
              <w:tc>
                <w:tcPr>
                  <w:tcW w:w="2547" w:type="dxa"/>
                </w:tcPr>
                <w:p w14:paraId="133FE8C2" w14:textId="77777777" w:rsidR="00773701" w:rsidRPr="00EA73B3" w:rsidRDefault="00773701" w:rsidP="00773701">
                  <w:pPr>
                    <w:rPr>
                      <w:rFonts w:eastAsia="Times New Roman" w:cs="Arial"/>
                      <w:b/>
                      <w:sz w:val="20"/>
                      <w:szCs w:val="20"/>
                    </w:rPr>
                  </w:pPr>
                  <w:r w:rsidRPr="00EA73B3">
                    <w:rPr>
                      <w:rFonts w:eastAsia="Times New Roman" w:cs="Arial"/>
                      <w:b/>
                      <w:sz w:val="20"/>
                      <w:szCs w:val="20"/>
                    </w:rPr>
                    <w:t>IGTs</w:t>
                  </w:r>
                </w:p>
              </w:tc>
              <w:tc>
                <w:tcPr>
                  <w:tcW w:w="1417" w:type="dxa"/>
                  <w:vAlign w:val="center"/>
                </w:tcPr>
                <w:p w14:paraId="15D11F30" w14:textId="5F4D6A1B" w:rsidR="00773701" w:rsidRPr="00EA73B3" w:rsidRDefault="00773701" w:rsidP="00773701">
                  <w:pPr>
                    <w:jc w:val="center"/>
                    <w:rPr>
                      <w:rFonts w:eastAsia="Times New Roman" w:cs="Arial"/>
                      <w:sz w:val="20"/>
                      <w:szCs w:val="20"/>
                    </w:rPr>
                  </w:pPr>
                  <w:r>
                    <w:rPr>
                      <w:rFonts w:eastAsia="Times New Roman" w:cs="Arial"/>
                      <w:sz w:val="20"/>
                      <w:szCs w:val="20"/>
                    </w:rPr>
                    <w:t>5.5%</w:t>
                  </w:r>
                </w:p>
              </w:tc>
              <w:tc>
                <w:tcPr>
                  <w:tcW w:w="1729" w:type="dxa"/>
                  <w:vAlign w:val="center"/>
                </w:tcPr>
                <w:p w14:paraId="12A63D92" w14:textId="5D6F98E5" w:rsidR="00773701" w:rsidRPr="00EA73B3" w:rsidRDefault="00773701" w:rsidP="00773701">
                  <w:pPr>
                    <w:jc w:val="center"/>
                    <w:rPr>
                      <w:rFonts w:eastAsia="Times New Roman" w:cs="Arial"/>
                      <w:sz w:val="20"/>
                      <w:szCs w:val="20"/>
                    </w:rPr>
                  </w:pPr>
                  <w:r>
                    <w:rPr>
                      <w:rFonts w:eastAsia="Times New Roman" w:cs="Arial"/>
                      <w:sz w:val="20"/>
                      <w:szCs w:val="20"/>
                    </w:rPr>
                    <w:t>5.5%</w:t>
                  </w:r>
                </w:p>
              </w:tc>
              <w:tc>
                <w:tcPr>
                  <w:tcW w:w="1532" w:type="dxa"/>
                  <w:vAlign w:val="center"/>
                </w:tcPr>
                <w:p w14:paraId="0E94C84F" w14:textId="0C7A7A14" w:rsidR="00773701" w:rsidRPr="00EA73B3" w:rsidRDefault="00F65BE6" w:rsidP="00773701">
                  <w:pPr>
                    <w:jc w:val="center"/>
                    <w:rPr>
                      <w:rFonts w:eastAsia="Times New Roman" w:cs="Arial"/>
                      <w:sz w:val="20"/>
                      <w:szCs w:val="20"/>
                    </w:rPr>
                  </w:pPr>
                  <w:r>
                    <w:rPr>
                      <w:rFonts w:eastAsia="Times New Roman" w:cs="Arial"/>
                      <w:sz w:val="20"/>
                      <w:szCs w:val="20"/>
                    </w:rPr>
                    <w:t>£8,800</w:t>
                  </w:r>
                </w:p>
              </w:tc>
              <w:tc>
                <w:tcPr>
                  <w:tcW w:w="2264" w:type="dxa"/>
                  <w:shd w:val="clear" w:color="auto" w:fill="auto"/>
                  <w:vAlign w:val="center"/>
                </w:tcPr>
                <w:p w14:paraId="7CD53000" w14:textId="1DF739DC" w:rsidR="00773701" w:rsidRPr="00F93425" w:rsidRDefault="00EF6D9B" w:rsidP="00290A2C">
                  <w:pPr>
                    <w:jc w:val="center"/>
                    <w:rPr>
                      <w:rFonts w:eastAsia="Times New Roman" w:cs="Arial"/>
                      <w:sz w:val="20"/>
                      <w:szCs w:val="20"/>
                    </w:rPr>
                  </w:pPr>
                  <w:r w:rsidRPr="00F93425">
                    <w:rPr>
                      <w:rFonts w:eastAsia="Times New Roman" w:cs="Arial"/>
                      <w:sz w:val="20"/>
                      <w:szCs w:val="20"/>
                    </w:rPr>
                    <w:t>£5,830</w:t>
                  </w:r>
                </w:p>
              </w:tc>
            </w:tr>
            <w:tr w:rsidR="00773701" w:rsidRPr="00EA73B3" w14:paraId="634F441F" w14:textId="77777777" w:rsidTr="00F93425">
              <w:tc>
                <w:tcPr>
                  <w:tcW w:w="2547" w:type="dxa"/>
                </w:tcPr>
                <w:p w14:paraId="11DD2C74" w14:textId="77777777" w:rsidR="00773701" w:rsidRPr="00EA73B3" w:rsidRDefault="00773701" w:rsidP="00773701">
                  <w:pPr>
                    <w:rPr>
                      <w:rFonts w:eastAsia="Times New Roman" w:cs="Arial"/>
                      <w:b/>
                      <w:sz w:val="20"/>
                      <w:szCs w:val="20"/>
                    </w:rPr>
                  </w:pPr>
                  <w:r w:rsidRPr="00EA73B3">
                    <w:rPr>
                      <w:rFonts w:eastAsia="Times New Roman" w:cs="Arial"/>
                      <w:b/>
                      <w:sz w:val="20"/>
                      <w:szCs w:val="20"/>
                    </w:rPr>
                    <w:t>DNOs</w:t>
                  </w:r>
                </w:p>
              </w:tc>
              <w:tc>
                <w:tcPr>
                  <w:tcW w:w="1417" w:type="dxa"/>
                  <w:vAlign w:val="center"/>
                </w:tcPr>
                <w:p w14:paraId="6CFF2878" w14:textId="462CBC32" w:rsidR="00773701" w:rsidRPr="00EA73B3" w:rsidRDefault="00773701" w:rsidP="00773701">
                  <w:pPr>
                    <w:jc w:val="center"/>
                    <w:rPr>
                      <w:rFonts w:eastAsia="Times New Roman" w:cs="Arial"/>
                      <w:sz w:val="20"/>
                      <w:szCs w:val="20"/>
                    </w:rPr>
                  </w:pPr>
                  <w:r>
                    <w:rPr>
                      <w:rFonts w:eastAsia="Times New Roman" w:cs="Arial"/>
                      <w:sz w:val="20"/>
                      <w:szCs w:val="20"/>
                    </w:rPr>
                    <w:t>35.5%</w:t>
                  </w:r>
                </w:p>
              </w:tc>
              <w:tc>
                <w:tcPr>
                  <w:tcW w:w="1729" w:type="dxa"/>
                  <w:vAlign w:val="center"/>
                </w:tcPr>
                <w:p w14:paraId="13C064A1" w14:textId="1D495F96" w:rsidR="00773701" w:rsidRPr="00EA73B3" w:rsidRDefault="00773701" w:rsidP="00773701">
                  <w:pPr>
                    <w:jc w:val="center"/>
                    <w:rPr>
                      <w:rFonts w:eastAsia="Times New Roman" w:cs="Arial"/>
                      <w:sz w:val="20"/>
                      <w:szCs w:val="20"/>
                    </w:rPr>
                  </w:pPr>
                  <w:r>
                    <w:rPr>
                      <w:rFonts w:eastAsia="Times New Roman" w:cs="Arial"/>
                      <w:sz w:val="20"/>
                      <w:szCs w:val="20"/>
                    </w:rPr>
                    <w:t>35.5%</w:t>
                  </w:r>
                </w:p>
              </w:tc>
              <w:tc>
                <w:tcPr>
                  <w:tcW w:w="1532" w:type="dxa"/>
                  <w:vAlign w:val="center"/>
                </w:tcPr>
                <w:p w14:paraId="56E130A8" w14:textId="25D56B62" w:rsidR="00773701" w:rsidRPr="00EA73B3" w:rsidRDefault="00F65BE6" w:rsidP="00773701">
                  <w:pPr>
                    <w:jc w:val="center"/>
                    <w:rPr>
                      <w:rFonts w:eastAsia="Times New Roman" w:cs="Arial"/>
                      <w:sz w:val="20"/>
                      <w:szCs w:val="20"/>
                    </w:rPr>
                  </w:pPr>
                  <w:r>
                    <w:rPr>
                      <w:rFonts w:eastAsia="Times New Roman" w:cs="Arial"/>
                      <w:sz w:val="20"/>
                      <w:szCs w:val="20"/>
                    </w:rPr>
                    <w:t>£56,800</w:t>
                  </w:r>
                </w:p>
              </w:tc>
              <w:tc>
                <w:tcPr>
                  <w:tcW w:w="2264" w:type="dxa"/>
                  <w:shd w:val="clear" w:color="auto" w:fill="auto"/>
                  <w:vAlign w:val="center"/>
                </w:tcPr>
                <w:p w14:paraId="18147167" w14:textId="59DAC5F6" w:rsidR="00773701" w:rsidRPr="00F93425" w:rsidRDefault="009E2776" w:rsidP="00290A2C">
                  <w:pPr>
                    <w:jc w:val="center"/>
                    <w:rPr>
                      <w:rFonts w:eastAsia="Times New Roman" w:cs="Arial"/>
                      <w:sz w:val="20"/>
                      <w:szCs w:val="20"/>
                    </w:rPr>
                  </w:pPr>
                  <w:r w:rsidRPr="00F93425">
                    <w:rPr>
                      <w:rFonts w:eastAsia="Times New Roman" w:cs="Arial"/>
                      <w:sz w:val="20"/>
                      <w:szCs w:val="20"/>
                    </w:rPr>
                    <w:t>£37,630</w:t>
                  </w:r>
                </w:p>
              </w:tc>
            </w:tr>
            <w:tr w:rsidR="00773701" w:rsidRPr="00EA73B3" w14:paraId="66A0BF97" w14:textId="77777777" w:rsidTr="00F93425">
              <w:tc>
                <w:tcPr>
                  <w:tcW w:w="2547" w:type="dxa"/>
                </w:tcPr>
                <w:p w14:paraId="72F552F1" w14:textId="77777777" w:rsidR="00773701" w:rsidRPr="00EA73B3" w:rsidRDefault="00773701" w:rsidP="00773701">
                  <w:pPr>
                    <w:rPr>
                      <w:rFonts w:eastAsia="Times New Roman" w:cs="Arial"/>
                      <w:b/>
                      <w:sz w:val="20"/>
                      <w:szCs w:val="20"/>
                    </w:rPr>
                  </w:pPr>
                  <w:r w:rsidRPr="00EA73B3">
                    <w:rPr>
                      <w:rFonts w:eastAsia="Times New Roman" w:cs="Arial"/>
                      <w:b/>
                      <w:sz w:val="20"/>
                      <w:szCs w:val="20"/>
                    </w:rPr>
                    <w:t>Transmission</w:t>
                  </w:r>
                </w:p>
              </w:tc>
              <w:tc>
                <w:tcPr>
                  <w:tcW w:w="1417" w:type="dxa"/>
                  <w:vAlign w:val="center"/>
                </w:tcPr>
                <w:p w14:paraId="487BE727" w14:textId="23C69B81" w:rsidR="00773701" w:rsidRPr="00EA73B3" w:rsidRDefault="00773701" w:rsidP="00773701">
                  <w:pPr>
                    <w:jc w:val="center"/>
                    <w:rPr>
                      <w:rFonts w:eastAsia="Times New Roman" w:cs="Arial"/>
                      <w:sz w:val="20"/>
                      <w:szCs w:val="20"/>
                    </w:rPr>
                  </w:pPr>
                  <w:r>
                    <w:rPr>
                      <w:rFonts w:eastAsia="Times New Roman" w:cs="Arial"/>
                      <w:sz w:val="20"/>
                      <w:szCs w:val="20"/>
                    </w:rPr>
                    <w:t>n/a</w:t>
                  </w:r>
                </w:p>
              </w:tc>
              <w:tc>
                <w:tcPr>
                  <w:tcW w:w="1729" w:type="dxa"/>
                  <w:vAlign w:val="center"/>
                </w:tcPr>
                <w:p w14:paraId="545FA9E5" w14:textId="22E4C187" w:rsidR="00773701" w:rsidRPr="00EA73B3" w:rsidRDefault="00773701" w:rsidP="00773701">
                  <w:pPr>
                    <w:jc w:val="center"/>
                    <w:rPr>
                      <w:rFonts w:eastAsia="Times New Roman" w:cs="Arial"/>
                      <w:sz w:val="20"/>
                      <w:szCs w:val="20"/>
                    </w:rPr>
                  </w:pPr>
                  <w:r>
                    <w:rPr>
                      <w:rFonts w:eastAsia="Times New Roman" w:cs="Arial"/>
                      <w:sz w:val="20"/>
                      <w:szCs w:val="20"/>
                    </w:rPr>
                    <w:t>n/a</w:t>
                  </w:r>
                </w:p>
              </w:tc>
              <w:tc>
                <w:tcPr>
                  <w:tcW w:w="1532" w:type="dxa"/>
                  <w:vAlign w:val="center"/>
                </w:tcPr>
                <w:p w14:paraId="75059127" w14:textId="0D548977" w:rsidR="00773701" w:rsidRPr="00EA73B3" w:rsidRDefault="00227FDE" w:rsidP="00773701">
                  <w:pPr>
                    <w:jc w:val="center"/>
                    <w:rPr>
                      <w:rFonts w:eastAsia="Times New Roman" w:cs="Arial"/>
                      <w:sz w:val="20"/>
                      <w:szCs w:val="20"/>
                    </w:rPr>
                  </w:pPr>
                  <w:r>
                    <w:rPr>
                      <w:rFonts w:eastAsia="Times New Roman" w:cs="Arial"/>
                      <w:sz w:val="20"/>
                      <w:szCs w:val="20"/>
                    </w:rPr>
                    <w:t>n/a</w:t>
                  </w:r>
                </w:p>
              </w:tc>
              <w:tc>
                <w:tcPr>
                  <w:tcW w:w="2264" w:type="dxa"/>
                  <w:shd w:val="clear" w:color="auto" w:fill="auto"/>
                  <w:vAlign w:val="center"/>
                </w:tcPr>
                <w:p w14:paraId="719E72A3" w14:textId="34B2EB68" w:rsidR="00773701" w:rsidRPr="00F93425" w:rsidRDefault="00227FDE" w:rsidP="00290A2C">
                  <w:pPr>
                    <w:jc w:val="center"/>
                    <w:rPr>
                      <w:rFonts w:eastAsia="Times New Roman" w:cs="Arial"/>
                      <w:sz w:val="20"/>
                      <w:szCs w:val="20"/>
                    </w:rPr>
                  </w:pPr>
                  <w:r w:rsidRPr="00F93425">
                    <w:rPr>
                      <w:rFonts w:eastAsia="Times New Roman" w:cs="Arial"/>
                      <w:sz w:val="20"/>
                      <w:szCs w:val="20"/>
                    </w:rPr>
                    <w:t>n/a</w:t>
                  </w:r>
                </w:p>
              </w:tc>
            </w:tr>
            <w:tr w:rsidR="00773701" w:rsidRPr="00EA73B3" w14:paraId="620BFD5F" w14:textId="77777777" w:rsidTr="00F93425">
              <w:trPr>
                <w:trHeight w:val="53"/>
              </w:trPr>
              <w:tc>
                <w:tcPr>
                  <w:tcW w:w="2547" w:type="dxa"/>
                </w:tcPr>
                <w:p w14:paraId="3FE2DEBE" w14:textId="77777777" w:rsidR="00773701" w:rsidRPr="00EA73B3" w:rsidRDefault="00773701" w:rsidP="00773701">
                  <w:pPr>
                    <w:rPr>
                      <w:rFonts w:eastAsia="Times New Roman" w:cs="Arial"/>
                      <w:b/>
                      <w:sz w:val="20"/>
                      <w:szCs w:val="20"/>
                    </w:rPr>
                  </w:pPr>
                  <w:r w:rsidRPr="00EA73B3">
                    <w:rPr>
                      <w:rFonts w:eastAsia="Times New Roman" w:cs="Arial"/>
                      <w:b/>
                      <w:sz w:val="20"/>
                      <w:szCs w:val="20"/>
                    </w:rPr>
                    <w:t>DN’s &amp; IGT</w:t>
                  </w:r>
                </w:p>
              </w:tc>
              <w:tc>
                <w:tcPr>
                  <w:tcW w:w="1417" w:type="dxa"/>
                  <w:vAlign w:val="center"/>
                </w:tcPr>
                <w:p w14:paraId="7D880586" w14:textId="2374291D" w:rsidR="00773701" w:rsidRPr="00EA73B3" w:rsidRDefault="00773701" w:rsidP="00773701">
                  <w:pPr>
                    <w:jc w:val="center"/>
                    <w:rPr>
                      <w:rFonts w:eastAsia="Times New Roman" w:cs="Arial"/>
                      <w:sz w:val="20"/>
                      <w:szCs w:val="20"/>
                    </w:rPr>
                  </w:pPr>
                  <w:r>
                    <w:rPr>
                      <w:rFonts w:eastAsia="Times New Roman" w:cs="Arial"/>
                      <w:sz w:val="20"/>
                      <w:szCs w:val="20"/>
                    </w:rPr>
                    <w:t>n/a</w:t>
                  </w:r>
                </w:p>
              </w:tc>
              <w:tc>
                <w:tcPr>
                  <w:tcW w:w="1729" w:type="dxa"/>
                  <w:vAlign w:val="center"/>
                </w:tcPr>
                <w:p w14:paraId="6648D219" w14:textId="3CE12F2F" w:rsidR="00773701" w:rsidRPr="00EA73B3" w:rsidRDefault="00773701" w:rsidP="00773701">
                  <w:pPr>
                    <w:jc w:val="center"/>
                    <w:rPr>
                      <w:rFonts w:eastAsia="Times New Roman" w:cs="Arial"/>
                      <w:sz w:val="20"/>
                      <w:szCs w:val="20"/>
                    </w:rPr>
                  </w:pPr>
                  <w:r>
                    <w:rPr>
                      <w:rFonts w:eastAsia="Times New Roman" w:cs="Arial"/>
                      <w:sz w:val="20"/>
                      <w:szCs w:val="20"/>
                    </w:rPr>
                    <w:t>n/a</w:t>
                  </w:r>
                </w:p>
              </w:tc>
              <w:tc>
                <w:tcPr>
                  <w:tcW w:w="1532" w:type="dxa"/>
                  <w:vAlign w:val="center"/>
                </w:tcPr>
                <w:p w14:paraId="12B102FE" w14:textId="124E22BB" w:rsidR="00773701" w:rsidRPr="00EA73B3" w:rsidRDefault="00227FDE" w:rsidP="00773701">
                  <w:pPr>
                    <w:jc w:val="center"/>
                    <w:rPr>
                      <w:rFonts w:eastAsia="Times New Roman" w:cs="Arial"/>
                      <w:sz w:val="20"/>
                      <w:szCs w:val="20"/>
                    </w:rPr>
                  </w:pPr>
                  <w:r>
                    <w:rPr>
                      <w:rFonts w:eastAsia="Times New Roman" w:cs="Arial"/>
                      <w:sz w:val="20"/>
                      <w:szCs w:val="20"/>
                    </w:rPr>
                    <w:t>n/a</w:t>
                  </w:r>
                </w:p>
              </w:tc>
              <w:tc>
                <w:tcPr>
                  <w:tcW w:w="2264" w:type="dxa"/>
                  <w:shd w:val="clear" w:color="auto" w:fill="auto"/>
                  <w:vAlign w:val="center"/>
                </w:tcPr>
                <w:p w14:paraId="2BCC920E" w14:textId="470BC02D" w:rsidR="00773701" w:rsidRPr="00F93425" w:rsidRDefault="00227FDE" w:rsidP="00290A2C">
                  <w:pPr>
                    <w:jc w:val="center"/>
                    <w:rPr>
                      <w:rFonts w:eastAsia="Times New Roman" w:cs="Arial"/>
                      <w:sz w:val="20"/>
                      <w:szCs w:val="20"/>
                    </w:rPr>
                  </w:pPr>
                  <w:r w:rsidRPr="00F93425">
                    <w:rPr>
                      <w:rFonts w:eastAsia="Times New Roman" w:cs="Arial"/>
                      <w:sz w:val="20"/>
                      <w:szCs w:val="20"/>
                    </w:rPr>
                    <w:t>n/a</w:t>
                  </w:r>
                </w:p>
              </w:tc>
            </w:tr>
          </w:tbl>
          <w:p w14:paraId="56004A90" w14:textId="07854813" w:rsidR="00C61A4C" w:rsidRDefault="00C61A4C" w:rsidP="00EA73B3">
            <w:pPr>
              <w:contextualSpacing/>
              <w:rPr>
                <w:rFonts w:eastAsia="Times New Roman" w:cs="Arial"/>
                <w:b/>
                <w:i/>
                <w:sz w:val="20"/>
                <w:szCs w:val="20"/>
              </w:rPr>
            </w:pPr>
          </w:p>
          <w:p w14:paraId="0CCFCEB8" w14:textId="77777777" w:rsidR="002D1A84" w:rsidRDefault="002D1A84" w:rsidP="00EA73B3">
            <w:pPr>
              <w:contextualSpacing/>
              <w:rPr>
                <w:sz w:val="20"/>
                <w:szCs w:val="20"/>
              </w:rPr>
            </w:pPr>
            <w:r>
              <w:rPr>
                <w:sz w:val="20"/>
                <w:szCs w:val="20"/>
              </w:rPr>
              <w:t xml:space="preserve">As outlined within the EQR, </w:t>
            </w:r>
            <w:r w:rsidRPr="002D1A84">
              <w:rPr>
                <w:sz w:val="20"/>
                <w:szCs w:val="20"/>
              </w:rPr>
              <w:t>DN</w:t>
            </w:r>
            <w:r>
              <w:rPr>
                <w:sz w:val="20"/>
                <w:szCs w:val="20"/>
              </w:rPr>
              <w:t>O</w:t>
            </w:r>
            <w:r w:rsidRPr="002D1A84">
              <w:rPr>
                <w:sz w:val="20"/>
                <w:szCs w:val="20"/>
              </w:rPr>
              <w:t>s and IGTs are signatories to the REC, as are Suppliers. Given the role being considered here, this role is expected to provide assessment of changes through REC that will directly impact DN</w:t>
            </w:r>
            <w:r>
              <w:rPr>
                <w:sz w:val="20"/>
                <w:szCs w:val="20"/>
              </w:rPr>
              <w:t>O</w:t>
            </w:r>
            <w:r w:rsidRPr="002D1A84">
              <w:rPr>
                <w:sz w:val="20"/>
                <w:szCs w:val="20"/>
              </w:rPr>
              <w:t xml:space="preserve">s and IGTs responsibilities in the REC, and those placed indirectly on Shippers through their Suppliers responsibilities. </w:t>
            </w:r>
          </w:p>
          <w:p w14:paraId="224735E7" w14:textId="77777777" w:rsidR="002D1A84" w:rsidRDefault="002D1A84" w:rsidP="00EA73B3">
            <w:pPr>
              <w:contextualSpacing/>
              <w:rPr>
                <w:sz w:val="20"/>
                <w:szCs w:val="20"/>
              </w:rPr>
            </w:pPr>
          </w:p>
          <w:p w14:paraId="1F2AC098" w14:textId="0949CA3E" w:rsidR="00F65BE6" w:rsidRDefault="002D1A84" w:rsidP="00EA73B3">
            <w:pPr>
              <w:contextualSpacing/>
              <w:rPr>
                <w:sz w:val="20"/>
                <w:szCs w:val="20"/>
              </w:rPr>
            </w:pPr>
            <w:r w:rsidRPr="002D1A84">
              <w:rPr>
                <w:sz w:val="20"/>
                <w:szCs w:val="20"/>
              </w:rPr>
              <w:t>Consequently, we anticipate funding of the REC recourse support will be split between these DSC parties. The split of the funding has been proposed to mirror the split for the REC Investment Funding Split discussed as part of the Business Plan.</w:t>
            </w:r>
          </w:p>
          <w:p w14:paraId="6EE0561B" w14:textId="2F5442BF" w:rsidR="005F4EBA" w:rsidRPr="004950B4" w:rsidRDefault="005F4EBA" w:rsidP="00EA73B3">
            <w:pPr>
              <w:contextualSpacing/>
              <w:rPr>
                <w:rFonts w:eastAsia="Times New Roman" w:cs="Arial"/>
                <w:b/>
                <w:i/>
                <w:sz w:val="20"/>
                <w:szCs w:val="20"/>
              </w:rPr>
            </w:pPr>
          </w:p>
          <w:p w14:paraId="6E168F3E" w14:textId="77777777" w:rsidR="00A33555" w:rsidRDefault="005F4EBA" w:rsidP="00EA73B3">
            <w:pPr>
              <w:contextualSpacing/>
              <w:rPr>
                <w:rFonts w:eastAsia="Times New Roman" w:cs="Arial"/>
                <w:bCs/>
                <w:iCs/>
                <w:sz w:val="20"/>
                <w:szCs w:val="20"/>
              </w:rPr>
            </w:pPr>
            <w:r w:rsidRPr="004950B4">
              <w:rPr>
                <w:rFonts w:eastAsia="Times New Roman" w:cs="Arial"/>
                <w:bCs/>
                <w:iCs/>
                <w:sz w:val="20"/>
                <w:szCs w:val="20"/>
              </w:rPr>
              <w:t xml:space="preserve">Please note </w:t>
            </w:r>
            <w:r w:rsidR="00550FE1" w:rsidRPr="004950B4">
              <w:rPr>
                <w:rFonts w:eastAsia="Times New Roman" w:cs="Arial"/>
                <w:bCs/>
                <w:iCs/>
                <w:sz w:val="20"/>
                <w:szCs w:val="20"/>
              </w:rPr>
              <w:t>–</w:t>
            </w:r>
            <w:r w:rsidRPr="004950B4">
              <w:rPr>
                <w:rFonts w:eastAsia="Times New Roman" w:cs="Arial"/>
                <w:bCs/>
                <w:iCs/>
                <w:sz w:val="20"/>
                <w:szCs w:val="20"/>
              </w:rPr>
              <w:t xml:space="preserve"> </w:t>
            </w:r>
            <w:r w:rsidR="00546B09" w:rsidRPr="004950B4">
              <w:rPr>
                <w:rFonts w:eastAsia="Times New Roman" w:cs="Arial"/>
                <w:bCs/>
                <w:iCs/>
                <w:sz w:val="20"/>
                <w:szCs w:val="20"/>
              </w:rPr>
              <w:t>within the EQR</w:t>
            </w:r>
            <w:r w:rsidR="004950B4">
              <w:rPr>
                <w:rFonts w:eastAsia="Times New Roman" w:cs="Arial"/>
                <w:bCs/>
                <w:iCs/>
                <w:sz w:val="20"/>
                <w:szCs w:val="20"/>
              </w:rPr>
              <w:t>,</w:t>
            </w:r>
            <w:r w:rsidR="00546B09" w:rsidRPr="004950B4">
              <w:rPr>
                <w:rFonts w:eastAsia="Times New Roman" w:cs="Arial"/>
                <w:bCs/>
                <w:iCs/>
                <w:sz w:val="20"/>
                <w:szCs w:val="20"/>
              </w:rPr>
              <w:t xml:space="preserve"> </w:t>
            </w:r>
            <w:r w:rsidR="004950B4">
              <w:rPr>
                <w:rFonts w:eastAsia="Times New Roman" w:cs="Arial"/>
                <w:bCs/>
                <w:iCs/>
                <w:sz w:val="20"/>
                <w:szCs w:val="20"/>
              </w:rPr>
              <w:t>ChMC approved</w:t>
            </w:r>
            <w:r w:rsidR="00546B09" w:rsidRPr="004950B4">
              <w:rPr>
                <w:rFonts w:eastAsia="Times New Roman" w:cs="Arial"/>
                <w:bCs/>
                <w:iCs/>
                <w:sz w:val="20"/>
                <w:szCs w:val="20"/>
              </w:rPr>
              <w:t xml:space="preserve"> £160,000</w:t>
            </w:r>
            <w:r w:rsidR="003249DA">
              <w:rPr>
                <w:rFonts w:eastAsia="Times New Roman" w:cs="Arial"/>
                <w:bCs/>
                <w:iCs/>
                <w:sz w:val="20"/>
                <w:szCs w:val="20"/>
              </w:rPr>
              <w:t xml:space="preserve"> of the £250,000 ring-fenced amount </w:t>
            </w:r>
            <w:r w:rsidR="00A33555">
              <w:rPr>
                <w:rFonts w:eastAsia="Times New Roman" w:cs="Arial"/>
                <w:bCs/>
                <w:iCs/>
                <w:sz w:val="20"/>
                <w:szCs w:val="20"/>
              </w:rPr>
              <w:t>for REC within the 2022/23 DSC Change Budget</w:t>
            </w:r>
            <w:r w:rsidR="00546B09" w:rsidRPr="004950B4">
              <w:rPr>
                <w:rFonts w:eastAsia="Times New Roman" w:cs="Arial"/>
                <w:bCs/>
                <w:iCs/>
                <w:sz w:val="20"/>
                <w:szCs w:val="20"/>
              </w:rPr>
              <w:t xml:space="preserve"> for </w:t>
            </w:r>
            <w:r w:rsidR="005E074B" w:rsidRPr="004950B4">
              <w:rPr>
                <w:rFonts w:eastAsia="Times New Roman" w:cs="Arial"/>
                <w:bCs/>
                <w:iCs/>
                <w:sz w:val="20"/>
                <w:szCs w:val="20"/>
              </w:rPr>
              <w:t xml:space="preserve">XRN5485. </w:t>
            </w:r>
          </w:p>
          <w:p w14:paraId="091F5EFA" w14:textId="77777777" w:rsidR="00A33555" w:rsidRDefault="00A33555" w:rsidP="00EA73B3">
            <w:pPr>
              <w:contextualSpacing/>
              <w:rPr>
                <w:rFonts w:eastAsia="Times New Roman" w:cs="Arial"/>
                <w:bCs/>
                <w:iCs/>
                <w:sz w:val="20"/>
                <w:szCs w:val="20"/>
              </w:rPr>
            </w:pPr>
          </w:p>
          <w:p w14:paraId="4E915375" w14:textId="186C94B3" w:rsidR="005F4EBA" w:rsidRPr="004950B4" w:rsidRDefault="005E074B" w:rsidP="00EA73B3">
            <w:pPr>
              <w:contextualSpacing/>
              <w:rPr>
                <w:rFonts w:eastAsia="Times New Roman" w:cs="Arial"/>
                <w:bCs/>
                <w:iCs/>
                <w:sz w:val="20"/>
                <w:szCs w:val="20"/>
              </w:rPr>
            </w:pPr>
            <w:r w:rsidRPr="004950B4">
              <w:rPr>
                <w:rFonts w:eastAsia="Times New Roman" w:cs="Arial"/>
                <w:bCs/>
                <w:iCs/>
                <w:sz w:val="20"/>
                <w:szCs w:val="20"/>
              </w:rPr>
              <w:t>As the</w:t>
            </w:r>
            <w:r w:rsidR="00A33555">
              <w:rPr>
                <w:rFonts w:eastAsia="Times New Roman" w:cs="Arial"/>
                <w:bCs/>
                <w:iCs/>
                <w:sz w:val="20"/>
                <w:szCs w:val="20"/>
              </w:rPr>
              <w:t xml:space="preserve"> cost for XRN5485 </w:t>
            </w:r>
            <w:r w:rsidR="00B75F09" w:rsidRPr="004950B4">
              <w:rPr>
                <w:rFonts w:eastAsia="Times New Roman" w:cs="Arial"/>
                <w:bCs/>
                <w:iCs/>
                <w:sz w:val="20"/>
                <w:szCs w:val="20"/>
              </w:rPr>
              <w:t xml:space="preserve">for financial year 2022/23 </w:t>
            </w:r>
            <w:r w:rsidR="00B459AF">
              <w:rPr>
                <w:rFonts w:eastAsia="Times New Roman" w:cs="Arial"/>
                <w:bCs/>
                <w:iCs/>
                <w:sz w:val="20"/>
                <w:szCs w:val="20"/>
              </w:rPr>
              <w:t>has been conf</w:t>
            </w:r>
            <w:r w:rsidR="00B75F09" w:rsidRPr="004950B4">
              <w:rPr>
                <w:rFonts w:eastAsia="Times New Roman" w:cs="Arial"/>
                <w:bCs/>
                <w:iCs/>
                <w:sz w:val="20"/>
                <w:szCs w:val="20"/>
              </w:rPr>
              <w:t>i</w:t>
            </w:r>
            <w:r w:rsidR="00B459AF">
              <w:rPr>
                <w:rFonts w:eastAsia="Times New Roman" w:cs="Arial"/>
                <w:bCs/>
                <w:iCs/>
                <w:sz w:val="20"/>
                <w:szCs w:val="20"/>
              </w:rPr>
              <w:t>rmed as</w:t>
            </w:r>
            <w:r w:rsidR="00B75F09" w:rsidRPr="004950B4">
              <w:rPr>
                <w:rFonts w:eastAsia="Times New Roman" w:cs="Arial"/>
                <w:bCs/>
                <w:iCs/>
                <w:sz w:val="20"/>
                <w:szCs w:val="20"/>
              </w:rPr>
              <w:t xml:space="preserve"> £106,000, </w:t>
            </w:r>
            <w:r w:rsidR="005321DE" w:rsidRPr="00B459AF">
              <w:rPr>
                <w:rFonts w:eastAsia="Times New Roman" w:cs="Arial"/>
                <w:bCs/>
                <w:iCs/>
                <w:sz w:val="20"/>
                <w:szCs w:val="20"/>
                <w:u w:val="single"/>
              </w:rPr>
              <w:t>£54,000</w:t>
            </w:r>
            <w:r w:rsidR="005321DE" w:rsidRPr="004950B4">
              <w:rPr>
                <w:rFonts w:eastAsia="Times New Roman" w:cs="Arial"/>
                <w:bCs/>
                <w:iCs/>
                <w:sz w:val="20"/>
                <w:szCs w:val="20"/>
              </w:rPr>
              <w:t xml:space="preserve"> </w:t>
            </w:r>
            <w:r w:rsidR="00786785" w:rsidRPr="004950B4">
              <w:rPr>
                <w:rFonts w:eastAsia="Times New Roman" w:cs="Arial"/>
                <w:bCs/>
                <w:iCs/>
                <w:sz w:val="20"/>
                <w:szCs w:val="20"/>
              </w:rPr>
              <w:t xml:space="preserve">has not be utilised </w:t>
            </w:r>
            <w:r w:rsidR="002B2388" w:rsidRPr="004950B4">
              <w:rPr>
                <w:rFonts w:eastAsia="Times New Roman" w:cs="Arial"/>
                <w:bCs/>
                <w:iCs/>
                <w:sz w:val="20"/>
                <w:szCs w:val="20"/>
              </w:rPr>
              <w:t xml:space="preserve">therefore this amount will remain in the </w:t>
            </w:r>
            <w:r w:rsidR="004950B4" w:rsidRPr="004950B4">
              <w:rPr>
                <w:rFonts w:eastAsia="Times New Roman" w:cs="Arial"/>
                <w:bCs/>
                <w:iCs/>
                <w:sz w:val="20"/>
                <w:szCs w:val="20"/>
              </w:rPr>
              <w:t xml:space="preserve">DSC Change Budget 2022/23 as part of the ring-fenced amount to fund REC. </w:t>
            </w:r>
          </w:p>
          <w:p w14:paraId="1672974D" w14:textId="6439552B" w:rsidR="00E84FB2" w:rsidRPr="00EA73B3" w:rsidRDefault="00E84FB2" w:rsidP="00EA73B3">
            <w:pPr>
              <w:contextualSpacing/>
              <w:rPr>
                <w:rFonts w:eastAsia="Times New Roman" w:cs="Arial"/>
                <w:b/>
                <w:i/>
                <w:sz w:val="20"/>
                <w:szCs w:val="20"/>
              </w:rPr>
            </w:pPr>
          </w:p>
        </w:tc>
      </w:tr>
      <w:tr w:rsidR="00EA73B3" w:rsidRPr="00EA73B3" w14:paraId="3A67F60A" w14:textId="77777777" w:rsidTr="0A57A144">
        <w:tc>
          <w:tcPr>
            <w:tcW w:w="5000" w:type="pct"/>
            <w:gridSpan w:val="2"/>
            <w:tcBorders>
              <w:bottom w:val="single" w:sz="4" w:space="0" w:color="auto"/>
            </w:tcBorders>
            <w:shd w:val="clear" w:color="auto" w:fill="3E5AA8" w:themeFill="accent1"/>
            <w:vAlign w:val="center"/>
          </w:tcPr>
          <w:p w14:paraId="72C63EE6" w14:textId="77777777" w:rsidR="00EA73B3" w:rsidRPr="00EA73B3" w:rsidRDefault="00EA73B3" w:rsidP="00EA73B3">
            <w:pPr>
              <w:jc w:val="center"/>
              <w:rPr>
                <w:rFonts w:eastAsia="Times New Roman" w:cs="Arial"/>
                <w:b/>
                <w:color w:val="0070C0"/>
              </w:rPr>
            </w:pPr>
            <w:r w:rsidRPr="00EA73B3">
              <w:rPr>
                <w:rFonts w:eastAsia="Arial" w:cs="Arial"/>
                <w:b/>
                <w:color w:val="FFFFFF"/>
                <w:sz w:val="20"/>
                <w:lang w:eastAsia="en-US"/>
              </w:rPr>
              <w:t>Section 3: Provide a summary of any agreed scope changes</w:t>
            </w:r>
          </w:p>
        </w:tc>
      </w:tr>
      <w:tr w:rsidR="00EA73B3" w:rsidRPr="00EA73B3" w14:paraId="373C6975" w14:textId="77777777" w:rsidTr="0A57A144">
        <w:tc>
          <w:tcPr>
            <w:tcW w:w="5000" w:type="pct"/>
            <w:gridSpan w:val="2"/>
            <w:tcBorders>
              <w:bottom w:val="single" w:sz="4" w:space="0" w:color="auto"/>
            </w:tcBorders>
            <w:shd w:val="clear" w:color="auto" w:fill="FFFFFF" w:themeFill="background1"/>
            <w:vAlign w:val="center"/>
          </w:tcPr>
          <w:p w14:paraId="4156BA78" w14:textId="217D873E" w:rsidR="000A5DB6" w:rsidRPr="00EA73B3" w:rsidRDefault="000A5DB6" w:rsidP="0A57A144">
            <w:pPr>
              <w:spacing w:line="276" w:lineRule="auto"/>
              <w:contextualSpacing/>
              <w:rPr>
                <w:rFonts w:eastAsia="Times New Roman" w:cs="Arial"/>
                <w:sz w:val="20"/>
                <w:szCs w:val="20"/>
              </w:rPr>
            </w:pPr>
            <w:r>
              <w:rPr>
                <w:rFonts w:eastAsia="Times New Roman" w:cs="Arial"/>
                <w:sz w:val="20"/>
                <w:szCs w:val="20"/>
              </w:rPr>
              <w:t xml:space="preserve">No scope changes agreed. XRN5485 was raised to secure essential resource to support </w:t>
            </w:r>
            <w:proofErr w:type="gramStart"/>
            <w:r>
              <w:rPr>
                <w:rFonts w:eastAsia="Times New Roman" w:cs="Arial"/>
                <w:sz w:val="20"/>
                <w:szCs w:val="20"/>
              </w:rPr>
              <w:t>REC</w:t>
            </w:r>
            <w:proofErr w:type="gramEnd"/>
            <w:r>
              <w:rPr>
                <w:rFonts w:eastAsia="Times New Roman" w:cs="Arial"/>
                <w:sz w:val="20"/>
                <w:szCs w:val="20"/>
              </w:rPr>
              <w:t xml:space="preserve"> and this has been completed. </w:t>
            </w:r>
          </w:p>
        </w:tc>
      </w:tr>
      <w:tr w:rsidR="00EA73B3" w:rsidRPr="00EA73B3" w14:paraId="44DCE113" w14:textId="77777777" w:rsidTr="0A57A144">
        <w:tc>
          <w:tcPr>
            <w:tcW w:w="5000" w:type="pct"/>
            <w:gridSpan w:val="2"/>
            <w:shd w:val="clear" w:color="auto" w:fill="3E5AA8" w:themeFill="accent1"/>
            <w:vAlign w:val="center"/>
          </w:tcPr>
          <w:p w14:paraId="23A67B82" w14:textId="77777777" w:rsidR="00EA73B3" w:rsidRPr="00EA73B3" w:rsidRDefault="00EA73B3" w:rsidP="00EA73B3">
            <w:pPr>
              <w:jc w:val="center"/>
              <w:rPr>
                <w:rFonts w:eastAsia="Times New Roman" w:cs="Arial"/>
                <w:b/>
                <w:color w:val="FFFFFF"/>
                <w:szCs w:val="16"/>
              </w:rPr>
            </w:pPr>
            <w:r w:rsidRPr="00EA73B3">
              <w:rPr>
                <w:rFonts w:eastAsia="Arial" w:cs="Arial"/>
                <w:b/>
                <w:color w:val="FFFFFF"/>
                <w:sz w:val="20"/>
                <w:lang w:eastAsia="en-US"/>
              </w:rPr>
              <w:t>Section 4: Detail any changes to the Xoserve Service Description</w:t>
            </w:r>
          </w:p>
        </w:tc>
      </w:tr>
      <w:tr w:rsidR="00EA73B3" w:rsidRPr="00EA73B3" w14:paraId="7B78493D" w14:textId="77777777" w:rsidTr="0A57A144">
        <w:tc>
          <w:tcPr>
            <w:tcW w:w="5000" w:type="pct"/>
            <w:gridSpan w:val="2"/>
            <w:shd w:val="clear" w:color="auto" w:fill="auto"/>
          </w:tcPr>
          <w:p w14:paraId="46992048" w14:textId="388A804F" w:rsidR="00EA73B3" w:rsidRPr="005442D5" w:rsidRDefault="005442D5" w:rsidP="00195A39">
            <w:pPr>
              <w:rPr>
                <w:rFonts w:eastAsia="Times New Roman" w:cs="Arial"/>
                <w:bCs/>
                <w:sz w:val="20"/>
                <w:szCs w:val="16"/>
              </w:rPr>
            </w:pPr>
            <w:r w:rsidRPr="005442D5">
              <w:rPr>
                <w:rFonts w:eastAsia="Times New Roman" w:cs="Arial"/>
                <w:bCs/>
                <w:sz w:val="20"/>
                <w:szCs w:val="16"/>
              </w:rPr>
              <w:t xml:space="preserve">No changes to the Service Description as a result of this change. </w:t>
            </w:r>
          </w:p>
        </w:tc>
      </w:tr>
      <w:tr w:rsidR="00EA73B3" w:rsidRPr="00EA73B3" w14:paraId="6EF7276F" w14:textId="77777777" w:rsidTr="0A57A144">
        <w:tc>
          <w:tcPr>
            <w:tcW w:w="5000" w:type="pct"/>
            <w:gridSpan w:val="2"/>
            <w:shd w:val="clear" w:color="auto" w:fill="3E5AA8" w:themeFill="accent1"/>
            <w:vAlign w:val="center"/>
          </w:tcPr>
          <w:p w14:paraId="509E9641" w14:textId="77777777" w:rsidR="00EA73B3" w:rsidRPr="00EA73B3" w:rsidRDefault="00EA73B3" w:rsidP="00EA73B3">
            <w:pPr>
              <w:jc w:val="center"/>
              <w:rPr>
                <w:rFonts w:eastAsia="Times New Roman" w:cs="Arial"/>
                <w:b/>
                <w:color w:val="FFFFFF"/>
                <w:szCs w:val="16"/>
              </w:rPr>
            </w:pPr>
            <w:r w:rsidRPr="00EA73B3">
              <w:rPr>
                <w:rFonts w:eastAsia="Arial" w:cs="Arial"/>
                <w:b/>
                <w:color w:val="FFFFFF"/>
                <w:sz w:val="20"/>
                <w:lang w:eastAsia="en-US"/>
              </w:rPr>
              <w:t>Section 5: Provide details of any revisions to the text of the UK Link Manual</w:t>
            </w:r>
          </w:p>
        </w:tc>
      </w:tr>
      <w:tr w:rsidR="00EA73B3" w:rsidRPr="00EA73B3" w14:paraId="083A4EDD" w14:textId="77777777" w:rsidTr="0A57A144">
        <w:tc>
          <w:tcPr>
            <w:tcW w:w="5000" w:type="pct"/>
            <w:gridSpan w:val="2"/>
            <w:shd w:val="clear" w:color="auto" w:fill="auto"/>
          </w:tcPr>
          <w:p w14:paraId="1AB0B5C7" w14:textId="09458BA6" w:rsidR="00EA73B3" w:rsidRPr="00EA73B3" w:rsidRDefault="000A5DB6" w:rsidP="0A57A144">
            <w:pPr>
              <w:spacing w:line="276" w:lineRule="auto"/>
              <w:contextualSpacing/>
              <w:rPr>
                <w:rFonts w:eastAsia="Times New Roman" w:cs="Arial"/>
                <w:b/>
                <w:color w:val="FF0000"/>
                <w:szCs w:val="16"/>
              </w:rPr>
            </w:pPr>
            <w:r w:rsidRPr="008B26E1">
              <w:rPr>
                <w:rFonts w:eastAsia="Times New Roman" w:cs="Arial"/>
                <w:sz w:val="20"/>
                <w:szCs w:val="20"/>
              </w:rPr>
              <w:t>No changes to the UK Link Manual as a result of XRN5485.</w:t>
            </w:r>
            <w:r>
              <w:rPr>
                <w:rFonts w:eastAsia="Times New Roman" w:cs="Arial"/>
                <w:b/>
                <w:color w:val="FF0000"/>
                <w:szCs w:val="16"/>
              </w:rPr>
              <w:t xml:space="preserve"> </w:t>
            </w:r>
          </w:p>
        </w:tc>
      </w:tr>
      <w:tr w:rsidR="00EA73B3" w:rsidRPr="00EA73B3" w14:paraId="7D853ABD" w14:textId="77777777" w:rsidTr="0A57A144">
        <w:tc>
          <w:tcPr>
            <w:tcW w:w="5000" w:type="pct"/>
            <w:gridSpan w:val="2"/>
            <w:shd w:val="clear" w:color="auto" w:fill="3E5AA8" w:themeFill="accent1"/>
            <w:vAlign w:val="center"/>
          </w:tcPr>
          <w:p w14:paraId="3FF03745" w14:textId="77777777" w:rsidR="00EA73B3" w:rsidRPr="00EA73B3" w:rsidRDefault="00EA73B3" w:rsidP="00EA73B3">
            <w:pPr>
              <w:jc w:val="center"/>
              <w:rPr>
                <w:rFonts w:eastAsia="Times New Roman" w:cs="Arial"/>
                <w:b/>
                <w:color w:val="0070C0"/>
              </w:rPr>
            </w:pPr>
            <w:r w:rsidRPr="00EA73B3">
              <w:rPr>
                <w:rFonts w:eastAsia="Arial" w:cs="Arial"/>
                <w:b/>
                <w:color w:val="FFFFFF"/>
                <w:sz w:val="20"/>
                <w:lang w:eastAsia="en-US"/>
              </w:rPr>
              <w:t>Section 6: Lessons Learnt</w:t>
            </w:r>
          </w:p>
        </w:tc>
      </w:tr>
      <w:tr w:rsidR="00EA73B3" w:rsidRPr="00EA73B3" w14:paraId="495C3462" w14:textId="77777777" w:rsidTr="0A57A144">
        <w:tc>
          <w:tcPr>
            <w:tcW w:w="5000" w:type="pct"/>
            <w:gridSpan w:val="2"/>
            <w:shd w:val="clear" w:color="auto" w:fill="auto"/>
          </w:tcPr>
          <w:p w14:paraId="7B2B5B58" w14:textId="75A5A85E" w:rsidR="00EA73B3" w:rsidRPr="000A5DB6" w:rsidRDefault="000A5DB6" w:rsidP="000A5DB6">
            <w:pPr>
              <w:spacing w:line="276" w:lineRule="auto"/>
              <w:contextualSpacing/>
              <w:rPr>
                <w:rFonts w:eastAsia="Times New Roman" w:cs="Arial"/>
                <w:sz w:val="20"/>
                <w:szCs w:val="20"/>
              </w:rPr>
            </w:pPr>
            <w:r w:rsidRPr="000A5DB6">
              <w:rPr>
                <w:rFonts w:eastAsia="Times New Roman" w:cs="Arial"/>
                <w:sz w:val="20"/>
                <w:szCs w:val="20"/>
              </w:rPr>
              <w:t>n/a</w:t>
            </w:r>
          </w:p>
        </w:tc>
      </w:tr>
    </w:tbl>
    <w:p w14:paraId="321667B0" w14:textId="77777777" w:rsidR="00F93425" w:rsidRDefault="00F93425" w:rsidP="00F93425">
      <w:pPr>
        <w:rPr>
          <w:rFonts w:eastAsia="Arial" w:cs="Arial"/>
          <w:b/>
          <w:sz w:val="20"/>
          <w:szCs w:val="20"/>
        </w:rPr>
      </w:pPr>
    </w:p>
    <w:p w14:paraId="3796074C" w14:textId="457B9BD7" w:rsidR="001C2268" w:rsidRPr="00F93425" w:rsidRDefault="00EA73B3" w:rsidP="00F93425">
      <w:pPr>
        <w:rPr>
          <w:rFonts w:eastAsia="Arial" w:cs="Arial"/>
          <w:b/>
          <w:sz w:val="20"/>
          <w:szCs w:val="20"/>
        </w:rPr>
      </w:pPr>
      <w:r w:rsidRPr="00F93425">
        <w:rPr>
          <w:rFonts w:eastAsia="Arial" w:cs="Arial"/>
          <w:b/>
          <w:sz w:val="20"/>
          <w:szCs w:val="20"/>
        </w:rPr>
        <w:t xml:space="preserve">Please send completed form to: </w:t>
      </w:r>
      <w:hyperlink r:id="rId13" w:history="1">
        <w:r w:rsidRPr="00F93425">
          <w:rPr>
            <w:rFonts w:eastAsia="Arial" w:cs="Arial"/>
            <w:b/>
            <w:color w:val="D2232A"/>
            <w:sz w:val="20"/>
            <w:szCs w:val="20"/>
            <w:u w:val="single"/>
          </w:rPr>
          <w:t>box.xoserve.portfoliooffice@xoserve.com</w:t>
        </w:r>
      </w:hyperlink>
    </w:p>
    <w:p w14:paraId="0AF2244E" w14:textId="77777777" w:rsidR="00EA73B3" w:rsidRPr="00EA73B3" w:rsidRDefault="00EA73B3" w:rsidP="00EA73B3">
      <w:pPr>
        <w:rPr>
          <w:rFonts w:eastAsia="Arial" w:cs="Times New Roman"/>
          <w:b/>
          <w:sz w:val="20"/>
          <w:szCs w:val="20"/>
        </w:rPr>
      </w:pPr>
      <w:r w:rsidRPr="00EA73B3">
        <w:rPr>
          <w:rFonts w:eastAsia="Arial" w:cs="Times New Roman"/>
          <w:b/>
          <w:sz w:val="20"/>
          <w:szCs w:val="20"/>
        </w:rPr>
        <w:t>Document Version History</w:t>
      </w:r>
    </w:p>
    <w:tbl>
      <w:tblPr>
        <w:tblStyle w:val="TableGrid1"/>
        <w:tblW w:w="5522" w:type="pct"/>
        <w:tblInd w:w="-459" w:type="dxa"/>
        <w:tblLook w:val="04A0" w:firstRow="1" w:lastRow="0" w:firstColumn="1" w:lastColumn="0" w:noHBand="0" w:noVBand="1"/>
      </w:tblPr>
      <w:tblGrid>
        <w:gridCol w:w="1768"/>
        <w:gridCol w:w="1636"/>
        <w:gridCol w:w="1217"/>
        <w:gridCol w:w="1492"/>
        <w:gridCol w:w="3844"/>
      </w:tblGrid>
      <w:tr w:rsidR="00EA73B3" w:rsidRPr="00EA73B3" w14:paraId="3208E80C" w14:textId="77777777" w:rsidTr="0A57A144">
        <w:trPr>
          <w:trHeight w:val="611"/>
        </w:trPr>
        <w:tc>
          <w:tcPr>
            <w:tcW w:w="902" w:type="pct"/>
            <w:shd w:val="clear" w:color="auto" w:fill="D6DCF0" w:themeFill="accent1" w:themeFillTint="33"/>
            <w:vAlign w:val="center"/>
          </w:tcPr>
          <w:p w14:paraId="0667806F"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lastRenderedPageBreak/>
              <w:t>Version</w:t>
            </w:r>
          </w:p>
        </w:tc>
        <w:tc>
          <w:tcPr>
            <w:tcW w:w="835" w:type="pct"/>
            <w:shd w:val="clear" w:color="auto" w:fill="D6DCF0" w:themeFill="accent1" w:themeFillTint="33"/>
            <w:vAlign w:val="center"/>
          </w:tcPr>
          <w:p w14:paraId="4BB6D7BD"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Status</w:t>
            </w:r>
          </w:p>
        </w:tc>
        <w:tc>
          <w:tcPr>
            <w:tcW w:w="556" w:type="pct"/>
            <w:shd w:val="clear" w:color="auto" w:fill="D6DCF0" w:themeFill="accent1" w:themeFillTint="33"/>
            <w:vAlign w:val="center"/>
          </w:tcPr>
          <w:p w14:paraId="407F4BCC"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Date</w:t>
            </w:r>
          </w:p>
        </w:tc>
        <w:tc>
          <w:tcPr>
            <w:tcW w:w="763" w:type="pct"/>
            <w:shd w:val="clear" w:color="auto" w:fill="D6DCF0" w:themeFill="accent1" w:themeFillTint="33"/>
            <w:vAlign w:val="center"/>
          </w:tcPr>
          <w:p w14:paraId="6E8BB7C2"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Author(s)</w:t>
            </w:r>
          </w:p>
        </w:tc>
        <w:tc>
          <w:tcPr>
            <w:tcW w:w="1944" w:type="pct"/>
            <w:shd w:val="clear" w:color="auto" w:fill="D6DCF0" w:themeFill="accent1" w:themeFillTint="33"/>
            <w:vAlign w:val="center"/>
          </w:tcPr>
          <w:p w14:paraId="011587D7"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Summary of Changes</w:t>
            </w:r>
          </w:p>
        </w:tc>
      </w:tr>
      <w:tr w:rsidR="00EA73B3" w:rsidRPr="00EA73B3" w14:paraId="622CB1EF" w14:textId="77777777" w:rsidTr="0A57A144">
        <w:tc>
          <w:tcPr>
            <w:tcW w:w="902" w:type="pct"/>
          </w:tcPr>
          <w:p w14:paraId="1ABADCE5" w14:textId="16E369BD" w:rsidR="00EA73B3" w:rsidRPr="00EA73B3" w:rsidRDefault="00F93425" w:rsidP="0A57A144">
            <w:pPr>
              <w:jc w:val="center"/>
              <w:rPr>
                <w:rFonts w:eastAsia="Times New Roman" w:cs="Arial"/>
                <w:sz w:val="20"/>
                <w:szCs w:val="20"/>
              </w:rPr>
            </w:pPr>
            <w:r>
              <w:rPr>
                <w:rFonts w:eastAsia="Times New Roman" w:cs="Arial"/>
                <w:sz w:val="20"/>
                <w:szCs w:val="20"/>
              </w:rPr>
              <w:t>1.0</w:t>
            </w:r>
          </w:p>
        </w:tc>
        <w:tc>
          <w:tcPr>
            <w:tcW w:w="835" w:type="pct"/>
          </w:tcPr>
          <w:p w14:paraId="0DB8F594" w14:textId="16F9DAC2" w:rsidR="00EA73B3" w:rsidRPr="00EA73B3" w:rsidRDefault="00E37847" w:rsidP="0A57A144">
            <w:pPr>
              <w:jc w:val="center"/>
              <w:rPr>
                <w:rFonts w:eastAsia="Times New Roman" w:cs="Arial"/>
                <w:sz w:val="20"/>
                <w:szCs w:val="20"/>
              </w:rPr>
            </w:pPr>
            <w:r>
              <w:rPr>
                <w:rFonts w:eastAsia="Times New Roman" w:cs="Arial"/>
                <w:sz w:val="20"/>
                <w:szCs w:val="20"/>
              </w:rPr>
              <w:t>For approval</w:t>
            </w:r>
          </w:p>
        </w:tc>
        <w:tc>
          <w:tcPr>
            <w:tcW w:w="556" w:type="pct"/>
          </w:tcPr>
          <w:p w14:paraId="0BB1E953" w14:textId="6C936143" w:rsidR="00EA73B3" w:rsidRPr="00EA73B3" w:rsidRDefault="00F93425" w:rsidP="0A57A144">
            <w:pPr>
              <w:jc w:val="center"/>
              <w:rPr>
                <w:rFonts w:eastAsia="Times New Roman" w:cs="Arial"/>
                <w:sz w:val="20"/>
                <w:szCs w:val="20"/>
              </w:rPr>
            </w:pPr>
            <w:r>
              <w:rPr>
                <w:rFonts w:eastAsia="Times New Roman" w:cs="Arial"/>
                <w:sz w:val="20"/>
                <w:szCs w:val="20"/>
              </w:rPr>
              <w:t>29/07/2022</w:t>
            </w:r>
          </w:p>
        </w:tc>
        <w:tc>
          <w:tcPr>
            <w:tcW w:w="763" w:type="pct"/>
          </w:tcPr>
          <w:p w14:paraId="4350D9F9" w14:textId="2C7D6653" w:rsidR="00EA73B3" w:rsidRPr="00EA73B3" w:rsidRDefault="00F01637" w:rsidP="0A57A144">
            <w:pPr>
              <w:jc w:val="center"/>
              <w:rPr>
                <w:rFonts w:eastAsia="Times New Roman" w:cs="Arial"/>
                <w:sz w:val="20"/>
                <w:szCs w:val="20"/>
              </w:rPr>
            </w:pPr>
            <w:r>
              <w:rPr>
                <w:rFonts w:eastAsia="Times New Roman" w:cs="Arial"/>
                <w:sz w:val="20"/>
                <w:szCs w:val="20"/>
              </w:rPr>
              <w:t>Ellie Rogers</w:t>
            </w:r>
          </w:p>
        </w:tc>
        <w:tc>
          <w:tcPr>
            <w:tcW w:w="1944" w:type="pct"/>
          </w:tcPr>
          <w:p w14:paraId="0FC70C39" w14:textId="2435371C" w:rsidR="00EA73B3" w:rsidRPr="00EA73B3" w:rsidRDefault="00F93425" w:rsidP="0A57A144">
            <w:pPr>
              <w:jc w:val="center"/>
              <w:rPr>
                <w:rFonts w:eastAsia="Times New Roman" w:cs="Arial"/>
                <w:sz w:val="20"/>
                <w:szCs w:val="20"/>
              </w:rPr>
            </w:pPr>
            <w:r>
              <w:rPr>
                <w:rFonts w:eastAsia="Times New Roman" w:cs="Arial"/>
                <w:sz w:val="20"/>
                <w:szCs w:val="20"/>
              </w:rPr>
              <w:t>Proposed CCR for ChMC approval</w:t>
            </w:r>
            <w:r w:rsidR="00BD3576">
              <w:rPr>
                <w:rFonts w:eastAsia="Times New Roman" w:cs="Arial"/>
                <w:sz w:val="20"/>
                <w:szCs w:val="20"/>
              </w:rPr>
              <w:t xml:space="preserve"> </w:t>
            </w:r>
          </w:p>
        </w:tc>
      </w:tr>
    </w:tbl>
    <w:p w14:paraId="67B305BF" w14:textId="77777777" w:rsidR="00EA73B3" w:rsidRPr="00EA73B3" w:rsidRDefault="00EA73B3" w:rsidP="00EA73B3">
      <w:pPr>
        <w:rPr>
          <w:rFonts w:eastAsia="Arial" w:cs="Times New Roman"/>
          <w:sz w:val="20"/>
          <w:szCs w:val="20"/>
        </w:rPr>
      </w:pPr>
    </w:p>
    <w:sectPr w:rsidR="00EA73B3" w:rsidRPr="00EA73B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760BB" w14:textId="77777777" w:rsidR="00286394" w:rsidRDefault="00286394" w:rsidP="00324744">
      <w:pPr>
        <w:spacing w:after="0" w:line="240" w:lineRule="auto"/>
      </w:pPr>
      <w:r>
        <w:separator/>
      </w:r>
    </w:p>
  </w:endnote>
  <w:endnote w:type="continuationSeparator" w:id="0">
    <w:p w14:paraId="2D80FC98" w14:textId="77777777" w:rsidR="00286394" w:rsidRDefault="00286394"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9F8C" w14:textId="77777777" w:rsidR="00BD0A45" w:rsidRDefault="00BD0A45">
    <w:pPr>
      <w:pStyle w:val="Footer"/>
    </w:pPr>
    <w:r>
      <w:rPr>
        <w:noProof/>
      </w:rPr>
      <mc:AlternateContent>
        <mc:Choice Requires="wps">
          <w:drawing>
            <wp:anchor distT="0" distB="0" distL="114300" distR="114300" simplePos="0" relativeHeight="251661312" behindDoc="0" locked="0" layoutInCell="1" allowOverlap="1" wp14:anchorId="67279F8F" wp14:editId="67279F90">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3005D5"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670D9" w14:textId="77777777" w:rsidR="00286394" w:rsidRDefault="00286394" w:rsidP="00324744">
      <w:pPr>
        <w:spacing w:after="0" w:line="240" w:lineRule="auto"/>
      </w:pPr>
      <w:r>
        <w:separator/>
      </w:r>
    </w:p>
  </w:footnote>
  <w:footnote w:type="continuationSeparator" w:id="0">
    <w:p w14:paraId="5446CE6B" w14:textId="77777777" w:rsidR="00286394" w:rsidRDefault="00286394"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9F8B" w14:textId="77777777" w:rsidR="00324744" w:rsidRDefault="00324744">
    <w:pPr>
      <w:pStyle w:val="Header"/>
    </w:pPr>
    <w:r>
      <w:rPr>
        <w:noProof/>
      </w:rPr>
      <mc:AlternateContent>
        <mc:Choice Requires="wps">
          <w:drawing>
            <wp:anchor distT="0" distB="0" distL="114300" distR="114300" simplePos="0" relativeHeight="251659264" behindDoc="0" locked="0" layoutInCell="1" allowOverlap="1" wp14:anchorId="67279F8D" wp14:editId="67279F8E">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06E71D"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86465"/>
    <w:multiLevelType w:val="hybridMultilevel"/>
    <w:tmpl w:val="E9B2CFE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665F"/>
    <w:rsid w:val="000115D2"/>
    <w:rsid w:val="000179CB"/>
    <w:rsid w:val="0002641C"/>
    <w:rsid w:val="00032353"/>
    <w:rsid w:val="00037DF7"/>
    <w:rsid w:val="0009751D"/>
    <w:rsid w:val="000A1AD1"/>
    <w:rsid w:val="000A5DB6"/>
    <w:rsid w:val="000B6719"/>
    <w:rsid w:val="000C17F2"/>
    <w:rsid w:val="000C4718"/>
    <w:rsid w:val="000C47C8"/>
    <w:rsid w:val="000C4F35"/>
    <w:rsid w:val="000F087C"/>
    <w:rsid w:val="000F40B2"/>
    <w:rsid w:val="00125B61"/>
    <w:rsid w:val="00141275"/>
    <w:rsid w:val="00144E00"/>
    <w:rsid w:val="00167462"/>
    <w:rsid w:val="00195A39"/>
    <w:rsid w:val="001A1C12"/>
    <w:rsid w:val="001A32EC"/>
    <w:rsid w:val="001C2268"/>
    <w:rsid w:val="0020358E"/>
    <w:rsid w:val="00226D34"/>
    <w:rsid w:val="00227FDE"/>
    <w:rsid w:val="0026279B"/>
    <w:rsid w:val="00273B15"/>
    <w:rsid w:val="00286394"/>
    <w:rsid w:val="00290845"/>
    <w:rsid w:val="00290A2C"/>
    <w:rsid w:val="002B2388"/>
    <w:rsid w:val="002C0324"/>
    <w:rsid w:val="002C1A26"/>
    <w:rsid w:val="002D1A84"/>
    <w:rsid w:val="003223EF"/>
    <w:rsid w:val="00324744"/>
    <w:rsid w:val="003249DA"/>
    <w:rsid w:val="003330B7"/>
    <w:rsid w:val="00335C65"/>
    <w:rsid w:val="003528E6"/>
    <w:rsid w:val="00370843"/>
    <w:rsid w:val="0038651F"/>
    <w:rsid w:val="003949FF"/>
    <w:rsid w:val="003A57F2"/>
    <w:rsid w:val="003C0F52"/>
    <w:rsid w:val="00415444"/>
    <w:rsid w:val="00426807"/>
    <w:rsid w:val="00443C3E"/>
    <w:rsid w:val="00444894"/>
    <w:rsid w:val="0045757B"/>
    <w:rsid w:val="00457EF4"/>
    <w:rsid w:val="00490B9A"/>
    <w:rsid w:val="004950B4"/>
    <w:rsid w:val="004A5083"/>
    <w:rsid w:val="004B7CA0"/>
    <w:rsid w:val="004E7AB4"/>
    <w:rsid w:val="004F3362"/>
    <w:rsid w:val="00510427"/>
    <w:rsid w:val="00513C85"/>
    <w:rsid w:val="00513FB9"/>
    <w:rsid w:val="0051490E"/>
    <w:rsid w:val="00517F6F"/>
    <w:rsid w:val="005321DE"/>
    <w:rsid w:val="005442D5"/>
    <w:rsid w:val="00546B09"/>
    <w:rsid w:val="00550FE1"/>
    <w:rsid w:val="0055298E"/>
    <w:rsid w:val="005645F8"/>
    <w:rsid w:val="005A680C"/>
    <w:rsid w:val="005B3348"/>
    <w:rsid w:val="005C7750"/>
    <w:rsid w:val="005D7218"/>
    <w:rsid w:val="005D79B7"/>
    <w:rsid w:val="005E074B"/>
    <w:rsid w:val="005E4D22"/>
    <w:rsid w:val="005E60D1"/>
    <w:rsid w:val="005F0770"/>
    <w:rsid w:val="005F4EBA"/>
    <w:rsid w:val="00615A1E"/>
    <w:rsid w:val="00622A97"/>
    <w:rsid w:val="00695BC4"/>
    <w:rsid w:val="006B4E07"/>
    <w:rsid w:val="006B75B3"/>
    <w:rsid w:val="006C28BD"/>
    <w:rsid w:val="006C3674"/>
    <w:rsid w:val="006C6D47"/>
    <w:rsid w:val="006C6FB9"/>
    <w:rsid w:val="00715F21"/>
    <w:rsid w:val="007243D3"/>
    <w:rsid w:val="00773701"/>
    <w:rsid w:val="00786785"/>
    <w:rsid w:val="00791382"/>
    <w:rsid w:val="00794058"/>
    <w:rsid w:val="007A56DB"/>
    <w:rsid w:val="007D4F26"/>
    <w:rsid w:val="007E7C5B"/>
    <w:rsid w:val="007F675E"/>
    <w:rsid w:val="0080420F"/>
    <w:rsid w:val="00817A62"/>
    <w:rsid w:val="008351AD"/>
    <w:rsid w:val="0087165B"/>
    <w:rsid w:val="00876033"/>
    <w:rsid w:val="00883C57"/>
    <w:rsid w:val="008869E0"/>
    <w:rsid w:val="008A09A3"/>
    <w:rsid w:val="008B26E1"/>
    <w:rsid w:val="008F0A1E"/>
    <w:rsid w:val="008F0E28"/>
    <w:rsid w:val="00926C2F"/>
    <w:rsid w:val="00930D71"/>
    <w:rsid w:val="00936510"/>
    <w:rsid w:val="00990DE7"/>
    <w:rsid w:val="009E2776"/>
    <w:rsid w:val="009F01A2"/>
    <w:rsid w:val="00A023DD"/>
    <w:rsid w:val="00A1141F"/>
    <w:rsid w:val="00A33555"/>
    <w:rsid w:val="00A3425F"/>
    <w:rsid w:val="00AA6C6B"/>
    <w:rsid w:val="00AB5B54"/>
    <w:rsid w:val="00AB63DE"/>
    <w:rsid w:val="00AC58F5"/>
    <w:rsid w:val="00AC6BB3"/>
    <w:rsid w:val="00AD30B2"/>
    <w:rsid w:val="00AF045D"/>
    <w:rsid w:val="00B003D8"/>
    <w:rsid w:val="00B01E38"/>
    <w:rsid w:val="00B05FB6"/>
    <w:rsid w:val="00B442ED"/>
    <w:rsid w:val="00B459AF"/>
    <w:rsid w:val="00B47553"/>
    <w:rsid w:val="00B75F09"/>
    <w:rsid w:val="00B8770C"/>
    <w:rsid w:val="00BD0A45"/>
    <w:rsid w:val="00BD1EA6"/>
    <w:rsid w:val="00BD3576"/>
    <w:rsid w:val="00BF7FD2"/>
    <w:rsid w:val="00C00D5F"/>
    <w:rsid w:val="00C04113"/>
    <w:rsid w:val="00C1530D"/>
    <w:rsid w:val="00C204A4"/>
    <w:rsid w:val="00C56E0B"/>
    <w:rsid w:val="00C5770B"/>
    <w:rsid w:val="00C6135A"/>
    <w:rsid w:val="00C61A4C"/>
    <w:rsid w:val="00C97339"/>
    <w:rsid w:val="00CF1785"/>
    <w:rsid w:val="00D11B4D"/>
    <w:rsid w:val="00D11D80"/>
    <w:rsid w:val="00D2633C"/>
    <w:rsid w:val="00D546D7"/>
    <w:rsid w:val="00D62B83"/>
    <w:rsid w:val="00D648A9"/>
    <w:rsid w:val="00D66C7E"/>
    <w:rsid w:val="00D71A55"/>
    <w:rsid w:val="00D83027"/>
    <w:rsid w:val="00DD7D11"/>
    <w:rsid w:val="00E074F2"/>
    <w:rsid w:val="00E2566E"/>
    <w:rsid w:val="00E37847"/>
    <w:rsid w:val="00E454D2"/>
    <w:rsid w:val="00E648E2"/>
    <w:rsid w:val="00E84FB2"/>
    <w:rsid w:val="00E85A3A"/>
    <w:rsid w:val="00EA73B3"/>
    <w:rsid w:val="00EF3C1D"/>
    <w:rsid w:val="00EF4C3B"/>
    <w:rsid w:val="00EF6D9B"/>
    <w:rsid w:val="00F01637"/>
    <w:rsid w:val="00F3292D"/>
    <w:rsid w:val="00F65BE6"/>
    <w:rsid w:val="00F76B99"/>
    <w:rsid w:val="00F93425"/>
    <w:rsid w:val="00F95876"/>
    <w:rsid w:val="00F97386"/>
    <w:rsid w:val="0A57A144"/>
    <w:rsid w:val="438CC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79F40"/>
  <w15:docId w15:val="{238819E3-4718-4496-B706-72E29DFB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er">
    <w:name w:val="smaller"/>
    <w:basedOn w:val="DefaultParagraphFont"/>
    <w:rsid w:val="00E454D2"/>
  </w:style>
  <w:style w:type="character" w:styleId="UnresolvedMention">
    <w:name w:val="Unresolved Mention"/>
    <w:basedOn w:val="DefaultParagraphFont"/>
    <w:uiPriority w:val="99"/>
    <w:unhideWhenUsed/>
    <w:rsid w:val="0080420F"/>
    <w:rPr>
      <w:color w:val="605E5C"/>
      <w:shd w:val="clear" w:color="auto" w:fill="E1DFDD"/>
    </w:rPr>
  </w:style>
  <w:style w:type="character" w:styleId="CommentReference">
    <w:name w:val="annotation reference"/>
    <w:basedOn w:val="DefaultParagraphFont"/>
    <w:uiPriority w:val="99"/>
    <w:semiHidden/>
    <w:unhideWhenUsed/>
    <w:rsid w:val="0051490E"/>
    <w:rPr>
      <w:sz w:val="16"/>
      <w:szCs w:val="16"/>
    </w:rPr>
  </w:style>
  <w:style w:type="paragraph" w:styleId="CommentText">
    <w:name w:val="annotation text"/>
    <w:basedOn w:val="Normal"/>
    <w:link w:val="CommentTextChar"/>
    <w:uiPriority w:val="99"/>
    <w:semiHidden/>
    <w:unhideWhenUsed/>
    <w:rsid w:val="0051490E"/>
    <w:pPr>
      <w:spacing w:line="240" w:lineRule="auto"/>
    </w:pPr>
    <w:rPr>
      <w:sz w:val="20"/>
      <w:szCs w:val="20"/>
    </w:rPr>
  </w:style>
  <w:style w:type="character" w:customStyle="1" w:styleId="CommentTextChar">
    <w:name w:val="Comment Text Char"/>
    <w:basedOn w:val="DefaultParagraphFont"/>
    <w:link w:val="CommentText"/>
    <w:uiPriority w:val="99"/>
    <w:semiHidden/>
    <w:rsid w:val="0051490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1490E"/>
    <w:rPr>
      <w:b/>
      <w:bCs/>
    </w:rPr>
  </w:style>
  <w:style w:type="character" w:customStyle="1" w:styleId="CommentSubjectChar">
    <w:name w:val="Comment Subject Char"/>
    <w:basedOn w:val="CommentTextChar"/>
    <w:link w:val="CommentSubject"/>
    <w:uiPriority w:val="99"/>
    <w:semiHidden/>
    <w:rsid w:val="0051490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60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ox.xoserve.portfoliooffice@xoserv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xoserve.com/change/change-proposals/xrn5485-resource-to-support-the-retail-energy-code-re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lie.rogers@xoserve.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ee84ff3-1fa2-4b0e-bbc1-9d3729ac2ba9">
      <UserInfo>
        <DisplayName/>
        <AccountId xsi:nil="true"/>
        <AccountType/>
      </UserInfo>
    </SharedWithUsers>
    <_Flow_SignoffStatus xmlns="efb0c983-77a3-4edc-9303-e1cb655c76c7" xsi:nil="true"/>
    <TaxCatchAll xmlns="3ee84ff3-1fa2-4b0e-bbc1-9d3729ac2ba9" xsi:nil="true"/>
    <lcf76f155ced4ddcb4097134ff3c332f xmlns="efb0c983-77a3-4edc-9303-e1cb655c76c7">
      <Terms xmlns="http://schemas.microsoft.com/office/infopath/2007/PartnerControls"/>
    </lcf76f155ced4ddcb4097134ff3c332f>
    <Sign_x002d_offBy xmlns="efb0c983-77a3-4edc-9303-e1cb655c76c7">
      <UserInfo>
        <DisplayName/>
        <AccountId xsi:nil="true"/>
        <AccountType/>
      </UserInfo>
    </Sign_x002d_off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6" ma:contentTypeDescription="Create a new document." ma:contentTypeScope="" ma:versionID="ede32156e104b9db28a12065827d15ac">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1c2972ccccfaf548a4caf8c530352"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5844fa40-a696-4ac9-bd38-c0330d295109"/>
    <ds:schemaRef ds:uri="c78a4dae-5fc0-4ed3-ad80-da51122ab114"/>
  </ds:schemaRefs>
</ds:datastoreItem>
</file>

<file path=customXml/itemProps2.xml><?xml version="1.0" encoding="utf-8"?>
<ds:datastoreItem xmlns:ds="http://schemas.openxmlformats.org/officeDocument/2006/customXml" ds:itemID="{536FBE6D-DE10-4C92-AAC0-2027C118AFD5}"/>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715</Words>
  <Characters>4079</Characters>
  <Application>Microsoft Office Word</Application>
  <DocSecurity>0</DocSecurity>
  <Lines>33</Lines>
  <Paragraphs>9</Paragraphs>
  <ScaleCrop>false</ScaleCrop>
  <Company>National Grid</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Ellie Rogers</cp:lastModifiedBy>
  <cp:revision>4</cp:revision>
  <dcterms:created xsi:type="dcterms:W3CDTF">2022-07-29T11:29:00Z</dcterms:created>
  <dcterms:modified xsi:type="dcterms:W3CDTF">2022-07-29T11:34:00Z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Order">
    <vt:r8>553700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Owner">
    <vt:lpwstr>Unknown</vt:lpwstr>
  </property>
  <property fmtid="{D5CDD505-2E9C-101B-9397-08002B2CF9AE}" pid="9" name="_ExtendedDescription">
    <vt:lpwstr/>
  </property>
  <property fmtid="{D5CDD505-2E9C-101B-9397-08002B2CF9AE}" pid="10" name="MediaServiceImageTags">
    <vt:lpwstr/>
  </property>
</Properties>
</file>