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500" w:type="pct"/>
        <w:tblLayout w:type="fixed"/>
        <w:tblLook w:val="04A0" w:firstRow="1" w:lastRow="0" w:firstColumn="1" w:lastColumn="0" w:noHBand="0" w:noVBand="1"/>
      </w:tblPr>
      <w:tblGrid>
        <w:gridCol w:w="4394"/>
        <w:gridCol w:w="5524"/>
      </w:tblGrid>
      <w:tr w:rsidR="00EA73B3" w:rsidRPr="00DB5177" w14:paraId="1601AE27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4180B42D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Change Title</w:t>
            </w:r>
          </w:p>
        </w:tc>
        <w:tc>
          <w:tcPr>
            <w:tcW w:w="2785" w:type="pct"/>
          </w:tcPr>
          <w:p w14:paraId="018CEA35" w14:textId="332E8078" w:rsidR="00EA73B3" w:rsidRPr="00DB5177" w:rsidRDefault="007778A3" w:rsidP="00A101D9">
            <w:pPr>
              <w:rPr>
                <w:rFonts w:eastAsia="Times New Roman" w:cs="Arial"/>
                <w:sz w:val="20"/>
                <w:szCs w:val="20"/>
              </w:rPr>
            </w:pPr>
            <w:r w:rsidRPr="007778A3">
              <w:rPr>
                <w:rFonts w:eastAsia="Times New Roman" w:cs="Arial"/>
                <w:sz w:val="20"/>
                <w:szCs w:val="20"/>
              </w:rPr>
              <w:t>UNC Derogation process – MOD 0800</w:t>
            </w:r>
          </w:p>
        </w:tc>
      </w:tr>
      <w:tr w:rsidR="00EA73B3" w:rsidRPr="00DB5177" w14:paraId="06D4D571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5982B8CD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Change reference number (XRN)</w:t>
            </w:r>
          </w:p>
        </w:tc>
        <w:tc>
          <w:tcPr>
            <w:tcW w:w="2785" w:type="pct"/>
          </w:tcPr>
          <w:p w14:paraId="06F88361" w14:textId="1A035656" w:rsidR="00EA73B3" w:rsidRPr="00DB5177" w:rsidRDefault="008326FC" w:rsidP="00195A39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55</w:t>
            </w:r>
            <w:r>
              <w:rPr>
                <w:rFonts w:eastAsia="Times New Roman" w:cs="Arial"/>
                <w:sz w:val="20"/>
                <w:szCs w:val="20"/>
              </w:rPr>
              <w:t>29</w:t>
            </w:r>
          </w:p>
        </w:tc>
      </w:tr>
      <w:tr w:rsidR="00EA73B3" w:rsidRPr="00DB5177" w14:paraId="1D6C8AD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 xml:space="preserve">Xoserve Project Manager 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419660B" w14:textId="0D13D373" w:rsidR="00EA73B3" w:rsidRPr="00DB5177" w:rsidRDefault="007778A3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Jai Le Resche</w:t>
            </w:r>
          </w:p>
        </w:tc>
      </w:tr>
      <w:tr w:rsidR="00EA73B3" w:rsidRPr="00DB5177" w14:paraId="2390A8AC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5A705C45" w14:textId="4CA38AB7" w:rsidR="00EA73B3" w:rsidRPr="00DB5177" w:rsidRDefault="007778A3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eastAsia="Times New Roman" w:cs="Arial"/>
                  <w:sz w:val="20"/>
                  <w:szCs w:val="20"/>
                </w:rPr>
                <w:t>j</w:t>
              </w:r>
              <w:r>
                <w:rPr>
                  <w:rStyle w:val="Hyperlink"/>
                </w:rPr>
                <w:t>aimee.leresche@xoserve.com</w:t>
              </w:r>
            </w:hyperlink>
          </w:p>
        </w:tc>
      </w:tr>
      <w:tr w:rsidR="00EA73B3" w:rsidRPr="00DB5177" w14:paraId="3B9ABC1E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07DF7DD" w14:textId="3351CA70" w:rsidR="00EA73B3" w:rsidRPr="00DB5177" w:rsidRDefault="00FF152A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0121 229 2559</w:t>
            </w:r>
          </w:p>
        </w:tc>
      </w:tr>
      <w:tr w:rsidR="00EA73B3" w:rsidRPr="00DB5177" w14:paraId="0B495390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Target Change Management Committee date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E6B73E1" w14:textId="0A6CB3A6" w:rsidR="00EA73B3" w:rsidRPr="00DB5177" w:rsidRDefault="00B601AA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7</w:t>
            </w:r>
            <w:r w:rsidRPr="009757CC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December</w:t>
            </w:r>
            <w:r w:rsidR="00695375" w:rsidRPr="00DB5177">
              <w:rPr>
                <w:rFonts w:eastAsia="Times New Roman" w:cs="Arial"/>
                <w:sz w:val="20"/>
                <w:szCs w:val="20"/>
              </w:rPr>
              <w:t xml:space="preserve"> 2022</w:t>
            </w:r>
          </w:p>
        </w:tc>
      </w:tr>
      <w:tr w:rsidR="00EA73B3" w:rsidRPr="00DB5177" w14:paraId="70D298E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DB5177" w:rsidRDefault="00EA73B3" w:rsidP="00EA73B3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DB5177">
              <w:rPr>
                <w:rFonts w:eastAsia="Times New Roman" w:cs="Arial"/>
                <w:b/>
                <w:sz w:val="20"/>
                <w:szCs w:val="20"/>
              </w:rPr>
              <w:t>Date of Solution Implementation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76CEA666" w14:textId="632AECCE" w:rsidR="00EA73B3" w:rsidRPr="00DB5177" w:rsidRDefault="007D352E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EA73B3" w:rsidRPr="00DB5177" w14:paraId="0327033D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1: Overview of Change Delivery</w:t>
            </w:r>
          </w:p>
        </w:tc>
      </w:tr>
      <w:tr w:rsidR="00EA73B3" w:rsidRPr="00DB5177" w14:paraId="0CEE08D9" w14:textId="77777777" w:rsidTr="00946CF9">
        <w:trPr>
          <w:trHeight w:val="112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00982" w14:textId="30E4453A" w:rsidR="00195A39" w:rsidRPr="00DB5177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5CF6170F" w14:textId="00CB8996" w:rsidR="00FE157A" w:rsidRPr="00DB5177" w:rsidRDefault="00FE157A" w:rsidP="00FE157A">
            <w:pPr>
              <w:rPr>
                <w:rFonts w:cs="Arial"/>
                <w:sz w:val="20"/>
                <w:szCs w:val="20"/>
              </w:rPr>
            </w:pPr>
            <w:r w:rsidRPr="00DB5177">
              <w:rPr>
                <w:rFonts w:cs="Arial"/>
                <w:sz w:val="20"/>
                <w:szCs w:val="20"/>
              </w:rPr>
              <w:t xml:space="preserve">All planned activities under Change Proposal </w:t>
            </w:r>
            <w:hyperlink r:id="rId12" w:history="1">
              <w:r w:rsidR="00220D45" w:rsidRPr="00220D45">
                <w:rPr>
                  <w:rStyle w:val="Hyperlink"/>
                  <w:rFonts w:cs="Arial"/>
                  <w:sz w:val="20"/>
                  <w:szCs w:val="20"/>
                </w:rPr>
                <w:t>XRN5529</w:t>
              </w:r>
            </w:hyperlink>
            <w:r w:rsidR="005F0FFC" w:rsidRPr="00DB5177">
              <w:rPr>
                <w:rFonts w:cs="Arial"/>
                <w:sz w:val="20"/>
                <w:szCs w:val="20"/>
              </w:rPr>
              <w:t xml:space="preserve"> </w:t>
            </w:r>
            <w:r w:rsidRPr="00DB5177">
              <w:rPr>
                <w:rFonts w:cs="Arial"/>
                <w:sz w:val="20"/>
                <w:szCs w:val="20"/>
              </w:rPr>
              <w:t>(</w:t>
            </w:r>
            <w:r w:rsidR="005F1C01">
              <w:rPr>
                <w:rFonts w:cs="Arial"/>
                <w:sz w:val="20"/>
                <w:szCs w:val="20"/>
              </w:rPr>
              <w:t>UNC Derogation Process – Mod0800</w:t>
            </w:r>
            <w:r w:rsidRPr="00DB5177">
              <w:rPr>
                <w:rFonts w:cs="Arial"/>
                <w:i/>
                <w:iCs/>
                <w:sz w:val="20"/>
                <w:szCs w:val="20"/>
              </w:rPr>
              <w:t>)</w:t>
            </w:r>
            <w:r w:rsidRPr="00DB5177">
              <w:rPr>
                <w:rFonts w:cs="Arial"/>
                <w:sz w:val="20"/>
                <w:szCs w:val="20"/>
              </w:rPr>
              <w:t xml:space="preserve"> have now been completed. </w:t>
            </w:r>
          </w:p>
          <w:p w14:paraId="67DF74A9" w14:textId="77777777" w:rsidR="00FE157A" w:rsidRPr="00DB5177" w:rsidRDefault="00FE157A" w:rsidP="00FE157A">
            <w:pPr>
              <w:rPr>
                <w:rFonts w:cs="Arial"/>
                <w:sz w:val="20"/>
                <w:szCs w:val="20"/>
              </w:rPr>
            </w:pPr>
          </w:p>
          <w:p w14:paraId="3F46C28B" w14:textId="6365D3D2" w:rsidR="006C64D2" w:rsidRPr="00DB5177" w:rsidRDefault="00220D45" w:rsidP="006C64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purpose of this change was to c</w:t>
            </w:r>
            <w:r w:rsidR="005F0FFC" w:rsidRPr="005F0FFC">
              <w:rPr>
                <w:rFonts w:cs="Arial"/>
                <w:sz w:val="20"/>
                <w:szCs w:val="20"/>
              </w:rPr>
              <w:t>reate and manage a process to support Derogation requests</w:t>
            </w:r>
            <w:r w:rsidR="005F0F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u</w:t>
            </w:r>
            <w:r w:rsidR="005F0FFC" w:rsidRPr="005F0FFC">
              <w:rPr>
                <w:rFonts w:cs="Arial"/>
                <w:sz w:val="20"/>
                <w:szCs w:val="20"/>
              </w:rPr>
              <w:t xml:space="preserve">nder UNC as per </w:t>
            </w:r>
            <w:hyperlink r:id="rId13" w:history="1">
              <w:r w:rsidR="005F0FFC" w:rsidRPr="007B627F">
                <w:rPr>
                  <w:rStyle w:val="Hyperlink"/>
                  <w:rFonts w:cs="Arial"/>
                  <w:sz w:val="20"/>
                  <w:szCs w:val="20"/>
                </w:rPr>
                <w:t>Modification 0800</w:t>
              </w:r>
            </w:hyperlink>
            <w:r w:rsidR="007B627F">
              <w:rPr>
                <w:rFonts w:cs="Arial"/>
                <w:sz w:val="20"/>
                <w:szCs w:val="20"/>
              </w:rPr>
              <w:t>.</w:t>
            </w:r>
          </w:p>
          <w:p w14:paraId="4D1126BA" w14:textId="77777777" w:rsidR="00816E9E" w:rsidRPr="00DB5177" w:rsidRDefault="00816E9E" w:rsidP="001C148F">
            <w:pPr>
              <w:tabs>
                <w:tab w:val="left" w:pos="1070"/>
              </w:tabs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  <w:p w14:paraId="646B8C30" w14:textId="372622C8" w:rsidR="00630E49" w:rsidRPr="00DB5177" w:rsidRDefault="00630E49" w:rsidP="001C148F">
            <w:pPr>
              <w:tabs>
                <w:tab w:val="left" w:pos="1070"/>
              </w:tabs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EA73B3" w:rsidRPr="00DB5177" w14:paraId="0C90DDA4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2: Confirmed Funding Arrangements</w:t>
            </w:r>
          </w:p>
        </w:tc>
      </w:tr>
      <w:tr w:rsidR="00EA73B3" w:rsidRPr="00DB5177" w14:paraId="45233572" w14:textId="77777777" w:rsidTr="00946CF9">
        <w:trPr>
          <w:trHeight w:val="96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B070E8" w14:textId="77777777" w:rsidR="00271B97" w:rsidRDefault="00271B97" w:rsidP="00EA73B3">
            <w:pPr>
              <w:contextualSpacing/>
              <w:rPr>
                <w:rFonts w:eastAsia="Times New Roman" w:cs="Arial"/>
                <w:b/>
                <w:iCs/>
                <w:sz w:val="20"/>
                <w:szCs w:val="20"/>
              </w:rPr>
            </w:pPr>
          </w:p>
          <w:p w14:paraId="74539338" w14:textId="77777777" w:rsidR="00FB26BC" w:rsidRDefault="00FB26BC" w:rsidP="00EA73B3">
            <w:pPr>
              <w:contextualSpacing/>
              <w:rPr>
                <w:rFonts w:eastAsia="Times New Roman" w:cs="Arial"/>
                <w:bCs/>
                <w:iCs/>
                <w:sz w:val="20"/>
                <w:szCs w:val="20"/>
              </w:rPr>
            </w:pPr>
            <w:r w:rsidRPr="000D1D05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There was no funding required for this change. All activities were carried out by </w:t>
            </w:r>
            <w:r w:rsidR="000D1D05" w:rsidRPr="000D1D05">
              <w:rPr>
                <w:rFonts w:eastAsia="Times New Roman" w:cs="Arial"/>
                <w:bCs/>
                <w:iCs/>
                <w:sz w:val="20"/>
                <w:szCs w:val="20"/>
              </w:rPr>
              <w:t>the CDSP as part of their BAU activities</w:t>
            </w:r>
            <w:r w:rsidR="005A5FBB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, utilising </w:t>
            </w:r>
            <w:r w:rsidR="0076104B">
              <w:rPr>
                <w:rFonts w:eastAsia="Times New Roman" w:cs="Arial"/>
                <w:bCs/>
                <w:iCs/>
                <w:sz w:val="20"/>
                <w:szCs w:val="20"/>
              </w:rPr>
              <w:t>Decarbonisation</w:t>
            </w:r>
            <w:r w:rsidR="0017221E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investment funded </w:t>
            </w:r>
            <w:r w:rsidR="005A5FBB">
              <w:rPr>
                <w:rFonts w:eastAsia="Times New Roman" w:cs="Arial"/>
                <w:bCs/>
                <w:iCs/>
                <w:sz w:val="20"/>
                <w:szCs w:val="20"/>
              </w:rPr>
              <w:t>resource</w:t>
            </w:r>
            <w:r w:rsidR="0034167F">
              <w:rPr>
                <w:rFonts w:eastAsia="Times New Roman" w:cs="Arial"/>
                <w:bCs/>
                <w:iCs/>
                <w:sz w:val="20"/>
                <w:szCs w:val="20"/>
              </w:rPr>
              <w:t xml:space="preserve"> in conjunction with relevant Business Operations and Technical support BAU resource</w:t>
            </w:r>
            <w:r w:rsidR="000D1D05" w:rsidRPr="000D1D05">
              <w:rPr>
                <w:rFonts w:eastAsia="Times New Roman" w:cs="Arial"/>
                <w:bCs/>
                <w:iCs/>
                <w:sz w:val="20"/>
                <w:szCs w:val="20"/>
              </w:rPr>
              <w:t>.</w:t>
            </w:r>
          </w:p>
          <w:p w14:paraId="1672974D" w14:textId="7778E76F" w:rsidR="00D86C99" w:rsidRPr="000D1D05" w:rsidRDefault="00D86C99" w:rsidP="00EA73B3">
            <w:pPr>
              <w:contextualSpacing/>
              <w:rPr>
                <w:rFonts w:eastAsia="Times New Roman" w:cs="Arial"/>
                <w:bCs/>
                <w:iCs/>
                <w:sz w:val="20"/>
                <w:szCs w:val="20"/>
              </w:rPr>
            </w:pPr>
          </w:p>
        </w:tc>
      </w:tr>
      <w:tr w:rsidR="00EA73B3" w:rsidRPr="00DB5177" w14:paraId="3A67F60A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3: Provide a summary of any agreed scope changes</w:t>
            </w:r>
          </w:p>
        </w:tc>
      </w:tr>
      <w:tr w:rsidR="00EA73B3" w:rsidRPr="00DB5177" w14:paraId="373C6975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83F8B0" w14:textId="77777777" w:rsidR="00BD49F3" w:rsidRPr="00DB5177" w:rsidRDefault="00DB5177" w:rsidP="00DB51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n/a</w:t>
            </w:r>
          </w:p>
          <w:p w14:paraId="4156BA78" w14:textId="56B3D876" w:rsidR="00DB5177" w:rsidRPr="00DB5177" w:rsidRDefault="00DB5177" w:rsidP="00DB5177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DB5177" w14:paraId="44DCE113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DB5177" w14:paraId="7B78493D" w14:textId="77777777" w:rsidTr="00F352D7">
        <w:tc>
          <w:tcPr>
            <w:tcW w:w="5000" w:type="pct"/>
            <w:gridSpan w:val="2"/>
            <w:shd w:val="clear" w:color="auto" w:fill="auto"/>
          </w:tcPr>
          <w:p w14:paraId="277304A5" w14:textId="2067872B" w:rsidR="009522FE" w:rsidRPr="00DB5177" w:rsidRDefault="001824C1" w:rsidP="00195A39">
            <w:pPr>
              <w:rPr>
                <w:rFonts w:eastAsia="Times New Roman" w:cs="Arial"/>
                <w:bCs/>
                <w:sz w:val="20"/>
                <w:szCs w:val="20"/>
              </w:rPr>
            </w:pPr>
            <w:r w:rsidRPr="00DB5177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  <w:p w14:paraId="46992048" w14:textId="42106D9D" w:rsidR="00BD49F3" w:rsidRPr="00DB5177" w:rsidRDefault="00BD49F3" w:rsidP="00195A39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EA73B3" w:rsidRPr="00DB5177" w14:paraId="6EF7276F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DB5177" w14:paraId="083A4EDD" w14:textId="77777777" w:rsidTr="00F352D7">
        <w:tc>
          <w:tcPr>
            <w:tcW w:w="5000" w:type="pct"/>
            <w:gridSpan w:val="2"/>
            <w:shd w:val="clear" w:color="auto" w:fill="auto"/>
          </w:tcPr>
          <w:p w14:paraId="1DD2DFE4" w14:textId="113F8676" w:rsidR="00617EF6" w:rsidRPr="00DB5177" w:rsidRDefault="001824C1" w:rsidP="0A57A144">
            <w:pPr>
              <w:spacing w:line="276" w:lineRule="auto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r w:rsidRPr="00DB5177">
              <w:rPr>
                <w:rFonts w:eastAsia="Times New Roman" w:cs="Arial"/>
                <w:bCs/>
                <w:sz w:val="20"/>
                <w:szCs w:val="20"/>
              </w:rPr>
              <w:t>n/a</w:t>
            </w:r>
          </w:p>
          <w:p w14:paraId="1AB0B5C7" w14:textId="4EBC032E" w:rsidR="00617EF6" w:rsidRPr="00DB5177" w:rsidRDefault="00617EF6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 w:val="20"/>
                <w:szCs w:val="20"/>
              </w:rPr>
            </w:pPr>
          </w:p>
        </w:tc>
      </w:tr>
      <w:tr w:rsidR="00EA73B3" w:rsidRPr="00DB5177" w14:paraId="7D853ABD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DB5177" w:rsidRDefault="00EA73B3" w:rsidP="00EA73B3">
            <w:pPr>
              <w:jc w:val="center"/>
              <w:rPr>
                <w:rFonts w:eastAsia="Times New Roman" w:cs="Arial"/>
                <w:b/>
                <w:color w:val="0070C0"/>
                <w:sz w:val="20"/>
                <w:szCs w:val="20"/>
              </w:rPr>
            </w:pPr>
            <w:r w:rsidRPr="00DB5177">
              <w:rPr>
                <w:rFonts w:eastAsia="Arial" w:cs="Arial"/>
                <w:b/>
                <w:color w:val="FFFFFF"/>
                <w:sz w:val="20"/>
                <w:szCs w:val="20"/>
                <w:lang w:eastAsia="en-US"/>
              </w:rPr>
              <w:t>Section 6: Lessons Learnt</w:t>
            </w:r>
          </w:p>
        </w:tc>
      </w:tr>
      <w:tr w:rsidR="00EA73B3" w:rsidRPr="00DB5177" w14:paraId="495C3462" w14:textId="77777777" w:rsidTr="00F352D7">
        <w:tc>
          <w:tcPr>
            <w:tcW w:w="5000" w:type="pct"/>
            <w:gridSpan w:val="2"/>
            <w:shd w:val="clear" w:color="auto" w:fill="auto"/>
          </w:tcPr>
          <w:p w14:paraId="7B2B5B58" w14:textId="7D0AA507" w:rsidR="00EA73B3" w:rsidRPr="00DB5177" w:rsidRDefault="001824C1" w:rsidP="0A57A144">
            <w:pPr>
              <w:spacing w:after="200" w:line="276" w:lineRule="auto"/>
              <w:rPr>
                <w:rFonts w:eastAsia="Times New Roman" w:cs="Arial"/>
                <w:sz w:val="20"/>
                <w:szCs w:val="20"/>
              </w:rPr>
            </w:pPr>
            <w:r w:rsidRPr="00DB5177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768B31D0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4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03" w:type="pct"/>
        <w:tblInd w:w="-5" w:type="dxa"/>
        <w:tblLook w:val="04A0" w:firstRow="1" w:lastRow="0" w:firstColumn="1" w:lastColumn="0" w:noHBand="0" w:noVBand="1"/>
      </w:tblPr>
      <w:tblGrid>
        <w:gridCol w:w="1316"/>
        <w:gridCol w:w="1635"/>
        <w:gridCol w:w="1217"/>
        <w:gridCol w:w="1490"/>
        <w:gridCol w:w="4265"/>
      </w:tblGrid>
      <w:tr w:rsidR="00EA73B3" w:rsidRPr="00EA73B3" w14:paraId="3208E80C" w14:textId="77777777" w:rsidTr="008348A9">
        <w:trPr>
          <w:trHeight w:val="611"/>
        </w:trPr>
        <w:tc>
          <w:tcPr>
            <w:tcW w:w="677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838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7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5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2163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08348A9">
        <w:tc>
          <w:tcPr>
            <w:tcW w:w="677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8" w:type="pct"/>
          </w:tcPr>
          <w:p w14:paraId="0DB8F594" w14:textId="6C0F553B" w:rsidR="00EA73B3" w:rsidRPr="00EA73B3" w:rsidRDefault="001824C1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7" w:type="pct"/>
          </w:tcPr>
          <w:p w14:paraId="0BB1E953" w14:textId="26BCFCB5" w:rsidR="00EA73B3" w:rsidRPr="00EA73B3" w:rsidRDefault="00946CF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18/08/2022</w:t>
            </w:r>
          </w:p>
        </w:tc>
        <w:tc>
          <w:tcPr>
            <w:tcW w:w="765" w:type="pct"/>
          </w:tcPr>
          <w:p w14:paraId="4350D9F9" w14:textId="70DFE867" w:rsidR="00EA73B3" w:rsidRPr="00EA73B3" w:rsidRDefault="00946CF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Peter Hopkins</w:t>
            </w:r>
          </w:p>
        </w:tc>
        <w:tc>
          <w:tcPr>
            <w:tcW w:w="2163" w:type="pct"/>
          </w:tcPr>
          <w:p w14:paraId="0FC70C39" w14:textId="73A9D67D" w:rsidR="00EA73B3" w:rsidRPr="00EA73B3" w:rsidRDefault="00946CF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</w:tr>
      <w:tr w:rsidR="005E3E8C" w:rsidRPr="00EA73B3" w14:paraId="213E138B" w14:textId="77777777" w:rsidTr="008348A9">
        <w:tc>
          <w:tcPr>
            <w:tcW w:w="677" w:type="pct"/>
          </w:tcPr>
          <w:p w14:paraId="4C979993" w14:textId="7C4E7FDD" w:rsidR="005E3E8C" w:rsidRPr="0A57A144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0.2</w:t>
            </w:r>
          </w:p>
        </w:tc>
        <w:tc>
          <w:tcPr>
            <w:tcW w:w="838" w:type="pct"/>
          </w:tcPr>
          <w:p w14:paraId="6EEB8659" w14:textId="32D83358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DRAFT</w:t>
            </w:r>
          </w:p>
        </w:tc>
        <w:tc>
          <w:tcPr>
            <w:tcW w:w="557" w:type="pct"/>
          </w:tcPr>
          <w:p w14:paraId="5C8DFE64" w14:textId="4D92D7C8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23/08/2022</w:t>
            </w:r>
          </w:p>
        </w:tc>
        <w:tc>
          <w:tcPr>
            <w:tcW w:w="765" w:type="pct"/>
          </w:tcPr>
          <w:p w14:paraId="4E65181F" w14:textId="24081CC6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  <w:tc>
          <w:tcPr>
            <w:tcW w:w="2163" w:type="pct"/>
          </w:tcPr>
          <w:p w14:paraId="175B3648" w14:textId="26EFC1F7" w:rsidR="005E3E8C" w:rsidRDefault="005E3E8C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Xoserve review</w:t>
            </w:r>
          </w:p>
        </w:tc>
      </w:tr>
      <w:tr w:rsidR="00E37B9D" w:rsidRPr="00EA73B3" w14:paraId="25C10241" w14:textId="77777777" w:rsidTr="008348A9">
        <w:tc>
          <w:tcPr>
            <w:tcW w:w="677" w:type="pct"/>
          </w:tcPr>
          <w:p w14:paraId="2AC3AE75" w14:textId="40B88108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8" w:type="pct"/>
          </w:tcPr>
          <w:p w14:paraId="30087B33" w14:textId="619CDB6E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7" w:type="pct"/>
          </w:tcPr>
          <w:p w14:paraId="506B22F3" w14:textId="5CAF48A0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25/08/2022</w:t>
            </w:r>
          </w:p>
        </w:tc>
        <w:tc>
          <w:tcPr>
            <w:tcW w:w="765" w:type="pct"/>
          </w:tcPr>
          <w:p w14:paraId="3928B2CC" w14:textId="46BB6F30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Richard Hadfield</w:t>
            </w:r>
          </w:p>
        </w:tc>
        <w:tc>
          <w:tcPr>
            <w:tcW w:w="2163" w:type="pct"/>
          </w:tcPr>
          <w:p w14:paraId="696012E0" w14:textId="46016C6E" w:rsidR="00E37B9D" w:rsidRDefault="00E37B9D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Final changes accepted – version Approved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ACBB" w14:textId="77777777" w:rsidR="00C43EFD" w:rsidRDefault="00C43EFD" w:rsidP="00324744">
      <w:pPr>
        <w:spacing w:after="0" w:line="240" w:lineRule="auto"/>
      </w:pPr>
      <w:r>
        <w:separator/>
      </w:r>
    </w:p>
  </w:endnote>
  <w:endnote w:type="continuationSeparator" w:id="0">
    <w:p w14:paraId="15F96839" w14:textId="77777777" w:rsidR="00C43EFD" w:rsidRDefault="00C43EFD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BC03E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9CE1" w14:textId="77777777" w:rsidR="00C43EFD" w:rsidRDefault="00C43EFD" w:rsidP="00324744">
      <w:pPr>
        <w:spacing w:after="0" w:line="240" w:lineRule="auto"/>
      </w:pPr>
      <w:r>
        <w:separator/>
      </w:r>
    </w:p>
  </w:footnote>
  <w:footnote w:type="continuationSeparator" w:id="0">
    <w:p w14:paraId="77F3EA3F" w14:textId="77777777" w:rsidR="00C43EFD" w:rsidRDefault="00C43EFD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51EC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D0C"/>
    <w:multiLevelType w:val="hybridMultilevel"/>
    <w:tmpl w:val="B00E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3167A"/>
    <w:multiLevelType w:val="hybridMultilevel"/>
    <w:tmpl w:val="C7B4F798"/>
    <w:lvl w:ilvl="0" w:tplc="1A14D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7158F"/>
    <w:multiLevelType w:val="hybridMultilevel"/>
    <w:tmpl w:val="775EC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510F"/>
    <w:rsid w:val="000166B3"/>
    <w:rsid w:val="000179CB"/>
    <w:rsid w:val="00032353"/>
    <w:rsid w:val="0003282C"/>
    <w:rsid w:val="00037DF7"/>
    <w:rsid w:val="000424E0"/>
    <w:rsid w:val="000948BD"/>
    <w:rsid w:val="000A1AD1"/>
    <w:rsid w:val="000B1801"/>
    <w:rsid w:val="000B6719"/>
    <w:rsid w:val="000D1D05"/>
    <w:rsid w:val="00114C7C"/>
    <w:rsid w:val="00117629"/>
    <w:rsid w:val="00122631"/>
    <w:rsid w:val="0012414B"/>
    <w:rsid w:val="00125B61"/>
    <w:rsid w:val="001403B8"/>
    <w:rsid w:val="001413CA"/>
    <w:rsid w:val="00144E00"/>
    <w:rsid w:val="001542E0"/>
    <w:rsid w:val="00156FF5"/>
    <w:rsid w:val="0017221E"/>
    <w:rsid w:val="00176503"/>
    <w:rsid w:val="001824C1"/>
    <w:rsid w:val="00195A39"/>
    <w:rsid w:val="001A05AE"/>
    <w:rsid w:val="001A1C12"/>
    <w:rsid w:val="001B06A9"/>
    <w:rsid w:val="001C148F"/>
    <w:rsid w:val="001C2268"/>
    <w:rsid w:val="00220D45"/>
    <w:rsid w:val="00225144"/>
    <w:rsid w:val="00226D34"/>
    <w:rsid w:val="002508DC"/>
    <w:rsid w:val="00271B97"/>
    <w:rsid w:val="00290C87"/>
    <w:rsid w:val="0029122F"/>
    <w:rsid w:val="002A63DC"/>
    <w:rsid w:val="002C0324"/>
    <w:rsid w:val="002C4C64"/>
    <w:rsid w:val="002C6DE1"/>
    <w:rsid w:val="002D0EC7"/>
    <w:rsid w:val="002D4116"/>
    <w:rsid w:val="00306626"/>
    <w:rsid w:val="00324744"/>
    <w:rsid w:val="00332F16"/>
    <w:rsid w:val="0034167F"/>
    <w:rsid w:val="00346EBF"/>
    <w:rsid w:val="0035590D"/>
    <w:rsid w:val="00377416"/>
    <w:rsid w:val="00385CC8"/>
    <w:rsid w:val="0038629F"/>
    <w:rsid w:val="00396B92"/>
    <w:rsid w:val="00396E33"/>
    <w:rsid w:val="003E1C91"/>
    <w:rsid w:val="00406579"/>
    <w:rsid w:val="00417CF6"/>
    <w:rsid w:val="0042622B"/>
    <w:rsid w:val="00426807"/>
    <w:rsid w:val="00457EF4"/>
    <w:rsid w:val="00463316"/>
    <w:rsid w:val="004759B7"/>
    <w:rsid w:val="00491022"/>
    <w:rsid w:val="004914C9"/>
    <w:rsid w:val="004A5083"/>
    <w:rsid w:val="004A7D5D"/>
    <w:rsid w:val="004A7E66"/>
    <w:rsid w:val="004C48B4"/>
    <w:rsid w:val="004E1888"/>
    <w:rsid w:val="004F1212"/>
    <w:rsid w:val="004F3362"/>
    <w:rsid w:val="004F783B"/>
    <w:rsid w:val="00517F6F"/>
    <w:rsid w:val="00536B09"/>
    <w:rsid w:val="00537100"/>
    <w:rsid w:val="00546DA8"/>
    <w:rsid w:val="0055298E"/>
    <w:rsid w:val="00553C7A"/>
    <w:rsid w:val="00564F15"/>
    <w:rsid w:val="005755F3"/>
    <w:rsid w:val="00581EDD"/>
    <w:rsid w:val="005A550E"/>
    <w:rsid w:val="005A5FBB"/>
    <w:rsid w:val="005C1653"/>
    <w:rsid w:val="005C52A8"/>
    <w:rsid w:val="005D3E5D"/>
    <w:rsid w:val="005D4D27"/>
    <w:rsid w:val="005D51E0"/>
    <w:rsid w:val="005E3E8C"/>
    <w:rsid w:val="005F0FFC"/>
    <w:rsid w:val="005F1C01"/>
    <w:rsid w:val="00601B94"/>
    <w:rsid w:val="00617EF6"/>
    <w:rsid w:val="00624ECD"/>
    <w:rsid w:val="0062713F"/>
    <w:rsid w:val="00630E49"/>
    <w:rsid w:val="0063207C"/>
    <w:rsid w:val="00635862"/>
    <w:rsid w:val="006538B6"/>
    <w:rsid w:val="006862C7"/>
    <w:rsid w:val="00695375"/>
    <w:rsid w:val="00697D4B"/>
    <w:rsid w:val="006A15EA"/>
    <w:rsid w:val="006C64D2"/>
    <w:rsid w:val="006D6971"/>
    <w:rsid w:val="006F1CA7"/>
    <w:rsid w:val="00714B1C"/>
    <w:rsid w:val="00715F21"/>
    <w:rsid w:val="007243D3"/>
    <w:rsid w:val="007319EA"/>
    <w:rsid w:val="0076104B"/>
    <w:rsid w:val="00766B98"/>
    <w:rsid w:val="007778A3"/>
    <w:rsid w:val="007916D7"/>
    <w:rsid w:val="007A56DB"/>
    <w:rsid w:val="007B627F"/>
    <w:rsid w:val="007D352E"/>
    <w:rsid w:val="007D4F26"/>
    <w:rsid w:val="007E7C5B"/>
    <w:rsid w:val="00805A32"/>
    <w:rsid w:val="008149B0"/>
    <w:rsid w:val="00816E9E"/>
    <w:rsid w:val="00817A62"/>
    <w:rsid w:val="008326FC"/>
    <w:rsid w:val="008348A9"/>
    <w:rsid w:val="00836ED3"/>
    <w:rsid w:val="0084109B"/>
    <w:rsid w:val="0085359E"/>
    <w:rsid w:val="00860DD8"/>
    <w:rsid w:val="00875361"/>
    <w:rsid w:val="00883A01"/>
    <w:rsid w:val="008F0A1E"/>
    <w:rsid w:val="00923C81"/>
    <w:rsid w:val="009258C8"/>
    <w:rsid w:val="00927302"/>
    <w:rsid w:val="00946CF9"/>
    <w:rsid w:val="009522FE"/>
    <w:rsid w:val="009757CC"/>
    <w:rsid w:val="009814B1"/>
    <w:rsid w:val="00997709"/>
    <w:rsid w:val="009B7862"/>
    <w:rsid w:val="009C2485"/>
    <w:rsid w:val="009C65C6"/>
    <w:rsid w:val="009D5938"/>
    <w:rsid w:val="009D7DC7"/>
    <w:rsid w:val="009E0AA2"/>
    <w:rsid w:val="00A00FA8"/>
    <w:rsid w:val="00A101D9"/>
    <w:rsid w:val="00A12E5B"/>
    <w:rsid w:val="00A4184A"/>
    <w:rsid w:val="00AA6D00"/>
    <w:rsid w:val="00AB5B54"/>
    <w:rsid w:val="00AB63DE"/>
    <w:rsid w:val="00AE2095"/>
    <w:rsid w:val="00AF045D"/>
    <w:rsid w:val="00AF0B1F"/>
    <w:rsid w:val="00B053D6"/>
    <w:rsid w:val="00B06FD6"/>
    <w:rsid w:val="00B55A37"/>
    <w:rsid w:val="00B601AA"/>
    <w:rsid w:val="00B8770C"/>
    <w:rsid w:val="00BD056D"/>
    <w:rsid w:val="00BD0A45"/>
    <w:rsid w:val="00BD49F3"/>
    <w:rsid w:val="00BF36D5"/>
    <w:rsid w:val="00BF4279"/>
    <w:rsid w:val="00C014B7"/>
    <w:rsid w:val="00C065DF"/>
    <w:rsid w:val="00C43EFD"/>
    <w:rsid w:val="00C75346"/>
    <w:rsid w:val="00C812A2"/>
    <w:rsid w:val="00C873F0"/>
    <w:rsid w:val="00D00DB8"/>
    <w:rsid w:val="00D11D80"/>
    <w:rsid w:val="00D14517"/>
    <w:rsid w:val="00D42188"/>
    <w:rsid w:val="00D43255"/>
    <w:rsid w:val="00D55EEB"/>
    <w:rsid w:val="00D66C7E"/>
    <w:rsid w:val="00D71282"/>
    <w:rsid w:val="00D86195"/>
    <w:rsid w:val="00D86C99"/>
    <w:rsid w:val="00DB5177"/>
    <w:rsid w:val="00E074F2"/>
    <w:rsid w:val="00E22C10"/>
    <w:rsid w:val="00E23E32"/>
    <w:rsid w:val="00E37B9D"/>
    <w:rsid w:val="00E562DE"/>
    <w:rsid w:val="00E761A1"/>
    <w:rsid w:val="00E8740C"/>
    <w:rsid w:val="00EA26EB"/>
    <w:rsid w:val="00EA73B3"/>
    <w:rsid w:val="00EC34D7"/>
    <w:rsid w:val="00EC4204"/>
    <w:rsid w:val="00EF0C6F"/>
    <w:rsid w:val="00F07B1B"/>
    <w:rsid w:val="00F352D7"/>
    <w:rsid w:val="00F37C57"/>
    <w:rsid w:val="00F95876"/>
    <w:rsid w:val="00FA23B2"/>
    <w:rsid w:val="00FA48DF"/>
    <w:rsid w:val="00FB26BC"/>
    <w:rsid w:val="00FC4EDF"/>
    <w:rsid w:val="00FE04DF"/>
    <w:rsid w:val="00FE157A"/>
    <w:rsid w:val="00FF152A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1282"/>
  </w:style>
  <w:style w:type="character" w:customStyle="1" w:styleId="eop">
    <w:name w:val="eop"/>
    <w:basedOn w:val="DefaultParagraphFont"/>
    <w:rsid w:val="00D71282"/>
  </w:style>
  <w:style w:type="character" w:styleId="UnresolvedMention">
    <w:name w:val="Unresolved Mention"/>
    <w:basedOn w:val="DefaultParagraphFont"/>
    <w:uiPriority w:val="99"/>
    <w:semiHidden/>
    <w:unhideWhenUsed/>
    <w:rsid w:val="00D71282"/>
    <w:rPr>
      <w:color w:val="605E5C"/>
      <w:shd w:val="clear" w:color="auto" w:fill="E1DFDD"/>
    </w:rPr>
  </w:style>
  <w:style w:type="paragraph" w:styleId="ListParagraph">
    <w:name w:val="List Paragraph"/>
    <w:aliases w:val="Equipment,Figure_name,Numbered Indented Text,List Paragraph Char Char Char,List Paragraph Char Char,List Paragraph1,RFP SUB Points,Use Case List Paragraph,b1,Bullet for no #'s,Body Bullet,Alpha List Paragraph,List_TIS,lp1,Ref,new,Bullet 1"/>
    <w:basedOn w:val="Normal"/>
    <w:uiPriority w:val="34"/>
    <w:qFormat/>
    <w:rsid w:val="00C873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B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B1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B1B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D4D27"/>
    <w:rPr>
      <w:color w:val="D2232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sgovernance.co.uk/sites/default/files/ggf/book/2022-04/Final%20Modification%20Report%200800%20v2.0%20with%20reps%20appended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xoserve.com/media/43451/xrn5529-unc-derogation-process-mod-0800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.hadfield@correla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ox.xoserve.portfoliooffice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49A283-A023-4D17-A2EB-000A99E90357}"/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efb0c983-77a3-4edc-9303-e1cb655c76c7"/>
    <ds:schemaRef ds:uri="3ee84ff3-1fa2-4b0e-bbc1-9d3729ac2b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Jaimee LeResche</cp:lastModifiedBy>
  <cp:revision>14</cp:revision>
  <cp:lastPrinted>2022-04-13T16:10:00Z</cp:lastPrinted>
  <dcterms:created xsi:type="dcterms:W3CDTF">2022-11-21T14:15:00Z</dcterms:created>
  <dcterms:modified xsi:type="dcterms:W3CDTF">2022-11-28T11:39:00Z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