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5173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5992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080FBA8D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276677">
              <w:rPr>
                <w:rFonts w:cs="Arial"/>
              </w:rPr>
              <w:t>5610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2B1628FA" w:rsidR="005E6D7A" w:rsidRPr="0044666C" w:rsidRDefault="00276677" w:rsidP="00ED342B">
            <w:pPr>
              <w:rPr>
                <w:rFonts w:cs="Arial"/>
              </w:rPr>
            </w:pPr>
            <w:r w:rsidRPr="00276677">
              <w:rPr>
                <w:rFonts w:cs="Arial"/>
              </w:rPr>
              <w:t>New Service Lines to support the FWACV Service</w:t>
            </w:r>
            <w:r w:rsidRPr="00276677">
              <w:rPr>
                <w:rFonts w:cs="Arial"/>
              </w:rPr>
              <w:t xml:space="preserve">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12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4D674CFE" w:rsidR="00ED342B" w:rsidRPr="00BC3CAC" w:rsidRDefault="002C7B26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30/12/2022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276677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4743C690" w:rsidR="000A09D8" w:rsidRPr="002E18A4" w:rsidRDefault="00276677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B26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27667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25292612" w:rsidR="00B73CA3" w:rsidRPr="0011652C" w:rsidRDefault="0027667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27667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27667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73CC0FCE" w:rsidR="00B73CA3" w:rsidRPr="0011652C" w:rsidRDefault="0027667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771B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p w14:paraId="00D4F542" w14:textId="5EC6B97B" w:rsidR="00B0771B" w:rsidRDefault="00B0771B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Change Proposal is to seek approval for the </w:t>
            </w:r>
            <w:r w:rsidR="002C7B26">
              <w:rPr>
                <w:rFonts w:cs="Arial"/>
              </w:rPr>
              <w:t xml:space="preserve"> introduction of </w:t>
            </w:r>
            <w:r w:rsidR="005D31C5">
              <w:rPr>
                <w:rFonts w:cs="Arial"/>
              </w:rPr>
              <w:t xml:space="preserve">five </w:t>
            </w:r>
            <w:r w:rsidR="002C7B26">
              <w:rPr>
                <w:rFonts w:cs="Arial"/>
              </w:rPr>
              <w:t xml:space="preserve"> </w:t>
            </w:r>
            <w:r w:rsidR="00AD20C1">
              <w:rPr>
                <w:rFonts w:cs="Arial"/>
              </w:rPr>
              <w:t xml:space="preserve">new </w:t>
            </w:r>
            <w:r w:rsidR="002C7B26">
              <w:rPr>
                <w:rFonts w:cs="Arial"/>
              </w:rPr>
              <w:t xml:space="preserve"> Service Lines which have been introduced to support the Flow Weighted Average Calorific Value (FWACV) service </w:t>
            </w:r>
            <w:r w:rsidR="00F36FCD" w:rsidRPr="001D6959">
              <w:rPr>
                <w:rFonts w:cs="Arial"/>
              </w:rPr>
              <w:t>which was successfully implemented on 1</w:t>
            </w:r>
            <w:r w:rsidR="00F36FCD" w:rsidRPr="001D6959">
              <w:rPr>
                <w:rFonts w:cs="Arial"/>
                <w:vertAlign w:val="superscript"/>
              </w:rPr>
              <w:t>st</w:t>
            </w:r>
            <w:r w:rsidR="00F36FCD" w:rsidRPr="001D6959">
              <w:rPr>
                <w:rFonts w:cs="Arial"/>
              </w:rPr>
              <w:t xml:space="preserve"> September 2022. </w:t>
            </w:r>
            <w:r w:rsidR="005D31C5">
              <w:rPr>
                <w:rFonts w:cs="Arial"/>
              </w:rPr>
              <w:t xml:space="preserve">Please note that 4 of the </w:t>
            </w:r>
            <w:r w:rsidR="00AD20C1">
              <w:rPr>
                <w:rFonts w:cs="Arial"/>
              </w:rPr>
              <w:t xml:space="preserve"> Service lines are to be included in Service Area  17 -</w:t>
            </w:r>
            <w:r w:rsidR="00AD20C1" w:rsidRPr="00AD20C1">
              <w:rPr>
                <w:rFonts w:cs="Arial"/>
              </w:rPr>
              <w:t xml:space="preserve">Distribution Network Funded Service Activities </w:t>
            </w:r>
            <w:r w:rsidR="00AD20C1">
              <w:rPr>
                <w:rFonts w:cs="Arial"/>
              </w:rPr>
              <w:t>which was approved as a new service area by CoMC on 14</w:t>
            </w:r>
            <w:r w:rsidR="00AD20C1" w:rsidRPr="00AD20C1">
              <w:rPr>
                <w:rFonts w:cs="Arial"/>
                <w:vertAlign w:val="superscript"/>
              </w:rPr>
              <w:t>th</w:t>
            </w:r>
            <w:r w:rsidR="00AD20C1">
              <w:rPr>
                <w:rFonts w:cs="Arial"/>
              </w:rPr>
              <w:t xml:space="preserve"> December 2022 and it will become effective from 1</w:t>
            </w:r>
            <w:r w:rsidR="00AD20C1" w:rsidRPr="00AD20C1">
              <w:rPr>
                <w:rFonts w:cs="Arial"/>
                <w:vertAlign w:val="superscript"/>
              </w:rPr>
              <w:t>st</w:t>
            </w:r>
            <w:r w:rsidR="00AD20C1">
              <w:rPr>
                <w:rFonts w:cs="Arial"/>
              </w:rPr>
              <w:t xml:space="preserve"> April 2023 </w:t>
            </w:r>
          </w:p>
          <w:p w14:paraId="74ECCD2D" w14:textId="77777777" w:rsidR="00B0771B" w:rsidRDefault="00B0771B" w:rsidP="00E80965">
            <w:pPr>
              <w:rPr>
                <w:rFonts w:cs="Arial"/>
              </w:rPr>
            </w:pPr>
          </w:p>
          <w:p w14:paraId="60D47763" w14:textId="04D18520" w:rsidR="009B21FA" w:rsidRDefault="00341767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New Service Lines </w:t>
            </w:r>
          </w:p>
          <w:p w14:paraId="74302AAA" w14:textId="77777777" w:rsidR="00341767" w:rsidRDefault="00341767" w:rsidP="00E80965">
            <w:pPr>
              <w:rPr>
                <w:rFonts w:cs="Arial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3"/>
              <w:gridCol w:w="2183"/>
            </w:tblGrid>
            <w:tr w:rsidR="00A1157B" w14:paraId="2C84F4E4" w14:textId="77777777" w:rsidTr="00A1157B">
              <w:tc>
                <w:tcPr>
                  <w:tcW w:w="2182" w:type="dxa"/>
                </w:tcPr>
                <w:p w14:paraId="5A25567A" w14:textId="0528F413" w:rsidR="00A1157B" w:rsidRDefault="00D96EA8" w:rsidP="00E80965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b/>
                      <w:bCs/>
                    </w:rPr>
                    <w:t>Service Reference with effect from 01/04/21</w:t>
                  </w:r>
                </w:p>
              </w:tc>
              <w:tc>
                <w:tcPr>
                  <w:tcW w:w="2183" w:type="dxa"/>
                </w:tcPr>
                <w:p w14:paraId="657379A2" w14:textId="0CD54079" w:rsidR="00A1157B" w:rsidRDefault="00621220" w:rsidP="00E80965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b/>
                      <w:bCs/>
                    </w:rPr>
                    <w:t>Service Requirement Description</w:t>
                  </w:r>
                </w:p>
              </w:tc>
              <w:tc>
                <w:tcPr>
                  <w:tcW w:w="2183" w:type="dxa"/>
                </w:tcPr>
                <w:p w14:paraId="1A0E2A99" w14:textId="2BC0AC71" w:rsidR="00A1157B" w:rsidRDefault="00043404" w:rsidP="00E80965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b/>
                      <w:bCs/>
                    </w:rPr>
                    <w:t>Service Requirement Trigger</w:t>
                  </w:r>
                </w:p>
              </w:tc>
            </w:tr>
            <w:tr w:rsidR="00DF2BB3" w14:paraId="6B14F0C3" w14:textId="77777777" w:rsidTr="00A1157B">
              <w:tc>
                <w:tcPr>
                  <w:tcW w:w="2182" w:type="dxa"/>
                </w:tcPr>
                <w:p w14:paraId="779E3C83" w14:textId="77777777" w:rsidR="003A2E26" w:rsidRPr="00524C6D" w:rsidRDefault="003A2E26" w:rsidP="003A2E2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DS-CS-SA17-01</w:t>
                  </w:r>
                </w:p>
                <w:p w14:paraId="03B3A958" w14:textId="29AFE989" w:rsidR="00DF2BB3" w:rsidRPr="00524C6D" w:rsidRDefault="00DF2BB3" w:rsidP="00DF2B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14:paraId="1E7458A2" w14:textId="34E0AB8B" w:rsidR="00DF2BB3" w:rsidRDefault="004D6D25" w:rsidP="00DF2BB3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</w:t>
                  </w:r>
                  <w:r w:rsidR="00AF4CE1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used to </w:t>
                  </w:r>
                  <w:r w:rsidR="00DF2BB3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Calculate, Maintain and publish the</w:t>
                  </w:r>
                  <w:r w:rsidR="00DF2BB3" w:rsidRPr="00010275">
                    <w:rPr>
                      <w:rFonts w:ascii="Calibri" w:eastAsia="Times New Roman" w:hAnsi="Calibri" w:cs="Calibr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F2BB3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actual and forecast Flow-Weight Average CV for each Distribution Network's charging area(s)</w:t>
                  </w:r>
                </w:p>
              </w:tc>
              <w:tc>
                <w:tcPr>
                  <w:tcW w:w="2183" w:type="dxa"/>
                </w:tcPr>
                <w:p w14:paraId="7078F326" w14:textId="547FB173" w:rsidR="00DF2BB3" w:rsidRDefault="003D1559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Receipt of energy,  volume and CV data from Distribution Networks and Associated Partners</w:t>
                  </w:r>
                </w:p>
              </w:tc>
            </w:tr>
            <w:tr w:rsidR="00DF2BB3" w14:paraId="665996D5" w14:textId="77777777" w:rsidTr="00A1157B">
              <w:tc>
                <w:tcPr>
                  <w:tcW w:w="2182" w:type="dxa"/>
                </w:tcPr>
                <w:p w14:paraId="5BB15CB8" w14:textId="77777777" w:rsidR="003A2E26" w:rsidRPr="00524C6D" w:rsidRDefault="003A2E26" w:rsidP="003A2E2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DS-CS-SA17-02</w:t>
                  </w:r>
                </w:p>
                <w:p w14:paraId="1D6561B4" w14:textId="5C9F0243" w:rsidR="00DF2BB3" w:rsidRPr="00524C6D" w:rsidRDefault="00DF2BB3" w:rsidP="00DF2B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14:paraId="5561E96A" w14:textId="65B42E06" w:rsidR="00DF2BB3" w:rsidRDefault="00AF4CE1" w:rsidP="00DF2BB3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used to </w:t>
                  </w:r>
                  <w:r w:rsidR="00A703DF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Calculate, Maintain and publish pre-closeout (D+5) amendments to the Distribution Network's  </w:t>
                  </w:r>
                  <w:r w:rsidR="00A703DF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lastRenderedPageBreak/>
                    <w:t>charging area Flow-Weight Average CV Daily</w:t>
                  </w:r>
                </w:p>
              </w:tc>
              <w:tc>
                <w:tcPr>
                  <w:tcW w:w="2183" w:type="dxa"/>
                </w:tcPr>
                <w:p w14:paraId="28447C19" w14:textId="4C865AF2" w:rsidR="00DF2BB3" w:rsidRDefault="00205F5D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lastRenderedPageBreak/>
                    <w:t>Calculate, Maintain and publish pre-closeout (D+5) amendments to the Distribution Network's  charging area Flow-Weight Average CV Daily</w:t>
                  </w:r>
                </w:p>
              </w:tc>
            </w:tr>
            <w:tr w:rsidR="00DF2BB3" w14:paraId="1640BE00" w14:textId="77777777" w:rsidTr="00A1157B">
              <w:tc>
                <w:tcPr>
                  <w:tcW w:w="2182" w:type="dxa"/>
                </w:tcPr>
                <w:p w14:paraId="068F5E5C" w14:textId="77777777" w:rsidR="00524C6D" w:rsidRPr="00524C6D" w:rsidRDefault="00524C6D" w:rsidP="00524C6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DS-CS-SA17-03</w:t>
                  </w:r>
                </w:p>
                <w:p w14:paraId="15FC5BB9" w14:textId="5B26A7D8" w:rsidR="00DF2BB3" w:rsidRPr="00524C6D" w:rsidRDefault="00DF2BB3" w:rsidP="00DF2B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14:paraId="0D5782BB" w14:textId="65B1FEE0" w:rsidR="00DF2BB3" w:rsidRDefault="00AF4CE1" w:rsidP="00DF2BB3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The active management of the source data used to </w:t>
                  </w:r>
                  <w:r w:rsidR="00FF7D6E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Calculate, Maintain and publish Flow-Weight Average CV for declared Loss </w:t>
                  </w:r>
                  <w:r w:rsidR="007D7304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of</w:t>
                  </w:r>
                  <w:r w:rsidR="00FF7D6E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 Records post-closeout (D+5) amendments to a Distribution Network's  charging area daily</w:t>
                  </w:r>
                </w:p>
              </w:tc>
              <w:tc>
                <w:tcPr>
                  <w:tcW w:w="2183" w:type="dxa"/>
                </w:tcPr>
                <w:p w14:paraId="713EEE16" w14:textId="081586A3" w:rsidR="00DF2BB3" w:rsidRDefault="00934ACA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Receipt of Loss </w:t>
                  </w:r>
                  <w:r w:rsidR="007D7304"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of</w:t>
                  </w: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 xml:space="preserve"> Record Data - post D+5 amendment data (energy,  volume and CV) from Distribution Networks and Associated Partners</w:t>
                  </w:r>
                </w:p>
              </w:tc>
            </w:tr>
            <w:tr w:rsidR="00DF2BB3" w14:paraId="78B22B0E" w14:textId="77777777" w:rsidTr="00A1157B">
              <w:tc>
                <w:tcPr>
                  <w:tcW w:w="2182" w:type="dxa"/>
                </w:tcPr>
                <w:p w14:paraId="337936E5" w14:textId="77777777" w:rsidR="00524C6D" w:rsidRPr="00524C6D" w:rsidRDefault="00524C6D" w:rsidP="00524C6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>DS-CS-SA17-04</w:t>
                  </w:r>
                </w:p>
                <w:p w14:paraId="4CC5D127" w14:textId="7501EBB2" w:rsidR="00DF2BB3" w:rsidRPr="00524C6D" w:rsidRDefault="00DF2BB3" w:rsidP="00DF2B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14:paraId="5BF5A620" w14:textId="3AF61F16" w:rsidR="00DF2BB3" w:rsidRDefault="0086071B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Creation and issue of the monthly FWACV audit reports to the Authority (OFGEM &amp; DN's)</w:t>
                  </w:r>
                </w:p>
              </w:tc>
              <w:tc>
                <w:tcPr>
                  <w:tcW w:w="2183" w:type="dxa"/>
                </w:tcPr>
                <w:p w14:paraId="79F2F51C" w14:textId="7187678C" w:rsidR="00DF2BB3" w:rsidRDefault="003C3249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Regulatory requirement</w:t>
                  </w:r>
                </w:p>
              </w:tc>
            </w:tr>
            <w:tr w:rsidR="00DF2BB3" w14:paraId="0704E802" w14:textId="77777777" w:rsidTr="00A1157B">
              <w:tc>
                <w:tcPr>
                  <w:tcW w:w="2182" w:type="dxa"/>
                </w:tcPr>
                <w:p w14:paraId="41929416" w14:textId="77777777" w:rsidR="00164993" w:rsidRPr="00524C6D" w:rsidRDefault="00164993" w:rsidP="0016499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24C6D">
                    <w:rPr>
                      <w:rFonts w:ascii="Calibri" w:hAnsi="Calibri" w:cs="Calibri"/>
                      <w:sz w:val="16"/>
                      <w:szCs w:val="16"/>
                    </w:rPr>
                    <w:t xml:space="preserve">ASGT-CS-SA14-08 </w:t>
                  </w:r>
                </w:p>
                <w:p w14:paraId="662AA9E6" w14:textId="65BC10E2" w:rsidR="00DF2BB3" w:rsidRPr="00524C6D" w:rsidRDefault="00DF2BB3" w:rsidP="00DF2BB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3" w:type="dxa"/>
                </w:tcPr>
                <w:p w14:paraId="0DC4D977" w14:textId="545FCE83" w:rsidR="00DF2BB3" w:rsidRDefault="00C851B0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Creation and issue of bi-monthly NG Energy (CV shrinkage) Report</w:t>
                  </w:r>
                </w:p>
              </w:tc>
              <w:tc>
                <w:tcPr>
                  <w:tcW w:w="2183" w:type="dxa"/>
                </w:tcPr>
                <w:p w14:paraId="53D755D6" w14:textId="71F4DBC3" w:rsidR="00DF2BB3" w:rsidRDefault="00162B5D" w:rsidP="00DF2BB3">
                  <w:pPr>
                    <w:rPr>
                      <w:rFonts w:cs="Arial"/>
                      <w:color w:val="FF0000"/>
                    </w:rPr>
                  </w:pPr>
                  <w:r w:rsidRPr="00010275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</w:rPr>
                    <w:t>Customer request</w:t>
                  </w:r>
                </w:p>
              </w:tc>
            </w:tr>
          </w:tbl>
          <w:p w14:paraId="46B86857" w14:textId="77777777" w:rsidR="00341767" w:rsidRDefault="00341767" w:rsidP="00E80965">
            <w:pPr>
              <w:rPr>
                <w:rFonts w:cs="Arial"/>
                <w:color w:val="FF0000"/>
              </w:rPr>
            </w:pPr>
          </w:p>
          <w:p w14:paraId="0EA687A4" w14:textId="77777777" w:rsidR="00341767" w:rsidRDefault="00341767" w:rsidP="00E80965">
            <w:pPr>
              <w:rPr>
                <w:rFonts w:cs="Arial"/>
                <w:color w:val="FF0000"/>
              </w:rPr>
            </w:pPr>
          </w:p>
          <w:p w14:paraId="718D55D9" w14:textId="5DCD9E59" w:rsidR="003159DA" w:rsidRDefault="003159DA" w:rsidP="00B84A61">
            <w:pPr>
              <w:rPr>
                <w:rFonts w:ascii="Calibri" w:hAnsi="Calibri" w:cs="Calibri"/>
              </w:rPr>
            </w:pPr>
          </w:p>
          <w:p w14:paraId="760DCC35" w14:textId="0A600EBC" w:rsidR="004C3EA0" w:rsidRDefault="004C3EA0" w:rsidP="00B84A61">
            <w:pPr>
              <w:rPr>
                <w:rFonts w:ascii="Calibri" w:hAnsi="Calibri" w:cs="Calibri"/>
              </w:rPr>
            </w:pP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79CB82B5" w:rsidR="009B56A6" w:rsidRDefault="009B56A6" w:rsidP="006337A3">
            <w:pPr>
              <w:rPr>
                <w:rFonts w:cs="Arial"/>
              </w:rPr>
            </w:pP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BF232F1" w:rsidR="008039C0" w:rsidRPr="00BC3CAC" w:rsidRDefault="005D31C5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5D31C5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January 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1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27667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27667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1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27667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27667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1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CEA8" w14:textId="77777777" w:rsidR="0079397E" w:rsidRDefault="0079397E" w:rsidP="00324744">
      <w:pPr>
        <w:spacing w:after="0" w:line="240" w:lineRule="auto"/>
      </w:pPr>
      <w:r>
        <w:separator/>
      </w:r>
    </w:p>
  </w:endnote>
  <w:endnote w:type="continuationSeparator" w:id="0">
    <w:p w14:paraId="44E78429" w14:textId="77777777" w:rsidR="0079397E" w:rsidRDefault="0079397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4CEF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A66F" w14:textId="77777777" w:rsidR="0079397E" w:rsidRDefault="0079397E" w:rsidP="00324744">
      <w:pPr>
        <w:spacing w:after="0" w:line="240" w:lineRule="auto"/>
      </w:pPr>
      <w:r>
        <w:separator/>
      </w:r>
    </w:p>
  </w:footnote>
  <w:footnote w:type="continuationSeparator" w:id="0">
    <w:p w14:paraId="7B4B8A5D" w14:textId="77777777" w:rsidR="0079397E" w:rsidRDefault="0079397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A29AF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182B"/>
    <w:rsid w:val="0002433E"/>
    <w:rsid w:val="0002555E"/>
    <w:rsid w:val="000263AF"/>
    <w:rsid w:val="00030302"/>
    <w:rsid w:val="000304C9"/>
    <w:rsid w:val="00030562"/>
    <w:rsid w:val="00032BDA"/>
    <w:rsid w:val="00036D63"/>
    <w:rsid w:val="00037FB6"/>
    <w:rsid w:val="00043404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DED"/>
    <w:rsid w:val="000C610A"/>
    <w:rsid w:val="000D32E7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2B5D"/>
    <w:rsid w:val="00164993"/>
    <w:rsid w:val="00164D4C"/>
    <w:rsid w:val="00165983"/>
    <w:rsid w:val="0017012C"/>
    <w:rsid w:val="00186733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4DCD"/>
    <w:rsid w:val="001D6959"/>
    <w:rsid w:val="001E1896"/>
    <w:rsid w:val="001F2A7A"/>
    <w:rsid w:val="001F4439"/>
    <w:rsid w:val="00200F53"/>
    <w:rsid w:val="00205F5D"/>
    <w:rsid w:val="00207892"/>
    <w:rsid w:val="00212B1C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299C"/>
    <w:rsid w:val="002460EB"/>
    <w:rsid w:val="00246624"/>
    <w:rsid w:val="0025348E"/>
    <w:rsid w:val="002667E5"/>
    <w:rsid w:val="0027036B"/>
    <w:rsid w:val="002754EC"/>
    <w:rsid w:val="00276677"/>
    <w:rsid w:val="00277364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C7B26"/>
    <w:rsid w:val="002D053D"/>
    <w:rsid w:val="002D060E"/>
    <w:rsid w:val="002D06EB"/>
    <w:rsid w:val="002D2F0F"/>
    <w:rsid w:val="002D48B8"/>
    <w:rsid w:val="002D5A88"/>
    <w:rsid w:val="002D5BE2"/>
    <w:rsid w:val="002E18A4"/>
    <w:rsid w:val="002F448E"/>
    <w:rsid w:val="00302D46"/>
    <w:rsid w:val="00302E28"/>
    <w:rsid w:val="00306426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5DA5"/>
    <w:rsid w:val="003378F2"/>
    <w:rsid w:val="00340B0E"/>
    <w:rsid w:val="00341208"/>
    <w:rsid w:val="00341767"/>
    <w:rsid w:val="003463C5"/>
    <w:rsid w:val="003538A8"/>
    <w:rsid w:val="0035433A"/>
    <w:rsid w:val="00361A5B"/>
    <w:rsid w:val="00362D46"/>
    <w:rsid w:val="00365439"/>
    <w:rsid w:val="003667B8"/>
    <w:rsid w:val="00371ED5"/>
    <w:rsid w:val="00373DE0"/>
    <w:rsid w:val="003760BB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2E26"/>
    <w:rsid w:val="003A32EA"/>
    <w:rsid w:val="003A5CFC"/>
    <w:rsid w:val="003A69FD"/>
    <w:rsid w:val="003A74BB"/>
    <w:rsid w:val="003B4D44"/>
    <w:rsid w:val="003B741D"/>
    <w:rsid w:val="003B7E16"/>
    <w:rsid w:val="003C2C40"/>
    <w:rsid w:val="003C3249"/>
    <w:rsid w:val="003D0B3C"/>
    <w:rsid w:val="003D1559"/>
    <w:rsid w:val="003D28A0"/>
    <w:rsid w:val="003D4250"/>
    <w:rsid w:val="003D4EF5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F14"/>
    <w:rsid w:val="00417AC1"/>
    <w:rsid w:val="00426807"/>
    <w:rsid w:val="0043139F"/>
    <w:rsid w:val="0043195D"/>
    <w:rsid w:val="004405AE"/>
    <w:rsid w:val="00442B7D"/>
    <w:rsid w:val="0044666C"/>
    <w:rsid w:val="00455244"/>
    <w:rsid w:val="00455729"/>
    <w:rsid w:val="00461BC2"/>
    <w:rsid w:val="00464FAE"/>
    <w:rsid w:val="00470388"/>
    <w:rsid w:val="00470A30"/>
    <w:rsid w:val="00472713"/>
    <w:rsid w:val="00473D8C"/>
    <w:rsid w:val="00476C48"/>
    <w:rsid w:val="00477440"/>
    <w:rsid w:val="0047756E"/>
    <w:rsid w:val="004835A5"/>
    <w:rsid w:val="0048781D"/>
    <w:rsid w:val="00490BCD"/>
    <w:rsid w:val="004A11FF"/>
    <w:rsid w:val="004A6EFF"/>
    <w:rsid w:val="004A7E3F"/>
    <w:rsid w:val="004B3982"/>
    <w:rsid w:val="004B4891"/>
    <w:rsid w:val="004B4DDF"/>
    <w:rsid w:val="004C12DC"/>
    <w:rsid w:val="004C3433"/>
    <w:rsid w:val="004C3EA0"/>
    <w:rsid w:val="004C7B5B"/>
    <w:rsid w:val="004C7E26"/>
    <w:rsid w:val="004D141E"/>
    <w:rsid w:val="004D6D25"/>
    <w:rsid w:val="004E0922"/>
    <w:rsid w:val="004E0A00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539E"/>
    <w:rsid w:val="005132C1"/>
    <w:rsid w:val="0051349C"/>
    <w:rsid w:val="00516D8E"/>
    <w:rsid w:val="00517F6F"/>
    <w:rsid w:val="00520C90"/>
    <w:rsid w:val="00522F25"/>
    <w:rsid w:val="00524AC2"/>
    <w:rsid w:val="00524C6D"/>
    <w:rsid w:val="00524D5E"/>
    <w:rsid w:val="00525A7D"/>
    <w:rsid w:val="00530772"/>
    <w:rsid w:val="00530BAA"/>
    <w:rsid w:val="00532109"/>
    <w:rsid w:val="00534A87"/>
    <w:rsid w:val="00537584"/>
    <w:rsid w:val="00545F56"/>
    <w:rsid w:val="00546B47"/>
    <w:rsid w:val="00550673"/>
    <w:rsid w:val="00551937"/>
    <w:rsid w:val="00551E1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3D4F"/>
    <w:rsid w:val="0058557B"/>
    <w:rsid w:val="00587085"/>
    <w:rsid w:val="005971E4"/>
    <w:rsid w:val="005A1776"/>
    <w:rsid w:val="005A3714"/>
    <w:rsid w:val="005A6B14"/>
    <w:rsid w:val="005A6CFA"/>
    <w:rsid w:val="005B1056"/>
    <w:rsid w:val="005B62D1"/>
    <w:rsid w:val="005C15DD"/>
    <w:rsid w:val="005D0AA4"/>
    <w:rsid w:val="005D31C5"/>
    <w:rsid w:val="005D4EDB"/>
    <w:rsid w:val="005E4948"/>
    <w:rsid w:val="005E4C74"/>
    <w:rsid w:val="005E6969"/>
    <w:rsid w:val="005E6BE5"/>
    <w:rsid w:val="005E6D7A"/>
    <w:rsid w:val="005F4E3C"/>
    <w:rsid w:val="00602977"/>
    <w:rsid w:val="00605358"/>
    <w:rsid w:val="006059F1"/>
    <w:rsid w:val="0061405E"/>
    <w:rsid w:val="006161EA"/>
    <w:rsid w:val="006169D4"/>
    <w:rsid w:val="00621220"/>
    <w:rsid w:val="00621A0B"/>
    <w:rsid w:val="00621A70"/>
    <w:rsid w:val="006231CA"/>
    <w:rsid w:val="00632BE0"/>
    <w:rsid w:val="00633615"/>
    <w:rsid w:val="006337A3"/>
    <w:rsid w:val="00635A6A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A16B6"/>
    <w:rsid w:val="006A2B81"/>
    <w:rsid w:val="006A2C69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3743"/>
    <w:rsid w:val="006F0804"/>
    <w:rsid w:val="006F1520"/>
    <w:rsid w:val="006F3657"/>
    <w:rsid w:val="006F3FE6"/>
    <w:rsid w:val="00707048"/>
    <w:rsid w:val="00713BBE"/>
    <w:rsid w:val="00713C7B"/>
    <w:rsid w:val="007204AB"/>
    <w:rsid w:val="0072151B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45B"/>
    <w:rsid w:val="00755D8C"/>
    <w:rsid w:val="0076581D"/>
    <w:rsid w:val="00771339"/>
    <w:rsid w:val="007715F3"/>
    <w:rsid w:val="00771B44"/>
    <w:rsid w:val="0077308C"/>
    <w:rsid w:val="007768CF"/>
    <w:rsid w:val="007808B0"/>
    <w:rsid w:val="00782D2E"/>
    <w:rsid w:val="007836E3"/>
    <w:rsid w:val="0078528E"/>
    <w:rsid w:val="007855B1"/>
    <w:rsid w:val="00791834"/>
    <w:rsid w:val="0079397E"/>
    <w:rsid w:val="007A0273"/>
    <w:rsid w:val="007A2F99"/>
    <w:rsid w:val="007A336D"/>
    <w:rsid w:val="007A56DB"/>
    <w:rsid w:val="007B1994"/>
    <w:rsid w:val="007B408E"/>
    <w:rsid w:val="007B40B9"/>
    <w:rsid w:val="007B5135"/>
    <w:rsid w:val="007C2325"/>
    <w:rsid w:val="007D4F26"/>
    <w:rsid w:val="007D5F54"/>
    <w:rsid w:val="007D7304"/>
    <w:rsid w:val="007D796E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3613"/>
    <w:rsid w:val="00843F8F"/>
    <w:rsid w:val="00844F6F"/>
    <w:rsid w:val="008504CF"/>
    <w:rsid w:val="00853AEB"/>
    <w:rsid w:val="00855268"/>
    <w:rsid w:val="00855A0F"/>
    <w:rsid w:val="00857F33"/>
    <w:rsid w:val="0086071B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5BE4"/>
    <w:rsid w:val="00886BBE"/>
    <w:rsid w:val="00886C1C"/>
    <w:rsid w:val="00886C88"/>
    <w:rsid w:val="00886E23"/>
    <w:rsid w:val="008932EE"/>
    <w:rsid w:val="00894BD9"/>
    <w:rsid w:val="00897E29"/>
    <w:rsid w:val="008A0FC0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34ACA"/>
    <w:rsid w:val="009439D5"/>
    <w:rsid w:val="00945316"/>
    <w:rsid w:val="0095184C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816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4F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157B"/>
    <w:rsid w:val="00A1446F"/>
    <w:rsid w:val="00A17AA8"/>
    <w:rsid w:val="00A24FBA"/>
    <w:rsid w:val="00A2593F"/>
    <w:rsid w:val="00A26047"/>
    <w:rsid w:val="00A26651"/>
    <w:rsid w:val="00A30CDA"/>
    <w:rsid w:val="00A34E71"/>
    <w:rsid w:val="00A3623B"/>
    <w:rsid w:val="00A41B8E"/>
    <w:rsid w:val="00A4642A"/>
    <w:rsid w:val="00A47C37"/>
    <w:rsid w:val="00A530D3"/>
    <w:rsid w:val="00A5399C"/>
    <w:rsid w:val="00A569C7"/>
    <w:rsid w:val="00A57CE8"/>
    <w:rsid w:val="00A619EE"/>
    <w:rsid w:val="00A61EB7"/>
    <w:rsid w:val="00A700B7"/>
    <w:rsid w:val="00A703DF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B72BE"/>
    <w:rsid w:val="00AC205A"/>
    <w:rsid w:val="00AC7EC6"/>
    <w:rsid w:val="00AD20C1"/>
    <w:rsid w:val="00AD3EA0"/>
    <w:rsid w:val="00AD6461"/>
    <w:rsid w:val="00AE1050"/>
    <w:rsid w:val="00AE2848"/>
    <w:rsid w:val="00AE30EF"/>
    <w:rsid w:val="00AE6112"/>
    <w:rsid w:val="00AE742D"/>
    <w:rsid w:val="00AF0A06"/>
    <w:rsid w:val="00AF26F4"/>
    <w:rsid w:val="00AF348F"/>
    <w:rsid w:val="00AF38A2"/>
    <w:rsid w:val="00AF4CE1"/>
    <w:rsid w:val="00AF70A0"/>
    <w:rsid w:val="00B020EF"/>
    <w:rsid w:val="00B02352"/>
    <w:rsid w:val="00B0771B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508B"/>
    <w:rsid w:val="00B45E14"/>
    <w:rsid w:val="00B45F67"/>
    <w:rsid w:val="00B47489"/>
    <w:rsid w:val="00B50EDC"/>
    <w:rsid w:val="00B5355F"/>
    <w:rsid w:val="00B542B2"/>
    <w:rsid w:val="00B60886"/>
    <w:rsid w:val="00B6118E"/>
    <w:rsid w:val="00B73CA3"/>
    <w:rsid w:val="00B84A61"/>
    <w:rsid w:val="00B84E48"/>
    <w:rsid w:val="00B91888"/>
    <w:rsid w:val="00B9356B"/>
    <w:rsid w:val="00B935C0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088C"/>
    <w:rsid w:val="00C01CAE"/>
    <w:rsid w:val="00C0383D"/>
    <w:rsid w:val="00C059B4"/>
    <w:rsid w:val="00C06409"/>
    <w:rsid w:val="00C06FE2"/>
    <w:rsid w:val="00C07B83"/>
    <w:rsid w:val="00C10288"/>
    <w:rsid w:val="00C10CFE"/>
    <w:rsid w:val="00C14D68"/>
    <w:rsid w:val="00C16CCD"/>
    <w:rsid w:val="00C1798E"/>
    <w:rsid w:val="00C27166"/>
    <w:rsid w:val="00C27F71"/>
    <w:rsid w:val="00C30FB9"/>
    <w:rsid w:val="00C317FD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51B0"/>
    <w:rsid w:val="00C85E71"/>
    <w:rsid w:val="00C8716A"/>
    <w:rsid w:val="00C923FC"/>
    <w:rsid w:val="00C941BD"/>
    <w:rsid w:val="00CA1F99"/>
    <w:rsid w:val="00CA4178"/>
    <w:rsid w:val="00CB2163"/>
    <w:rsid w:val="00CB7A15"/>
    <w:rsid w:val="00CC0248"/>
    <w:rsid w:val="00CC5B03"/>
    <w:rsid w:val="00CD22FC"/>
    <w:rsid w:val="00CD6071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DF0"/>
    <w:rsid w:val="00D15204"/>
    <w:rsid w:val="00D16D33"/>
    <w:rsid w:val="00D2045F"/>
    <w:rsid w:val="00D2202F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1E3A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56A5"/>
    <w:rsid w:val="00D877EF"/>
    <w:rsid w:val="00D93896"/>
    <w:rsid w:val="00D950C0"/>
    <w:rsid w:val="00D96EA8"/>
    <w:rsid w:val="00DA52B5"/>
    <w:rsid w:val="00DA6D80"/>
    <w:rsid w:val="00DB1EB9"/>
    <w:rsid w:val="00DC01D1"/>
    <w:rsid w:val="00DC363E"/>
    <w:rsid w:val="00DC7AE3"/>
    <w:rsid w:val="00DD3C39"/>
    <w:rsid w:val="00DD7C68"/>
    <w:rsid w:val="00DE2C6D"/>
    <w:rsid w:val="00DE4CEA"/>
    <w:rsid w:val="00DE53A6"/>
    <w:rsid w:val="00DF2BB3"/>
    <w:rsid w:val="00E076B4"/>
    <w:rsid w:val="00E1098D"/>
    <w:rsid w:val="00E1142D"/>
    <w:rsid w:val="00E11597"/>
    <w:rsid w:val="00E14C89"/>
    <w:rsid w:val="00E17A1C"/>
    <w:rsid w:val="00E21865"/>
    <w:rsid w:val="00E3046C"/>
    <w:rsid w:val="00E34E3D"/>
    <w:rsid w:val="00E3659E"/>
    <w:rsid w:val="00E365C3"/>
    <w:rsid w:val="00E366A7"/>
    <w:rsid w:val="00E37164"/>
    <w:rsid w:val="00E472C6"/>
    <w:rsid w:val="00E527F1"/>
    <w:rsid w:val="00E57620"/>
    <w:rsid w:val="00E64378"/>
    <w:rsid w:val="00E715A9"/>
    <w:rsid w:val="00E72556"/>
    <w:rsid w:val="00E732B9"/>
    <w:rsid w:val="00E73543"/>
    <w:rsid w:val="00E74E04"/>
    <w:rsid w:val="00E761EB"/>
    <w:rsid w:val="00E80965"/>
    <w:rsid w:val="00E87F11"/>
    <w:rsid w:val="00E94F0D"/>
    <w:rsid w:val="00E960BE"/>
    <w:rsid w:val="00E970CB"/>
    <w:rsid w:val="00E97641"/>
    <w:rsid w:val="00EA2798"/>
    <w:rsid w:val="00EA56F6"/>
    <w:rsid w:val="00EC12BF"/>
    <w:rsid w:val="00EC622A"/>
    <w:rsid w:val="00EC649B"/>
    <w:rsid w:val="00EC75E7"/>
    <w:rsid w:val="00ED2035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3239C"/>
    <w:rsid w:val="00F36FCD"/>
    <w:rsid w:val="00F456B2"/>
    <w:rsid w:val="00F478AE"/>
    <w:rsid w:val="00F517A2"/>
    <w:rsid w:val="00F5564D"/>
    <w:rsid w:val="00F607A1"/>
    <w:rsid w:val="00F640C5"/>
    <w:rsid w:val="00F675B7"/>
    <w:rsid w:val="00F70411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391E"/>
    <w:rsid w:val="00F95876"/>
    <w:rsid w:val="00F95AC4"/>
    <w:rsid w:val="00FA0009"/>
    <w:rsid w:val="00FA02EE"/>
    <w:rsid w:val="00FA0D2B"/>
    <w:rsid w:val="00FA3F4F"/>
    <w:rsid w:val="00FA7596"/>
    <w:rsid w:val="00FB04DB"/>
    <w:rsid w:val="00FB1FA8"/>
    <w:rsid w:val="00FB4F8F"/>
    <w:rsid w:val="00FB60F4"/>
    <w:rsid w:val="00FC3EBD"/>
    <w:rsid w:val="00FC4967"/>
    <w:rsid w:val="00FC749B"/>
    <w:rsid w:val="00FD2F98"/>
    <w:rsid w:val="00FD30C8"/>
    <w:rsid w:val="00FF37E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F36FCD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3340F"/>
    <w:rsid w:val="000937C2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37DC8"/>
    <w:rsid w:val="005B4566"/>
    <w:rsid w:val="00612B31"/>
    <w:rsid w:val="00675658"/>
    <w:rsid w:val="006B5908"/>
    <w:rsid w:val="006E1041"/>
    <w:rsid w:val="00711D09"/>
    <w:rsid w:val="00720E4C"/>
    <w:rsid w:val="00783922"/>
    <w:rsid w:val="007A5F83"/>
    <w:rsid w:val="00800A43"/>
    <w:rsid w:val="00887325"/>
    <w:rsid w:val="00973B03"/>
    <w:rsid w:val="00996584"/>
    <w:rsid w:val="009A6F66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546C9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4957-EF3B-4474-8A02-9BB75FA707D9}"/>
</file>

<file path=customXml/itemProps2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Kate Lancaster</cp:lastModifiedBy>
  <cp:revision>15</cp:revision>
  <cp:lastPrinted>2021-01-04T10:47:00Z</cp:lastPrinted>
  <dcterms:created xsi:type="dcterms:W3CDTF">2022-12-30T12:16:00Z</dcterms:created>
  <dcterms:modified xsi:type="dcterms:W3CDTF">2023-01-04T09:05:00Z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