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9F67" w14:textId="309B3117" w:rsidR="00D66C7E" w:rsidRPr="00ED6BA3" w:rsidRDefault="00EA73B3" w:rsidP="00ED6BA3">
      <w:pPr>
        <w:pStyle w:val="Title"/>
        <w:jc w:val="center"/>
        <w:rPr>
          <w:sz w:val="44"/>
          <w:szCs w:val="44"/>
        </w:rPr>
      </w:pPr>
      <w:r w:rsidRPr="00ED6BA3">
        <w:rPr>
          <w:sz w:val="44"/>
          <w:szCs w:val="44"/>
        </w:rPr>
        <w:t>DSC Change Completion Report (CCR)</w:t>
      </w:r>
    </w:p>
    <w:p w14:paraId="67279F68" w14:textId="3899D7A8" w:rsidR="00EA73B3" w:rsidRDefault="00EA73B3" w:rsidP="00D66C7E">
      <w:r w:rsidRPr="00ED6BA3">
        <w:rPr>
          <w:noProof/>
          <w:sz w:val="20"/>
          <w:szCs w:val="20"/>
        </w:rPr>
        <w:drawing>
          <wp:anchor distT="0" distB="0" distL="114300" distR="114300" simplePos="0" relativeHeight="251658240" behindDoc="0" locked="0" layoutInCell="1" allowOverlap="1" wp14:anchorId="67279F85" wp14:editId="0FD797F2">
            <wp:simplePos x="0" y="0"/>
            <wp:positionH relativeFrom="margin">
              <wp:align>center</wp:align>
            </wp:positionH>
            <wp:positionV relativeFrom="paragraph">
              <wp:posOffset>12017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2EBB5376" w14:textId="77777777" w:rsidR="00EA73B3" w:rsidRDefault="00EA73B3" w:rsidP="00EA73B3"/>
    <w:tbl>
      <w:tblPr>
        <w:tblStyle w:val="TableGrid1"/>
        <w:tblW w:w="5661" w:type="pct"/>
        <w:tblInd w:w="-714" w:type="dxa"/>
        <w:tblLayout w:type="fixed"/>
        <w:tblLook w:val="04A0" w:firstRow="1" w:lastRow="0" w:firstColumn="1" w:lastColumn="0" w:noHBand="0" w:noVBand="1"/>
      </w:tblPr>
      <w:tblGrid>
        <w:gridCol w:w="5108"/>
        <w:gridCol w:w="5100"/>
      </w:tblGrid>
      <w:tr w:rsidR="00EA73B3" w:rsidRPr="00A67244" w14:paraId="1601AE27" w14:textId="77777777" w:rsidTr="002F654D">
        <w:tc>
          <w:tcPr>
            <w:tcW w:w="2502" w:type="pct"/>
            <w:shd w:val="clear" w:color="auto" w:fill="FFFFFF" w:themeFill="background1"/>
            <w:vAlign w:val="center"/>
          </w:tcPr>
          <w:p w14:paraId="4180B42D" w14:textId="059DF1D6" w:rsidR="00EA73B3" w:rsidRPr="00A67244" w:rsidRDefault="00EA73B3" w:rsidP="00EA73B3">
            <w:pPr>
              <w:rPr>
                <w:rFonts w:ascii="Poppins" w:eastAsia="Times New Roman" w:hAnsi="Poppins" w:cs="Poppins"/>
                <w:b/>
                <w:sz w:val="20"/>
                <w:szCs w:val="20"/>
              </w:rPr>
            </w:pPr>
            <w:r w:rsidRPr="00A67244">
              <w:rPr>
                <w:rFonts w:ascii="Poppins" w:eastAsia="Times New Roman" w:hAnsi="Poppins" w:cs="Poppins"/>
                <w:b/>
                <w:sz w:val="20"/>
                <w:szCs w:val="20"/>
              </w:rPr>
              <w:t>Change Title</w:t>
            </w:r>
            <w:r w:rsidR="00A43D01" w:rsidRPr="00A67244">
              <w:rPr>
                <w:rFonts w:ascii="Poppins" w:eastAsia="Times New Roman" w:hAnsi="Poppins" w:cs="Poppins"/>
                <w:b/>
                <w:sz w:val="20"/>
                <w:szCs w:val="20"/>
              </w:rPr>
              <w:t xml:space="preserve"> </w:t>
            </w:r>
          </w:p>
        </w:tc>
        <w:tc>
          <w:tcPr>
            <w:tcW w:w="2498" w:type="pct"/>
          </w:tcPr>
          <w:p w14:paraId="018CEA35" w14:textId="29E2703B" w:rsidR="00EA73B3" w:rsidRPr="00A67244" w:rsidRDefault="00A67244" w:rsidP="0A57A144">
            <w:pPr>
              <w:rPr>
                <w:rFonts w:ascii="Poppins" w:eastAsia="Times New Roman" w:hAnsi="Poppins" w:cs="Poppins"/>
                <w:sz w:val="20"/>
                <w:szCs w:val="20"/>
              </w:rPr>
            </w:pPr>
            <w:r w:rsidRPr="00A67244">
              <w:rPr>
                <w:rFonts w:ascii="Poppins" w:eastAsia="Times New Roman" w:hAnsi="Poppins" w:cs="Poppins"/>
                <w:iCs/>
                <w:sz w:val="20"/>
                <w:szCs w:val="20"/>
              </w:rPr>
              <w:t>Gemini Sustain Year 1 Roadmap</w:t>
            </w:r>
          </w:p>
        </w:tc>
      </w:tr>
      <w:tr w:rsidR="00EA73B3" w:rsidRPr="00A67244" w14:paraId="06D4D571" w14:textId="77777777" w:rsidTr="002F654D">
        <w:tc>
          <w:tcPr>
            <w:tcW w:w="2502" w:type="pct"/>
            <w:shd w:val="clear" w:color="auto" w:fill="FFFFFF" w:themeFill="background1"/>
            <w:vAlign w:val="center"/>
          </w:tcPr>
          <w:p w14:paraId="5982B8CD" w14:textId="77777777" w:rsidR="00EA73B3" w:rsidRPr="00A67244" w:rsidRDefault="00EA73B3" w:rsidP="00EA73B3">
            <w:pPr>
              <w:rPr>
                <w:rFonts w:ascii="Poppins" w:eastAsia="Times New Roman" w:hAnsi="Poppins" w:cs="Poppins"/>
                <w:b/>
                <w:sz w:val="20"/>
                <w:szCs w:val="20"/>
              </w:rPr>
            </w:pPr>
            <w:r w:rsidRPr="00A67244">
              <w:rPr>
                <w:rFonts w:ascii="Poppins" w:eastAsia="Times New Roman" w:hAnsi="Poppins" w:cs="Poppins"/>
                <w:b/>
                <w:sz w:val="20"/>
                <w:szCs w:val="20"/>
              </w:rPr>
              <w:t>Change reference number (XRN)</w:t>
            </w:r>
          </w:p>
        </w:tc>
        <w:tc>
          <w:tcPr>
            <w:tcW w:w="2498" w:type="pct"/>
          </w:tcPr>
          <w:p w14:paraId="06F88361" w14:textId="4D86F8CA" w:rsidR="00EA73B3" w:rsidRPr="00A67244" w:rsidRDefault="00B10D88" w:rsidP="00195A39">
            <w:pPr>
              <w:rPr>
                <w:rFonts w:ascii="Poppins" w:eastAsia="Times New Roman" w:hAnsi="Poppins" w:cs="Poppins"/>
                <w:sz w:val="20"/>
                <w:szCs w:val="20"/>
              </w:rPr>
            </w:pPr>
            <w:r w:rsidRPr="00A67244">
              <w:rPr>
                <w:rFonts w:ascii="Poppins" w:eastAsia="Times New Roman" w:hAnsi="Poppins" w:cs="Poppins"/>
                <w:sz w:val="20"/>
                <w:szCs w:val="20"/>
              </w:rPr>
              <w:t>XRN5</w:t>
            </w:r>
            <w:r w:rsidR="00E27980" w:rsidRPr="00A67244">
              <w:rPr>
                <w:rFonts w:ascii="Poppins" w:eastAsia="Times New Roman" w:hAnsi="Poppins" w:cs="Poppins"/>
                <w:sz w:val="20"/>
                <w:szCs w:val="20"/>
              </w:rPr>
              <w:t>368</w:t>
            </w:r>
          </w:p>
        </w:tc>
      </w:tr>
      <w:tr w:rsidR="00EA73B3" w:rsidRPr="00A67244" w14:paraId="1D6C8AD7" w14:textId="77777777" w:rsidTr="002F654D">
        <w:tc>
          <w:tcPr>
            <w:tcW w:w="2502" w:type="pct"/>
            <w:tcBorders>
              <w:bottom w:val="single" w:sz="4" w:space="0" w:color="auto"/>
            </w:tcBorders>
            <w:shd w:val="clear" w:color="auto" w:fill="FFFFFF" w:themeFill="background1"/>
            <w:vAlign w:val="center"/>
          </w:tcPr>
          <w:p w14:paraId="2E0D022E" w14:textId="77777777" w:rsidR="00EA73B3" w:rsidRPr="00A67244" w:rsidRDefault="00EA73B3" w:rsidP="00EA73B3">
            <w:pPr>
              <w:rPr>
                <w:rFonts w:ascii="Poppins" w:eastAsia="Times New Roman" w:hAnsi="Poppins" w:cs="Poppins"/>
                <w:b/>
                <w:sz w:val="20"/>
                <w:szCs w:val="20"/>
              </w:rPr>
            </w:pPr>
            <w:r w:rsidRPr="00A67244">
              <w:rPr>
                <w:rFonts w:ascii="Poppins" w:eastAsia="Times New Roman" w:hAnsi="Poppins" w:cs="Poppins"/>
                <w:b/>
                <w:sz w:val="20"/>
                <w:szCs w:val="20"/>
              </w:rPr>
              <w:t xml:space="preserve">Xoserve Project Manager  </w:t>
            </w:r>
          </w:p>
        </w:tc>
        <w:tc>
          <w:tcPr>
            <w:tcW w:w="2498" w:type="pct"/>
            <w:tcBorders>
              <w:bottom w:val="single" w:sz="4" w:space="0" w:color="auto"/>
            </w:tcBorders>
          </w:tcPr>
          <w:p w14:paraId="4419660B" w14:textId="61AE8E85" w:rsidR="00EA73B3" w:rsidRPr="00A67244" w:rsidRDefault="00993E1F" w:rsidP="0A57A144">
            <w:pPr>
              <w:rPr>
                <w:rFonts w:ascii="Poppins" w:eastAsia="Times New Roman" w:hAnsi="Poppins" w:cs="Poppins"/>
                <w:sz w:val="20"/>
                <w:szCs w:val="20"/>
              </w:rPr>
            </w:pPr>
            <w:r w:rsidRPr="00A67244">
              <w:rPr>
                <w:rFonts w:ascii="Poppins" w:eastAsia="Times New Roman" w:hAnsi="Poppins" w:cs="Poppins"/>
                <w:sz w:val="20"/>
                <w:szCs w:val="20"/>
              </w:rPr>
              <w:t>N</w:t>
            </w:r>
            <w:r w:rsidR="00BA1E88" w:rsidRPr="00A67244">
              <w:rPr>
                <w:rFonts w:ascii="Poppins" w:eastAsia="Times New Roman" w:hAnsi="Poppins" w:cs="Poppins"/>
                <w:sz w:val="20"/>
                <w:szCs w:val="20"/>
              </w:rPr>
              <w:t>icola Blakey</w:t>
            </w:r>
          </w:p>
        </w:tc>
      </w:tr>
      <w:tr w:rsidR="00EA73B3" w:rsidRPr="00A67244" w14:paraId="2390A8AC" w14:textId="77777777" w:rsidTr="002F654D">
        <w:tc>
          <w:tcPr>
            <w:tcW w:w="2502" w:type="pct"/>
            <w:tcBorders>
              <w:bottom w:val="single" w:sz="4" w:space="0" w:color="auto"/>
            </w:tcBorders>
            <w:shd w:val="clear" w:color="auto" w:fill="FFFFFF" w:themeFill="background1"/>
            <w:vAlign w:val="center"/>
          </w:tcPr>
          <w:p w14:paraId="68172196" w14:textId="77777777" w:rsidR="00EA73B3" w:rsidRPr="00A67244" w:rsidRDefault="00EA73B3" w:rsidP="00EA73B3">
            <w:pPr>
              <w:rPr>
                <w:rFonts w:ascii="Poppins" w:eastAsia="Times New Roman" w:hAnsi="Poppins" w:cs="Poppins"/>
                <w:b/>
                <w:sz w:val="20"/>
                <w:szCs w:val="20"/>
              </w:rPr>
            </w:pPr>
            <w:r w:rsidRPr="00A67244">
              <w:rPr>
                <w:rFonts w:ascii="Poppins" w:eastAsia="Times New Roman" w:hAnsi="Poppins" w:cs="Poppins"/>
                <w:b/>
                <w:sz w:val="20"/>
                <w:szCs w:val="20"/>
              </w:rPr>
              <w:t>Email address</w:t>
            </w:r>
          </w:p>
        </w:tc>
        <w:tc>
          <w:tcPr>
            <w:tcW w:w="2498" w:type="pct"/>
            <w:tcBorders>
              <w:bottom w:val="single" w:sz="4" w:space="0" w:color="auto"/>
            </w:tcBorders>
          </w:tcPr>
          <w:p w14:paraId="5A705C45" w14:textId="2728C70C" w:rsidR="00EA73B3" w:rsidRPr="00A67244" w:rsidRDefault="00BA1E88" w:rsidP="0A57A144">
            <w:pPr>
              <w:rPr>
                <w:rFonts w:ascii="Poppins" w:eastAsia="Times New Roman" w:hAnsi="Poppins" w:cs="Poppins"/>
                <w:sz w:val="20"/>
                <w:szCs w:val="20"/>
              </w:rPr>
            </w:pPr>
            <w:r w:rsidRPr="00A67244">
              <w:rPr>
                <w:rFonts w:ascii="Poppins" w:eastAsia="Times New Roman" w:hAnsi="Poppins" w:cs="Poppins"/>
                <w:sz w:val="20"/>
                <w:szCs w:val="20"/>
              </w:rPr>
              <w:t>Nicola.Blakey@correla.com</w:t>
            </w:r>
          </w:p>
        </w:tc>
      </w:tr>
      <w:tr w:rsidR="00EA73B3" w:rsidRPr="00A67244" w14:paraId="3B9ABC1E" w14:textId="77777777" w:rsidTr="002F654D">
        <w:tc>
          <w:tcPr>
            <w:tcW w:w="2502" w:type="pct"/>
            <w:tcBorders>
              <w:bottom w:val="single" w:sz="4" w:space="0" w:color="auto"/>
            </w:tcBorders>
            <w:shd w:val="clear" w:color="auto" w:fill="FFFFFF" w:themeFill="background1"/>
            <w:vAlign w:val="center"/>
          </w:tcPr>
          <w:p w14:paraId="7FA38DA5" w14:textId="77777777" w:rsidR="00EA73B3" w:rsidRPr="00A67244" w:rsidRDefault="00EA73B3" w:rsidP="00EA73B3">
            <w:pPr>
              <w:rPr>
                <w:rFonts w:ascii="Poppins" w:eastAsia="Times New Roman" w:hAnsi="Poppins" w:cs="Poppins"/>
                <w:b/>
                <w:sz w:val="20"/>
                <w:szCs w:val="20"/>
              </w:rPr>
            </w:pPr>
            <w:r w:rsidRPr="00A67244">
              <w:rPr>
                <w:rFonts w:ascii="Poppins" w:eastAsia="Times New Roman" w:hAnsi="Poppins" w:cs="Poppins"/>
                <w:b/>
                <w:sz w:val="20"/>
                <w:szCs w:val="20"/>
              </w:rPr>
              <w:t>Contact number</w:t>
            </w:r>
          </w:p>
        </w:tc>
        <w:tc>
          <w:tcPr>
            <w:tcW w:w="2498" w:type="pct"/>
            <w:tcBorders>
              <w:bottom w:val="single" w:sz="4" w:space="0" w:color="auto"/>
            </w:tcBorders>
          </w:tcPr>
          <w:p w14:paraId="407DF7DD" w14:textId="5ADFF82E" w:rsidR="00EA73B3" w:rsidRPr="00A67244" w:rsidRDefault="00F07749" w:rsidP="0A57A144">
            <w:pPr>
              <w:rPr>
                <w:rFonts w:ascii="Poppins" w:eastAsia="Times New Roman" w:hAnsi="Poppins" w:cs="Poppins"/>
                <w:sz w:val="20"/>
                <w:szCs w:val="20"/>
              </w:rPr>
            </w:pPr>
            <w:r w:rsidRPr="00A67244">
              <w:rPr>
                <w:rFonts w:ascii="Poppins" w:eastAsia="Verdana" w:hAnsi="Poppins" w:cs="Poppins"/>
                <w:noProof/>
                <w:sz w:val="20"/>
                <w:szCs w:val="20"/>
              </w:rPr>
              <w:t>0121 229 2873</w:t>
            </w:r>
          </w:p>
        </w:tc>
      </w:tr>
      <w:tr w:rsidR="00EA73B3" w:rsidRPr="00A67244" w14:paraId="0B495390" w14:textId="77777777" w:rsidTr="002F654D">
        <w:tc>
          <w:tcPr>
            <w:tcW w:w="2502" w:type="pct"/>
            <w:tcBorders>
              <w:bottom w:val="single" w:sz="4" w:space="0" w:color="auto"/>
            </w:tcBorders>
            <w:shd w:val="clear" w:color="auto" w:fill="FFFFFF" w:themeFill="background1"/>
            <w:vAlign w:val="center"/>
          </w:tcPr>
          <w:p w14:paraId="3A2F94C7" w14:textId="77777777" w:rsidR="00EA73B3" w:rsidRPr="00A67244" w:rsidRDefault="00EA73B3" w:rsidP="00EA73B3">
            <w:pPr>
              <w:rPr>
                <w:rFonts w:ascii="Poppins" w:eastAsia="Times New Roman" w:hAnsi="Poppins" w:cs="Poppins"/>
                <w:b/>
                <w:color w:val="000000" w:themeColor="text1"/>
                <w:sz w:val="20"/>
                <w:szCs w:val="20"/>
              </w:rPr>
            </w:pPr>
            <w:r w:rsidRPr="00A67244">
              <w:rPr>
                <w:rFonts w:ascii="Poppins" w:eastAsia="Times New Roman" w:hAnsi="Poppins" w:cs="Poppins"/>
                <w:b/>
                <w:color w:val="000000" w:themeColor="text1"/>
                <w:sz w:val="20"/>
                <w:szCs w:val="20"/>
              </w:rPr>
              <w:t>Target Change Management Committee date</w:t>
            </w:r>
          </w:p>
        </w:tc>
        <w:tc>
          <w:tcPr>
            <w:tcW w:w="2498" w:type="pct"/>
            <w:tcBorders>
              <w:bottom w:val="single" w:sz="4" w:space="0" w:color="auto"/>
            </w:tcBorders>
            <w:shd w:val="clear" w:color="auto" w:fill="auto"/>
          </w:tcPr>
          <w:p w14:paraId="4E6B73E1" w14:textId="0CDBF723" w:rsidR="00EA73B3" w:rsidRPr="00A67244" w:rsidRDefault="00E7278A" w:rsidP="00EA73B3">
            <w:pPr>
              <w:rPr>
                <w:rFonts w:ascii="Poppins" w:eastAsia="Times New Roman" w:hAnsi="Poppins" w:cs="Poppins"/>
                <w:b/>
                <w:sz w:val="20"/>
                <w:szCs w:val="20"/>
              </w:rPr>
            </w:pPr>
            <w:r w:rsidRPr="00A67244">
              <w:rPr>
                <w:rFonts w:ascii="Poppins" w:eastAsia="Times New Roman" w:hAnsi="Poppins" w:cs="Poppins"/>
                <w:b/>
                <w:sz w:val="20"/>
                <w:szCs w:val="20"/>
              </w:rPr>
              <w:t>8</w:t>
            </w:r>
            <w:r w:rsidRPr="00A67244">
              <w:rPr>
                <w:rFonts w:ascii="Poppins" w:eastAsia="Times New Roman" w:hAnsi="Poppins" w:cs="Poppins"/>
                <w:b/>
                <w:sz w:val="20"/>
                <w:szCs w:val="20"/>
                <w:vertAlign w:val="superscript"/>
              </w:rPr>
              <w:t>th</w:t>
            </w:r>
            <w:r w:rsidRPr="00A67244">
              <w:rPr>
                <w:rFonts w:ascii="Poppins" w:eastAsia="Times New Roman" w:hAnsi="Poppins" w:cs="Poppins"/>
                <w:b/>
                <w:sz w:val="20"/>
                <w:szCs w:val="20"/>
              </w:rPr>
              <w:t xml:space="preserve"> February 2023</w:t>
            </w:r>
          </w:p>
        </w:tc>
      </w:tr>
      <w:tr w:rsidR="00EA73B3" w:rsidRPr="00A67244" w14:paraId="70D298E7" w14:textId="77777777" w:rsidTr="002F654D">
        <w:tc>
          <w:tcPr>
            <w:tcW w:w="2502" w:type="pct"/>
            <w:tcBorders>
              <w:bottom w:val="single" w:sz="4" w:space="0" w:color="auto"/>
            </w:tcBorders>
            <w:shd w:val="clear" w:color="auto" w:fill="FFFFFF" w:themeFill="background1"/>
            <w:vAlign w:val="center"/>
          </w:tcPr>
          <w:p w14:paraId="1717601B" w14:textId="77777777" w:rsidR="00EA73B3" w:rsidRPr="00A67244" w:rsidRDefault="00EA73B3" w:rsidP="00EA73B3">
            <w:pPr>
              <w:rPr>
                <w:rFonts w:ascii="Poppins" w:eastAsia="Times New Roman" w:hAnsi="Poppins" w:cs="Poppins"/>
                <w:b/>
                <w:color w:val="000000" w:themeColor="text1"/>
                <w:sz w:val="20"/>
                <w:szCs w:val="20"/>
              </w:rPr>
            </w:pPr>
            <w:r w:rsidRPr="00A67244">
              <w:rPr>
                <w:rFonts w:ascii="Poppins" w:eastAsia="Times New Roman" w:hAnsi="Poppins" w:cs="Poppins"/>
                <w:b/>
                <w:color w:val="000000" w:themeColor="text1"/>
                <w:sz w:val="20"/>
                <w:szCs w:val="20"/>
              </w:rPr>
              <w:t>Date of Solution Implementation</w:t>
            </w:r>
          </w:p>
        </w:tc>
        <w:tc>
          <w:tcPr>
            <w:tcW w:w="2498" w:type="pct"/>
            <w:tcBorders>
              <w:bottom w:val="single" w:sz="4" w:space="0" w:color="auto"/>
            </w:tcBorders>
          </w:tcPr>
          <w:p w14:paraId="76CEA666" w14:textId="0BBA2F1D" w:rsidR="00EA73B3" w:rsidRPr="00A67244" w:rsidRDefault="00901F3C" w:rsidP="0A57A144">
            <w:pPr>
              <w:rPr>
                <w:rFonts w:ascii="Poppins" w:eastAsia="Times New Roman" w:hAnsi="Poppins" w:cs="Poppins"/>
                <w:sz w:val="20"/>
                <w:szCs w:val="20"/>
              </w:rPr>
            </w:pPr>
            <w:r w:rsidRPr="00A67244">
              <w:rPr>
                <w:rFonts w:ascii="Poppins" w:eastAsia="Times New Roman" w:hAnsi="Poppins" w:cs="Poppins"/>
                <w:sz w:val="20"/>
                <w:szCs w:val="20"/>
              </w:rPr>
              <w:t xml:space="preserve">See </w:t>
            </w:r>
            <w:r w:rsidR="004566AD" w:rsidRPr="00A67244">
              <w:rPr>
                <w:rFonts w:ascii="Poppins" w:eastAsia="Times New Roman" w:hAnsi="Poppins" w:cs="Poppins"/>
                <w:sz w:val="20"/>
                <w:szCs w:val="20"/>
              </w:rPr>
              <w:t xml:space="preserve">- </w:t>
            </w:r>
            <w:r w:rsidRPr="00A67244">
              <w:rPr>
                <w:rFonts w:ascii="Poppins" w:eastAsia="Times New Roman" w:hAnsi="Poppins" w:cs="Poppins"/>
                <w:sz w:val="20"/>
                <w:szCs w:val="20"/>
              </w:rPr>
              <w:t xml:space="preserve">Change Variation </w:t>
            </w:r>
            <w:r w:rsidR="004566AD" w:rsidRPr="00A67244">
              <w:rPr>
                <w:rFonts w:ascii="Poppins" w:eastAsia="Times New Roman" w:hAnsi="Poppins" w:cs="Poppins"/>
                <w:sz w:val="20"/>
                <w:szCs w:val="20"/>
              </w:rPr>
              <w:t>S</w:t>
            </w:r>
            <w:r w:rsidRPr="00A67244">
              <w:rPr>
                <w:rFonts w:ascii="Poppins" w:eastAsia="Times New Roman" w:hAnsi="Poppins" w:cs="Poppins"/>
                <w:sz w:val="20"/>
                <w:szCs w:val="20"/>
              </w:rPr>
              <w:t xml:space="preserve">ection </w:t>
            </w:r>
          </w:p>
        </w:tc>
      </w:tr>
      <w:tr w:rsidR="00EA73B3" w:rsidRPr="00A67244" w14:paraId="0327033D" w14:textId="77777777" w:rsidTr="002F654D">
        <w:trPr>
          <w:trHeight w:val="391"/>
        </w:trPr>
        <w:tc>
          <w:tcPr>
            <w:tcW w:w="5000" w:type="pct"/>
            <w:gridSpan w:val="2"/>
            <w:tcBorders>
              <w:bottom w:val="single" w:sz="4" w:space="0" w:color="auto"/>
            </w:tcBorders>
            <w:shd w:val="clear" w:color="auto" w:fill="002060"/>
            <w:vAlign w:val="center"/>
          </w:tcPr>
          <w:p w14:paraId="5A40CDE0" w14:textId="3149AA04" w:rsidR="00EA73B3" w:rsidRPr="00A67244" w:rsidRDefault="00EA73B3" w:rsidP="00521B9B">
            <w:pPr>
              <w:pStyle w:val="CommentText"/>
              <w:jc w:val="center"/>
              <w:rPr>
                <w:rFonts w:ascii="Poppins" w:eastAsia="Times New Roman" w:hAnsi="Poppins" w:cs="Poppins"/>
                <w:i/>
              </w:rPr>
            </w:pPr>
            <w:r w:rsidRPr="00A67244">
              <w:rPr>
                <w:rFonts w:ascii="Poppins" w:hAnsi="Poppins" w:cs="Poppins"/>
              </w:rPr>
              <w:t>Section 1: Overview of Change Delivery</w:t>
            </w:r>
          </w:p>
        </w:tc>
      </w:tr>
      <w:tr w:rsidR="00EA73B3" w:rsidRPr="00A67244" w14:paraId="0CEE08D9" w14:textId="77777777" w:rsidTr="002F654D">
        <w:trPr>
          <w:trHeight w:val="4096"/>
        </w:trPr>
        <w:tc>
          <w:tcPr>
            <w:tcW w:w="5000" w:type="pct"/>
            <w:gridSpan w:val="2"/>
            <w:tcBorders>
              <w:bottom w:val="single" w:sz="4" w:space="0" w:color="auto"/>
            </w:tcBorders>
            <w:shd w:val="clear" w:color="auto" w:fill="FFFFFF" w:themeFill="background1"/>
          </w:tcPr>
          <w:p w14:paraId="018E14D9" w14:textId="77777777" w:rsidR="004566AD" w:rsidRPr="00A67244" w:rsidRDefault="00F14ED5" w:rsidP="00DD578D">
            <w:pPr>
              <w:contextualSpacing/>
              <w:rPr>
                <w:rFonts w:ascii="Poppins" w:eastAsia="Times New Roman" w:hAnsi="Poppins" w:cs="Poppins"/>
                <w:iCs/>
                <w:sz w:val="20"/>
                <w:szCs w:val="20"/>
              </w:rPr>
            </w:pPr>
            <w:r w:rsidRPr="00A67244">
              <w:rPr>
                <w:rFonts w:ascii="Poppins" w:eastAsia="Times New Roman" w:hAnsi="Poppins" w:cs="Poppins"/>
                <w:iCs/>
                <w:sz w:val="20"/>
                <w:szCs w:val="20"/>
              </w:rPr>
              <w:t xml:space="preserve">In collaboration with NG, Correla elicited </w:t>
            </w:r>
            <w:r w:rsidR="00997893" w:rsidRPr="00A67244">
              <w:rPr>
                <w:rFonts w:ascii="Poppins" w:eastAsia="Times New Roman" w:hAnsi="Poppins" w:cs="Poppins"/>
                <w:iCs/>
                <w:sz w:val="20"/>
                <w:szCs w:val="20"/>
              </w:rPr>
              <w:t>several</w:t>
            </w:r>
            <w:r w:rsidRPr="00A67244">
              <w:rPr>
                <w:rFonts w:ascii="Poppins" w:eastAsia="Times New Roman" w:hAnsi="Poppins" w:cs="Poppins"/>
                <w:iCs/>
                <w:sz w:val="20"/>
                <w:szCs w:val="20"/>
              </w:rPr>
              <w:t xml:space="preserve"> requirements from Gemini System Users designed to ease customer pain points and enhance the Gemini system. </w:t>
            </w:r>
          </w:p>
          <w:p w14:paraId="79467A9A" w14:textId="77777777" w:rsidR="006800EB" w:rsidRDefault="006800EB" w:rsidP="00DD578D">
            <w:pPr>
              <w:contextualSpacing/>
              <w:rPr>
                <w:rFonts w:ascii="Poppins" w:eastAsia="Times New Roman" w:hAnsi="Poppins" w:cs="Poppins"/>
                <w:iCs/>
                <w:sz w:val="20"/>
                <w:szCs w:val="20"/>
              </w:rPr>
            </w:pPr>
          </w:p>
          <w:p w14:paraId="521D876E" w14:textId="2AB83E9B" w:rsidR="00F66996" w:rsidRPr="006800EB" w:rsidRDefault="004566AD" w:rsidP="00DD578D">
            <w:pPr>
              <w:contextualSpacing/>
              <w:rPr>
                <w:rFonts w:ascii="Poppins" w:eastAsia="Times New Roman" w:hAnsi="Poppins" w:cs="Poppins"/>
                <w:iCs/>
                <w:sz w:val="20"/>
                <w:szCs w:val="20"/>
              </w:rPr>
            </w:pPr>
            <w:r w:rsidRPr="006800EB">
              <w:rPr>
                <w:rFonts w:ascii="Poppins" w:eastAsia="Times New Roman" w:hAnsi="Poppins" w:cs="Poppins"/>
                <w:iCs/>
                <w:sz w:val="20"/>
                <w:szCs w:val="20"/>
              </w:rPr>
              <w:t>S</w:t>
            </w:r>
            <w:r w:rsidR="00F14ED5" w:rsidRPr="006800EB">
              <w:rPr>
                <w:rFonts w:ascii="Poppins" w:eastAsia="Times New Roman" w:hAnsi="Poppins" w:cs="Poppins"/>
                <w:iCs/>
                <w:sz w:val="20"/>
                <w:szCs w:val="20"/>
              </w:rPr>
              <w:t xml:space="preserve">olutions </w:t>
            </w:r>
            <w:r w:rsidR="00E37D0C" w:rsidRPr="006800EB">
              <w:rPr>
                <w:rFonts w:ascii="Poppins" w:eastAsia="Times New Roman" w:hAnsi="Poppins" w:cs="Poppins"/>
                <w:iCs/>
                <w:sz w:val="20"/>
                <w:szCs w:val="20"/>
              </w:rPr>
              <w:t>delivered under</w:t>
            </w:r>
            <w:r w:rsidR="00F66996" w:rsidRPr="006800EB">
              <w:rPr>
                <w:rFonts w:ascii="Poppins" w:eastAsia="Times New Roman" w:hAnsi="Poppins" w:cs="Poppins"/>
                <w:iCs/>
                <w:sz w:val="20"/>
                <w:szCs w:val="20"/>
              </w:rPr>
              <w:t xml:space="preserve"> </w:t>
            </w:r>
            <w:r w:rsidR="005077BE" w:rsidRPr="006800EB">
              <w:rPr>
                <w:rFonts w:ascii="Poppins" w:eastAsia="Times New Roman" w:hAnsi="Poppins" w:cs="Poppins"/>
                <w:iCs/>
                <w:sz w:val="20"/>
                <w:szCs w:val="20"/>
              </w:rPr>
              <w:t>XRN5368 Gemini Sustain</w:t>
            </w:r>
            <w:r w:rsidRPr="006800EB">
              <w:rPr>
                <w:rFonts w:ascii="Poppins" w:eastAsia="Times New Roman" w:hAnsi="Poppins" w:cs="Poppins"/>
                <w:iCs/>
                <w:sz w:val="20"/>
                <w:szCs w:val="20"/>
              </w:rPr>
              <w:t xml:space="preserve"> Year 1 </w:t>
            </w:r>
            <w:r w:rsidR="005255AC" w:rsidRPr="006800EB">
              <w:rPr>
                <w:rFonts w:ascii="Poppins" w:eastAsia="Times New Roman" w:hAnsi="Poppins" w:cs="Poppins"/>
                <w:iCs/>
                <w:sz w:val="20"/>
                <w:szCs w:val="20"/>
              </w:rPr>
              <w:t>Roadmap</w:t>
            </w:r>
            <w:r w:rsidR="00180B7F" w:rsidRPr="006800EB">
              <w:rPr>
                <w:rFonts w:ascii="Poppins" w:eastAsia="Times New Roman" w:hAnsi="Poppins" w:cs="Poppins"/>
                <w:iCs/>
                <w:sz w:val="20"/>
                <w:szCs w:val="20"/>
              </w:rPr>
              <w:t xml:space="preserve"> </w:t>
            </w:r>
          </w:p>
          <w:p w14:paraId="016EBC97" w14:textId="77777777" w:rsidR="00497C8E" w:rsidRPr="006800EB" w:rsidRDefault="00497C8E" w:rsidP="00912008">
            <w:pPr>
              <w:pStyle w:val="XoParagraph"/>
              <w:rPr>
                <w:rFonts w:ascii="Poppins" w:hAnsi="Poppins" w:cs="Poppins"/>
              </w:rPr>
            </w:pPr>
          </w:p>
          <w:p w14:paraId="6BBCF34B" w14:textId="42C38FC6" w:rsidR="00912008" w:rsidRPr="006800EB" w:rsidRDefault="00912008" w:rsidP="00912008">
            <w:pPr>
              <w:pStyle w:val="XoParagraph"/>
              <w:numPr>
                <w:ilvl w:val="0"/>
                <w:numId w:val="6"/>
              </w:numPr>
              <w:rPr>
                <w:rFonts w:ascii="Poppins" w:hAnsi="Poppins" w:cs="Poppins"/>
              </w:rPr>
            </w:pPr>
            <w:r w:rsidRPr="006800EB">
              <w:rPr>
                <w:rFonts w:ascii="Poppins" w:hAnsi="Poppins" w:cs="Poppins"/>
              </w:rPr>
              <w:t>Batch Processing</w:t>
            </w:r>
          </w:p>
          <w:p w14:paraId="4ACE698C" w14:textId="636F8368" w:rsidR="00912008" w:rsidRPr="006800EB" w:rsidRDefault="00912008" w:rsidP="00912008">
            <w:pPr>
              <w:pStyle w:val="XoParagraph"/>
              <w:numPr>
                <w:ilvl w:val="0"/>
                <w:numId w:val="6"/>
              </w:numPr>
              <w:rPr>
                <w:rFonts w:ascii="Poppins" w:hAnsi="Poppins" w:cs="Poppins"/>
              </w:rPr>
            </w:pPr>
            <w:r w:rsidRPr="006800EB">
              <w:rPr>
                <w:rFonts w:ascii="Poppins" w:hAnsi="Poppins" w:cs="Poppins"/>
              </w:rPr>
              <w:t>Single Sign On</w:t>
            </w:r>
          </w:p>
          <w:p w14:paraId="598437AD" w14:textId="77777777" w:rsidR="0088777C" w:rsidRDefault="00912008" w:rsidP="00ED6BA3">
            <w:pPr>
              <w:pStyle w:val="XoParagraph"/>
              <w:numPr>
                <w:ilvl w:val="0"/>
                <w:numId w:val="6"/>
              </w:numPr>
              <w:rPr>
                <w:rFonts w:ascii="Poppins" w:hAnsi="Poppins" w:cs="Poppins"/>
              </w:rPr>
            </w:pPr>
            <w:r w:rsidRPr="006800EB">
              <w:rPr>
                <w:rFonts w:ascii="Poppins" w:hAnsi="Poppins" w:cs="Poppins"/>
              </w:rPr>
              <w:t>Enhanced API Platform</w:t>
            </w:r>
          </w:p>
          <w:p w14:paraId="75D1F36A" w14:textId="2F0E7AA7" w:rsidR="00912008" w:rsidRPr="0088777C" w:rsidRDefault="00912008" w:rsidP="00ED6BA3">
            <w:pPr>
              <w:pStyle w:val="XoParagraph"/>
              <w:numPr>
                <w:ilvl w:val="0"/>
                <w:numId w:val="6"/>
              </w:numPr>
              <w:rPr>
                <w:rFonts w:ascii="Poppins" w:hAnsi="Poppins" w:cs="Poppins"/>
              </w:rPr>
            </w:pPr>
            <w:r w:rsidRPr="0088777C">
              <w:rPr>
                <w:rFonts w:ascii="Poppins" w:hAnsi="Poppins" w:cs="Poppins"/>
              </w:rPr>
              <w:t>Workflow Automation Feasibility and Analysis (only)</w:t>
            </w:r>
          </w:p>
          <w:p w14:paraId="646B8C30" w14:textId="409FED47" w:rsidR="008A0CA5" w:rsidRPr="002C0202" w:rsidRDefault="00912008" w:rsidP="002C0202">
            <w:pPr>
              <w:pStyle w:val="XoParagraph"/>
              <w:numPr>
                <w:ilvl w:val="0"/>
                <w:numId w:val="6"/>
              </w:numPr>
              <w:rPr>
                <w:rFonts w:ascii="Poppins" w:hAnsi="Poppins" w:cs="Poppins"/>
              </w:rPr>
            </w:pPr>
            <w:r w:rsidRPr="006800EB">
              <w:rPr>
                <w:rFonts w:ascii="Poppins" w:hAnsi="Poppins" w:cs="Poppins"/>
              </w:rPr>
              <w:t>SiteMinder Upgrade</w:t>
            </w:r>
          </w:p>
        </w:tc>
      </w:tr>
    </w:tbl>
    <w:tbl>
      <w:tblPr>
        <w:tblStyle w:val="TableGrid"/>
        <w:tblpPr w:leftFromText="180" w:rightFromText="180" w:vertAnchor="page" w:horzAnchor="margin" w:tblpXSpec="center" w:tblpY="11975"/>
        <w:tblW w:w="10207" w:type="dxa"/>
        <w:tblLook w:val="04A0" w:firstRow="1" w:lastRow="0" w:firstColumn="1" w:lastColumn="0" w:noHBand="0" w:noVBand="1"/>
      </w:tblPr>
      <w:tblGrid>
        <w:gridCol w:w="3403"/>
        <w:gridCol w:w="1736"/>
        <w:gridCol w:w="1485"/>
        <w:gridCol w:w="1860"/>
        <w:gridCol w:w="1723"/>
      </w:tblGrid>
      <w:tr w:rsidR="002F654D" w:rsidRPr="00A67244" w14:paraId="79CE02A0" w14:textId="77777777" w:rsidTr="002F654D">
        <w:trPr>
          <w:trHeight w:val="416"/>
        </w:trPr>
        <w:tc>
          <w:tcPr>
            <w:tcW w:w="10207" w:type="dxa"/>
            <w:gridSpan w:val="5"/>
            <w:shd w:val="clear" w:color="auto" w:fill="002060"/>
            <w:vAlign w:val="center"/>
          </w:tcPr>
          <w:p w14:paraId="3488A927" w14:textId="77777777" w:rsidR="002F654D" w:rsidRPr="00A67244" w:rsidRDefault="002F654D" w:rsidP="002F654D">
            <w:pPr>
              <w:pStyle w:val="CommentText"/>
              <w:jc w:val="center"/>
              <w:rPr>
                <w:rFonts w:ascii="Poppins" w:hAnsi="Poppins" w:cs="Poppins"/>
                <w:i/>
                <w:iCs/>
                <w:color w:val="0070C0"/>
              </w:rPr>
            </w:pPr>
            <w:bookmarkStart w:id="0" w:name="_Hlk124771580"/>
            <w:r w:rsidRPr="00A67244">
              <w:rPr>
                <w:rFonts w:ascii="Poppins" w:hAnsi="Poppins" w:cs="Poppins"/>
              </w:rPr>
              <w:t>Section 2: Confirmed Funding Arrangements</w:t>
            </w:r>
          </w:p>
        </w:tc>
      </w:tr>
      <w:tr w:rsidR="002F654D" w:rsidRPr="00A67244" w14:paraId="5A30BC5E" w14:textId="77777777" w:rsidTr="002F654D">
        <w:trPr>
          <w:trHeight w:val="501"/>
        </w:trPr>
        <w:tc>
          <w:tcPr>
            <w:tcW w:w="3403" w:type="dxa"/>
          </w:tcPr>
          <w:p w14:paraId="6F479C93" w14:textId="77777777" w:rsidR="002F654D" w:rsidRPr="00A67244" w:rsidRDefault="002F654D" w:rsidP="002F654D">
            <w:pPr>
              <w:jc w:val="center"/>
              <w:rPr>
                <w:rFonts w:ascii="Poppins" w:eastAsia="Times New Roman" w:hAnsi="Poppins" w:cs="Poppins"/>
                <w:sz w:val="20"/>
                <w:szCs w:val="20"/>
              </w:rPr>
            </w:pPr>
            <w:r w:rsidRPr="00A67244">
              <w:rPr>
                <w:rFonts w:ascii="Poppins" w:eastAsia="Times New Roman" w:hAnsi="Poppins" w:cs="Poppins"/>
                <w:sz w:val="20"/>
                <w:szCs w:val="20"/>
              </w:rPr>
              <w:t>Gas Industry Participant</w:t>
            </w:r>
          </w:p>
        </w:tc>
        <w:tc>
          <w:tcPr>
            <w:tcW w:w="1736" w:type="dxa"/>
          </w:tcPr>
          <w:p w14:paraId="294E9556" w14:textId="3A97DD8E" w:rsidR="002F654D" w:rsidRPr="00A67244" w:rsidRDefault="002F654D" w:rsidP="002F654D">
            <w:pPr>
              <w:jc w:val="center"/>
              <w:rPr>
                <w:rFonts w:ascii="Poppins" w:eastAsia="Times New Roman" w:hAnsi="Poppins" w:cs="Poppins"/>
                <w:sz w:val="20"/>
                <w:szCs w:val="20"/>
              </w:rPr>
            </w:pPr>
            <w:r w:rsidRPr="00A67244">
              <w:rPr>
                <w:rFonts w:ascii="Poppins" w:eastAsia="Times New Roman" w:hAnsi="Poppins" w:cs="Poppins"/>
                <w:sz w:val="20"/>
                <w:szCs w:val="20"/>
              </w:rPr>
              <w:t>BER Share of Cost</w:t>
            </w:r>
          </w:p>
        </w:tc>
        <w:tc>
          <w:tcPr>
            <w:tcW w:w="1485" w:type="dxa"/>
          </w:tcPr>
          <w:p w14:paraId="46C3C74E" w14:textId="77777777" w:rsidR="002F654D" w:rsidRPr="00A67244" w:rsidRDefault="002F654D" w:rsidP="002F654D">
            <w:pPr>
              <w:jc w:val="center"/>
              <w:rPr>
                <w:rFonts w:ascii="Poppins" w:eastAsia="Times New Roman" w:hAnsi="Poppins" w:cs="Poppins"/>
                <w:sz w:val="20"/>
                <w:szCs w:val="20"/>
              </w:rPr>
            </w:pPr>
            <w:r w:rsidRPr="00A67244">
              <w:rPr>
                <w:rFonts w:ascii="Poppins" w:eastAsia="Times New Roman" w:hAnsi="Poppins" w:cs="Poppins"/>
                <w:sz w:val="20"/>
                <w:szCs w:val="20"/>
              </w:rPr>
              <w:t>Actual Share of Cost</w:t>
            </w:r>
          </w:p>
        </w:tc>
        <w:tc>
          <w:tcPr>
            <w:tcW w:w="1860" w:type="dxa"/>
          </w:tcPr>
          <w:p w14:paraId="5FC1C49D" w14:textId="77777777" w:rsidR="002F654D" w:rsidRPr="00A67244" w:rsidRDefault="002F654D" w:rsidP="002F654D">
            <w:pPr>
              <w:jc w:val="center"/>
              <w:rPr>
                <w:rFonts w:ascii="Poppins" w:eastAsia="Times New Roman" w:hAnsi="Poppins" w:cs="Poppins"/>
                <w:sz w:val="20"/>
                <w:szCs w:val="20"/>
              </w:rPr>
            </w:pPr>
            <w:r w:rsidRPr="00A67244">
              <w:rPr>
                <w:rFonts w:ascii="Poppins" w:eastAsia="Times New Roman" w:hAnsi="Poppins" w:cs="Poppins"/>
                <w:sz w:val="20"/>
                <w:szCs w:val="20"/>
              </w:rPr>
              <w:t>BER Cost Value</w:t>
            </w:r>
          </w:p>
        </w:tc>
        <w:tc>
          <w:tcPr>
            <w:tcW w:w="1723" w:type="dxa"/>
          </w:tcPr>
          <w:p w14:paraId="27A0AD9A" w14:textId="77777777" w:rsidR="002F654D" w:rsidRPr="00A67244" w:rsidRDefault="002F654D" w:rsidP="002F654D">
            <w:pPr>
              <w:jc w:val="center"/>
              <w:rPr>
                <w:rFonts w:ascii="Poppins" w:eastAsia="Times New Roman" w:hAnsi="Poppins" w:cs="Poppins"/>
                <w:sz w:val="20"/>
                <w:szCs w:val="20"/>
              </w:rPr>
            </w:pPr>
            <w:r w:rsidRPr="00A67244">
              <w:rPr>
                <w:rFonts w:ascii="Poppins" w:eastAsia="Times New Roman" w:hAnsi="Poppins" w:cs="Poppins"/>
                <w:sz w:val="20"/>
                <w:szCs w:val="20"/>
              </w:rPr>
              <w:t>Actual Cost Value</w:t>
            </w:r>
          </w:p>
        </w:tc>
      </w:tr>
      <w:tr w:rsidR="002F654D" w:rsidRPr="00A67244" w14:paraId="3A426C68" w14:textId="77777777" w:rsidTr="002F654D">
        <w:trPr>
          <w:trHeight w:val="241"/>
        </w:trPr>
        <w:tc>
          <w:tcPr>
            <w:tcW w:w="3403" w:type="dxa"/>
            <w:shd w:val="clear" w:color="auto" w:fill="D9D9D9" w:themeFill="background1" w:themeFillShade="D9"/>
          </w:tcPr>
          <w:p w14:paraId="1AB750AC" w14:textId="77777777" w:rsidR="002F654D" w:rsidRPr="00A67244" w:rsidRDefault="002F654D" w:rsidP="002F654D">
            <w:pPr>
              <w:rPr>
                <w:rFonts w:ascii="Poppins" w:eastAsia="Times New Roman" w:hAnsi="Poppins" w:cs="Poppins"/>
                <w:sz w:val="20"/>
                <w:szCs w:val="20"/>
              </w:rPr>
            </w:pPr>
            <w:r w:rsidRPr="00A67244">
              <w:rPr>
                <w:rFonts w:ascii="Poppins" w:eastAsia="Times New Roman" w:hAnsi="Poppins" w:cs="Poppins"/>
                <w:sz w:val="20"/>
                <w:szCs w:val="20"/>
              </w:rPr>
              <w:t>Shippers</w:t>
            </w:r>
          </w:p>
        </w:tc>
        <w:tc>
          <w:tcPr>
            <w:tcW w:w="1736" w:type="dxa"/>
            <w:shd w:val="clear" w:color="auto" w:fill="D9D9D9" w:themeFill="background1" w:themeFillShade="D9"/>
          </w:tcPr>
          <w:p w14:paraId="059E86E4" w14:textId="77777777" w:rsidR="002F654D" w:rsidRPr="00A67244" w:rsidRDefault="002F654D" w:rsidP="002F654D">
            <w:pPr>
              <w:jc w:val="center"/>
              <w:rPr>
                <w:rFonts w:ascii="Poppins" w:eastAsia="Times New Roman" w:hAnsi="Poppins" w:cs="Poppins"/>
                <w:sz w:val="20"/>
                <w:szCs w:val="20"/>
              </w:rPr>
            </w:pPr>
          </w:p>
        </w:tc>
        <w:tc>
          <w:tcPr>
            <w:tcW w:w="1485" w:type="dxa"/>
            <w:shd w:val="clear" w:color="auto" w:fill="D9D9D9" w:themeFill="background1" w:themeFillShade="D9"/>
          </w:tcPr>
          <w:p w14:paraId="2DA99958" w14:textId="77777777" w:rsidR="002F654D" w:rsidRPr="00A67244" w:rsidRDefault="002F654D" w:rsidP="002F654D">
            <w:pPr>
              <w:jc w:val="center"/>
              <w:rPr>
                <w:rFonts w:ascii="Poppins" w:eastAsia="Times New Roman" w:hAnsi="Poppins" w:cs="Poppins"/>
                <w:sz w:val="20"/>
                <w:szCs w:val="20"/>
              </w:rPr>
            </w:pPr>
          </w:p>
        </w:tc>
        <w:tc>
          <w:tcPr>
            <w:tcW w:w="1860" w:type="dxa"/>
            <w:shd w:val="clear" w:color="auto" w:fill="D9D9D9" w:themeFill="background1" w:themeFillShade="D9"/>
          </w:tcPr>
          <w:p w14:paraId="5E6C8781" w14:textId="77777777" w:rsidR="002F654D" w:rsidRPr="00A67244" w:rsidRDefault="002F654D" w:rsidP="002F654D">
            <w:pPr>
              <w:jc w:val="center"/>
              <w:rPr>
                <w:rFonts w:ascii="Poppins" w:eastAsia="Times New Roman" w:hAnsi="Poppins" w:cs="Poppins"/>
                <w:sz w:val="20"/>
                <w:szCs w:val="20"/>
              </w:rPr>
            </w:pPr>
          </w:p>
        </w:tc>
        <w:tc>
          <w:tcPr>
            <w:tcW w:w="1723" w:type="dxa"/>
            <w:shd w:val="clear" w:color="auto" w:fill="D9D9D9" w:themeFill="background1" w:themeFillShade="D9"/>
          </w:tcPr>
          <w:p w14:paraId="04974518" w14:textId="77777777" w:rsidR="002F654D" w:rsidRPr="00A67244" w:rsidRDefault="002F654D" w:rsidP="002F654D">
            <w:pPr>
              <w:jc w:val="center"/>
              <w:rPr>
                <w:rFonts w:ascii="Poppins" w:eastAsia="Times New Roman" w:hAnsi="Poppins" w:cs="Poppins"/>
                <w:sz w:val="20"/>
                <w:szCs w:val="20"/>
              </w:rPr>
            </w:pPr>
          </w:p>
        </w:tc>
      </w:tr>
      <w:tr w:rsidR="002F654D" w:rsidRPr="00A67244" w14:paraId="2475217C" w14:textId="77777777" w:rsidTr="002F654D">
        <w:trPr>
          <w:trHeight w:val="241"/>
        </w:trPr>
        <w:tc>
          <w:tcPr>
            <w:tcW w:w="3403" w:type="dxa"/>
            <w:shd w:val="clear" w:color="auto" w:fill="D9D9D9" w:themeFill="background1" w:themeFillShade="D9"/>
          </w:tcPr>
          <w:p w14:paraId="21459E96" w14:textId="77777777" w:rsidR="002F654D" w:rsidRPr="00A67244" w:rsidRDefault="002F654D" w:rsidP="002F654D">
            <w:pPr>
              <w:rPr>
                <w:rFonts w:ascii="Poppins" w:eastAsia="Times New Roman" w:hAnsi="Poppins" w:cs="Poppins"/>
                <w:sz w:val="20"/>
                <w:szCs w:val="20"/>
              </w:rPr>
            </w:pPr>
            <w:r w:rsidRPr="00A67244">
              <w:rPr>
                <w:rFonts w:ascii="Poppins" w:eastAsia="Times New Roman" w:hAnsi="Poppins" w:cs="Poppins"/>
                <w:sz w:val="20"/>
                <w:szCs w:val="20"/>
              </w:rPr>
              <w:t>IGTs</w:t>
            </w:r>
          </w:p>
        </w:tc>
        <w:tc>
          <w:tcPr>
            <w:tcW w:w="1736" w:type="dxa"/>
            <w:shd w:val="clear" w:color="auto" w:fill="D9D9D9" w:themeFill="background1" w:themeFillShade="D9"/>
          </w:tcPr>
          <w:p w14:paraId="06E19AF1" w14:textId="77777777" w:rsidR="002F654D" w:rsidRPr="00A67244" w:rsidRDefault="002F654D" w:rsidP="002F654D">
            <w:pPr>
              <w:jc w:val="center"/>
              <w:rPr>
                <w:rFonts w:ascii="Poppins" w:eastAsia="Times New Roman" w:hAnsi="Poppins" w:cs="Poppins"/>
                <w:sz w:val="20"/>
                <w:szCs w:val="20"/>
              </w:rPr>
            </w:pPr>
          </w:p>
        </w:tc>
        <w:tc>
          <w:tcPr>
            <w:tcW w:w="1485" w:type="dxa"/>
            <w:shd w:val="clear" w:color="auto" w:fill="D9D9D9" w:themeFill="background1" w:themeFillShade="D9"/>
          </w:tcPr>
          <w:p w14:paraId="1801B6BE" w14:textId="77777777" w:rsidR="002F654D" w:rsidRPr="00A67244" w:rsidRDefault="002F654D" w:rsidP="002F654D">
            <w:pPr>
              <w:jc w:val="center"/>
              <w:rPr>
                <w:rFonts w:ascii="Poppins" w:eastAsia="Times New Roman" w:hAnsi="Poppins" w:cs="Poppins"/>
                <w:sz w:val="20"/>
                <w:szCs w:val="20"/>
              </w:rPr>
            </w:pPr>
          </w:p>
        </w:tc>
        <w:tc>
          <w:tcPr>
            <w:tcW w:w="1860" w:type="dxa"/>
            <w:shd w:val="clear" w:color="auto" w:fill="D9D9D9" w:themeFill="background1" w:themeFillShade="D9"/>
          </w:tcPr>
          <w:p w14:paraId="14CC4A6D" w14:textId="77777777" w:rsidR="002F654D" w:rsidRPr="00A67244" w:rsidRDefault="002F654D" w:rsidP="002F654D">
            <w:pPr>
              <w:jc w:val="center"/>
              <w:rPr>
                <w:rFonts w:ascii="Poppins" w:eastAsia="Times New Roman" w:hAnsi="Poppins" w:cs="Poppins"/>
                <w:sz w:val="20"/>
                <w:szCs w:val="20"/>
              </w:rPr>
            </w:pPr>
          </w:p>
        </w:tc>
        <w:tc>
          <w:tcPr>
            <w:tcW w:w="1723" w:type="dxa"/>
            <w:shd w:val="clear" w:color="auto" w:fill="D9D9D9" w:themeFill="background1" w:themeFillShade="D9"/>
          </w:tcPr>
          <w:p w14:paraId="7C50024C" w14:textId="77777777" w:rsidR="002F654D" w:rsidRPr="00A67244" w:rsidRDefault="002F654D" w:rsidP="002F654D">
            <w:pPr>
              <w:jc w:val="center"/>
              <w:rPr>
                <w:rFonts w:ascii="Poppins" w:eastAsia="Times New Roman" w:hAnsi="Poppins" w:cs="Poppins"/>
                <w:sz w:val="20"/>
                <w:szCs w:val="20"/>
              </w:rPr>
            </w:pPr>
          </w:p>
        </w:tc>
      </w:tr>
      <w:tr w:rsidR="002F654D" w:rsidRPr="00A67244" w14:paraId="2F84B921" w14:textId="77777777" w:rsidTr="002F654D">
        <w:trPr>
          <w:trHeight w:val="241"/>
        </w:trPr>
        <w:tc>
          <w:tcPr>
            <w:tcW w:w="3403" w:type="dxa"/>
            <w:shd w:val="clear" w:color="auto" w:fill="D9D9D9" w:themeFill="background1" w:themeFillShade="D9"/>
          </w:tcPr>
          <w:p w14:paraId="3C925FE6" w14:textId="77777777" w:rsidR="002F654D" w:rsidRPr="00A67244" w:rsidRDefault="002F654D" w:rsidP="002F654D">
            <w:pPr>
              <w:rPr>
                <w:rFonts w:ascii="Poppins" w:eastAsia="Times New Roman" w:hAnsi="Poppins" w:cs="Poppins"/>
                <w:sz w:val="20"/>
                <w:szCs w:val="20"/>
              </w:rPr>
            </w:pPr>
            <w:r w:rsidRPr="00A67244">
              <w:rPr>
                <w:rFonts w:ascii="Poppins" w:eastAsia="Times New Roman" w:hAnsi="Poppins" w:cs="Poppins"/>
                <w:sz w:val="20"/>
                <w:szCs w:val="20"/>
              </w:rPr>
              <w:t>DNOs</w:t>
            </w:r>
          </w:p>
        </w:tc>
        <w:tc>
          <w:tcPr>
            <w:tcW w:w="1736" w:type="dxa"/>
            <w:shd w:val="clear" w:color="auto" w:fill="D9D9D9" w:themeFill="background1" w:themeFillShade="D9"/>
          </w:tcPr>
          <w:p w14:paraId="5675C9D4" w14:textId="77777777" w:rsidR="002F654D" w:rsidRPr="00A67244" w:rsidRDefault="002F654D" w:rsidP="002F654D">
            <w:pPr>
              <w:jc w:val="center"/>
              <w:rPr>
                <w:rFonts w:ascii="Poppins" w:eastAsia="Times New Roman" w:hAnsi="Poppins" w:cs="Poppins"/>
                <w:sz w:val="20"/>
                <w:szCs w:val="20"/>
              </w:rPr>
            </w:pPr>
          </w:p>
        </w:tc>
        <w:tc>
          <w:tcPr>
            <w:tcW w:w="1485" w:type="dxa"/>
            <w:shd w:val="clear" w:color="auto" w:fill="D9D9D9" w:themeFill="background1" w:themeFillShade="D9"/>
          </w:tcPr>
          <w:p w14:paraId="7FCCAA98" w14:textId="77777777" w:rsidR="002F654D" w:rsidRPr="00A67244" w:rsidRDefault="002F654D" w:rsidP="002F654D">
            <w:pPr>
              <w:jc w:val="center"/>
              <w:rPr>
                <w:rFonts w:ascii="Poppins" w:eastAsia="Times New Roman" w:hAnsi="Poppins" w:cs="Poppins"/>
                <w:sz w:val="20"/>
                <w:szCs w:val="20"/>
              </w:rPr>
            </w:pPr>
          </w:p>
        </w:tc>
        <w:tc>
          <w:tcPr>
            <w:tcW w:w="1860" w:type="dxa"/>
            <w:shd w:val="clear" w:color="auto" w:fill="D9D9D9" w:themeFill="background1" w:themeFillShade="D9"/>
          </w:tcPr>
          <w:p w14:paraId="69B98E97" w14:textId="77777777" w:rsidR="002F654D" w:rsidRPr="00A67244" w:rsidRDefault="002F654D" w:rsidP="002F654D">
            <w:pPr>
              <w:jc w:val="center"/>
              <w:rPr>
                <w:rFonts w:ascii="Poppins" w:eastAsia="Times New Roman" w:hAnsi="Poppins" w:cs="Poppins"/>
                <w:sz w:val="20"/>
                <w:szCs w:val="20"/>
              </w:rPr>
            </w:pPr>
          </w:p>
        </w:tc>
        <w:tc>
          <w:tcPr>
            <w:tcW w:w="1723" w:type="dxa"/>
            <w:shd w:val="clear" w:color="auto" w:fill="D9D9D9" w:themeFill="background1" w:themeFillShade="D9"/>
          </w:tcPr>
          <w:p w14:paraId="0EA01CFC" w14:textId="77777777" w:rsidR="002F654D" w:rsidRPr="00A67244" w:rsidRDefault="002F654D" w:rsidP="002F654D">
            <w:pPr>
              <w:jc w:val="center"/>
              <w:rPr>
                <w:rFonts w:ascii="Poppins" w:eastAsia="Times New Roman" w:hAnsi="Poppins" w:cs="Poppins"/>
                <w:sz w:val="20"/>
                <w:szCs w:val="20"/>
              </w:rPr>
            </w:pPr>
          </w:p>
        </w:tc>
      </w:tr>
      <w:tr w:rsidR="002F654D" w:rsidRPr="00A67244" w14:paraId="63434165" w14:textId="77777777" w:rsidTr="002F654D">
        <w:trPr>
          <w:trHeight w:val="241"/>
        </w:trPr>
        <w:tc>
          <w:tcPr>
            <w:tcW w:w="3403" w:type="dxa"/>
          </w:tcPr>
          <w:p w14:paraId="11BEE8B4" w14:textId="77777777" w:rsidR="002F654D" w:rsidRPr="00A67244" w:rsidRDefault="002F654D" w:rsidP="002F654D">
            <w:pPr>
              <w:rPr>
                <w:rFonts w:ascii="Poppins" w:eastAsia="Times New Roman" w:hAnsi="Poppins" w:cs="Poppins"/>
                <w:b/>
                <w:sz w:val="20"/>
                <w:szCs w:val="20"/>
              </w:rPr>
            </w:pPr>
            <w:r w:rsidRPr="00A67244">
              <w:rPr>
                <w:rFonts w:ascii="Poppins" w:eastAsia="Times New Roman" w:hAnsi="Poppins" w:cs="Poppins"/>
                <w:b/>
                <w:sz w:val="20"/>
                <w:szCs w:val="20"/>
              </w:rPr>
              <w:t>Transmission</w:t>
            </w:r>
          </w:p>
        </w:tc>
        <w:tc>
          <w:tcPr>
            <w:tcW w:w="1736" w:type="dxa"/>
          </w:tcPr>
          <w:p w14:paraId="63F20054" w14:textId="77777777" w:rsidR="002F654D" w:rsidRPr="00A67244" w:rsidRDefault="002F654D" w:rsidP="002F654D">
            <w:pPr>
              <w:jc w:val="center"/>
              <w:rPr>
                <w:rFonts w:ascii="Poppins" w:eastAsia="Times New Roman" w:hAnsi="Poppins" w:cs="Poppins"/>
                <w:b/>
                <w:sz w:val="20"/>
                <w:szCs w:val="20"/>
              </w:rPr>
            </w:pPr>
            <w:r w:rsidRPr="00A67244">
              <w:rPr>
                <w:rFonts w:ascii="Poppins" w:eastAsia="Times New Roman" w:hAnsi="Poppins" w:cs="Poppins"/>
                <w:b/>
                <w:sz w:val="20"/>
                <w:szCs w:val="20"/>
              </w:rPr>
              <w:t>100%</w:t>
            </w:r>
          </w:p>
        </w:tc>
        <w:tc>
          <w:tcPr>
            <w:tcW w:w="1485" w:type="dxa"/>
          </w:tcPr>
          <w:p w14:paraId="56038688" w14:textId="77777777" w:rsidR="002F654D" w:rsidRPr="00A67244" w:rsidRDefault="002F654D" w:rsidP="002F654D">
            <w:pPr>
              <w:jc w:val="center"/>
              <w:rPr>
                <w:rFonts w:ascii="Poppins" w:eastAsia="Times New Roman" w:hAnsi="Poppins" w:cs="Poppins"/>
                <w:b/>
                <w:sz w:val="20"/>
                <w:szCs w:val="20"/>
              </w:rPr>
            </w:pPr>
            <w:r w:rsidRPr="00A67244">
              <w:rPr>
                <w:rFonts w:ascii="Poppins" w:eastAsia="Times New Roman" w:hAnsi="Poppins" w:cs="Poppins"/>
                <w:b/>
                <w:sz w:val="20"/>
                <w:szCs w:val="20"/>
              </w:rPr>
              <w:t>100%</w:t>
            </w:r>
          </w:p>
        </w:tc>
        <w:tc>
          <w:tcPr>
            <w:tcW w:w="1860" w:type="dxa"/>
          </w:tcPr>
          <w:p w14:paraId="604CFE73" w14:textId="77777777" w:rsidR="002F654D" w:rsidRPr="00A67244" w:rsidRDefault="002F654D" w:rsidP="002F654D">
            <w:pPr>
              <w:jc w:val="center"/>
              <w:rPr>
                <w:rFonts w:ascii="Poppins" w:eastAsia="Times New Roman" w:hAnsi="Poppins" w:cs="Poppins"/>
                <w:b/>
                <w:sz w:val="20"/>
                <w:szCs w:val="20"/>
              </w:rPr>
            </w:pPr>
            <w:r w:rsidRPr="00A67244">
              <w:rPr>
                <w:rFonts w:ascii="Poppins" w:eastAsia="Times New Roman" w:hAnsi="Poppins" w:cs="Poppins"/>
                <w:b/>
                <w:color w:val="000000"/>
                <w:sz w:val="20"/>
                <w:szCs w:val="20"/>
              </w:rPr>
              <w:t>£1,188,587</w:t>
            </w:r>
          </w:p>
        </w:tc>
        <w:tc>
          <w:tcPr>
            <w:tcW w:w="1723" w:type="dxa"/>
          </w:tcPr>
          <w:p w14:paraId="04CA62F7" w14:textId="77777777" w:rsidR="002F654D" w:rsidRPr="00A67244" w:rsidRDefault="002F654D" w:rsidP="002F654D">
            <w:pPr>
              <w:jc w:val="center"/>
              <w:rPr>
                <w:rFonts w:ascii="Poppins" w:eastAsia="Times New Roman" w:hAnsi="Poppins" w:cs="Poppins"/>
                <w:b/>
                <w:bCs/>
                <w:sz w:val="20"/>
                <w:szCs w:val="20"/>
              </w:rPr>
            </w:pPr>
            <w:r w:rsidRPr="00A67244">
              <w:rPr>
                <w:rFonts w:ascii="Poppins" w:eastAsia="Times New Roman" w:hAnsi="Poppins" w:cs="Poppins"/>
                <w:b/>
                <w:bCs/>
                <w:sz w:val="20"/>
                <w:szCs w:val="20"/>
              </w:rPr>
              <w:t>£1,060,961.04</w:t>
            </w:r>
          </w:p>
        </w:tc>
      </w:tr>
      <w:tr w:rsidR="002F654D" w:rsidRPr="00A67244" w14:paraId="09CFA5D6" w14:textId="77777777" w:rsidTr="002F654D">
        <w:trPr>
          <w:trHeight w:val="57"/>
        </w:trPr>
        <w:tc>
          <w:tcPr>
            <w:tcW w:w="3403" w:type="dxa"/>
            <w:shd w:val="clear" w:color="auto" w:fill="D9D9D9" w:themeFill="background1" w:themeFillShade="D9"/>
          </w:tcPr>
          <w:p w14:paraId="2630AB37" w14:textId="77777777" w:rsidR="002F654D" w:rsidRPr="00A67244" w:rsidRDefault="002F654D" w:rsidP="002F654D">
            <w:pPr>
              <w:rPr>
                <w:rFonts w:ascii="Poppins" w:eastAsia="Times New Roman" w:hAnsi="Poppins" w:cs="Poppins"/>
                <w:sz w:val="20"/>
                <w:szCs w:val="20"/>
              </w:rPr>
            </w:pPr>
            <w:r w:rsidRPr="00A67244">
              <w:rPr>
                <w:rFonts w:ascii="Poppins" w:eastAsia="Times New Roman" w:hAnsi="Poppins" w:cs="Poppins"/>
                <w:sz w:val="20"/>
                <w:szCs w:val="20"/>
              </w:rPr>
              <w:t>DN’s &amp; IGT</w:t>
            </w:r>
          </w:p>
        </w:tc>
        <w:tc>
          <w:tcPr>
            <w:tcW w:w="1736" w:type="dxa"/>
            <w:shd w:val="clear" w:color="auto" w:fill="D9D9D9" w:themeFill="background1" w:themeFillShade="D9"/>
          </w:tcPr>
          <w:p w14:paraId="3425298F" w14:textId="77777777" w:rsidR="002F654D" w:rsidRPr="00A67244" w:rsidRDefault="002F654D" w:rsidP="002F654D">
            <w:pPr>
              <w:jc w:val="center"/>
              <w:rPr>
                <w:rFonts w:ascii="Poppins" w:eastAsia="Times New Roman" w:hAnsi="Poppins" w:cs="Poppins"/>
                <w:sz w:val="20"/>
                <w:szCs w:val="20"/>
              </w:rPr>
            </w:pPr>
          </w:p>
        </w:tc>
        <w:tc>
          <w:tcPr>
            <w:tcW w:w="1485" w:type="dxa"/>
            <w:shd w:val="clear" w:color="auto" w:fill="D9D9D9" w:themeFill="background1" w:themeFillShade="D9"/>
          </w:tcPr>
          <w:p w14:paraId="10B81EDB" w14:textId="77777777" w:rsidR="002F654D" w:rsidRPr="00A67244" w:rsidRDefault="002F654D" w:rsidP="002F654D">
            <w:pPr>
              <w:jc w:val="center"/>
              <w:rPr>
                <w:rFonts w:ascii="Poppins" w:eastAsia="Times New Roman" w:hAnsi="Poppins" w:cs="Poppins"/>
                <w:sz w:val="20"/>
                <w:szCs w:val="20"/>
              </w:rPr>
            </w:pPr>
          </w:p>
        </w:tc>
        <w:tc>
          <w:tcPr>
            <w:tcW w:w="1860" w:type="dxa"/>
            <w:shd w:val="clear" w:color="auto" w:fill="D9D9D9" w:themeFill="background1" w:themeFillShade="D9"/>
          </w:tcPr>
          <w:p w14:paraId="02846B1D" w14:textId="77777777" w:rsidR="002F654D" w:rsidRPr="00A67244" w:rsidRDefault="002F654D" w:rsidP="002F654D">
            <w:pPr>
              <w:jc w:val="center"/>
              <w:rPr>
                <w:rFonts w:ascii="Poppins" w:eastAsia="Times New Roman" w:hAnsi="Poppins" w:cs="Poppins"/>
                <w:sz w:val="20"/>
                <w:szCs w:val="20"/>
              </w:rPr>
            </w:pPr>
          </w:p>
        </w:tc>
        <w:tc>
          <w:tcPr>
            <w:tcW w:w="1723" w:type="dxa"/>
            <w:shd w:val="clear" w:color="auto" w:fill="D9D9D9" w:themeFill="background1" w:themeFillShade="D9"/>
          </w:tcPr>
          <w:p w14:paraId="2D0DE9D0" w14:textId="77777777" w:rsidR="002F654D" w:rsidRPr="00A67244" w:rsidRDefault="002F654D" w:rsidP="002F654D">
            <w:pPr>
              <w:jc w:val="center"/>
              <w:rPr>
                <w:rFonts w:ascii="Poppins" w:eastAsia="Times New Roman" w:hAnsi="Poppins" w:cs="Poppins"/>
                <w:sz w:val="20"/>
                <w:szCs w:val="20"/>
              </w:rPr>
            </w:pPr>
          </w:p>
        </w:tc>
      </w:tr>
      <w:bookmarkEnd w:id="0"/>
    </w:tbl>
    <w:p w14:paraId="1D514F9D" w14:textId="77777777" w:rsidR="00E318F5" w:rsidRDefault="00E318F5" w:rsidP="00E318F5">
      <w:pPr>
        <w:pStyle w:val="CorrelaSubHeading"/>
        <w:spacing w:after="0"/>
        <w:rPr>
          <w:i w:val="0"/>
          <w:iCs w:val="0"/>
          <w:color w:val="auto"/>
          <w:sz w:val="20"/>
          <w:szCs w:val="20"/>
        </w:rPr>
      </w:pPr>
    </w:p>
    <w:tbl>
      <w:tblPr>
        <w:tblStyle w:val="TableGrid"/>
        <w:tblpPr w:leftFromText="180" w:rightFromText="180" w:vertAnchor="page" w:horzAnchor="margin" w:tblpXSpec="center" w:tblpY="11975"/>
        <w:tblW w:w="10207" w:type="dxa"/>
        <w:tblLook w:val="04A0" w:firstRow="1" w:lastRow="0" w:firstColumn="1" w:lastColumn="0" w:noHBand="0" w:noVBand="1"/>
      </w:tblPr>
      <w:tblGrid>
        <w:gridCol w:w="3403"/>
        <w:gridCol w:w="1736"/>
        <w:gridCol w:w="1485"/>
        <w:gridCol w:w="1860"/>
        <w:gridCol w:w="1723"/>
      </w:tblGrid>
      <w:tr w:rsidR="001E489E" w:rsidRPr="00A67244" w14:paraId="2849B763" w14:textId="77777777" w:rsidTr="006C07BA">
        <w:trPr>
          <w:trHeight w:val="416"/>
        </w:trPr>
        <w:tc>
          <w:tcPr>
            <w:tcW w:w="10207" w:type="dxa"/>
            <w:gridSpan w:val="5"/>
            <w:shd w:val="clear" w:color="auto" w:fill="002060"/>
            <w:vAlign w:val="center"/>
          </w:tcPr>
          <w:p w14:paraId="33E9B822" w14:textId="77777777" w:rsidR="001E489E" w:rsidRPr="00A67244" w:rsidRDefault="001E489E" w:rsidP="006C07BA">
            <w:pPr>
              <w:pStyle w:val="CommentText"/>
              <w:jc w:val="center"/>
              <w:rPr>
                <w:rFonts w:ascii="Poppins" w:hAnsi="Poppins" w:cs="Poppins"/>
                <w:i/>
                <w:iCs/>
                <w:color w:val="0070C0"/>
              </w:rPr>
            </w:pPr>
            <w:r w:rsidRPr="00A67244">
              <w:rPr>
                <w:rFonts w:ascii="Poppins" w:hAnsi="Poppins" w:cs="Poppins"/>
              </w:rPr>
              <w:t>Section 2: Confirmed Funding Arrangements</w:t>
            </w:r>
          </w:p>
        </w:tc>
      </w:tr>
      <w:tr w:rsidR="001E489E" w:rsidRPr="00A67244" w14:paraId="796C3042" w14:textId="77777777" w:rsidTr="006C07BA">
        <w:trPr>
          <w:trHeight w:val="501"/>
        </w:trPr>
        <w:tc>
          <w:tcPr>
            <w:tcW w:w="3403" w:type="dxa"/>
          </w:tcPr>
          <w:p w14:paraId="2F0D0BEF" w14:textId="77777777" w:rsidR="001E489E" w:rsidRPr="00A67244" w:rsidRDefault="001E489E" w:rsidP="006C07BA">
            <w:pPr>
              <w:jc w:val="center"/>
              <w:rPr>
                <w:rFonts w:ascii="Poppins" w:eastAsia="Times New Roman" w:hAnsi="Poppins" w:cs="Poppins"/>
                <w:sz w:val="20"/>
                <w:szCs w:val="20"/>
              </w:rPr>
            </w:pPr>
            <w:r w:rsidRPr="00A67244">
              <w:rPr>
                <w:rFonts w:ascii="Poppins" w:eastAsia="Times New Roman" w:hAnsi="Poppins" w:cs="Poppins"/>
                <w:sz w:val="20"/>
                <w:szCs w:val="20"/>
              </w:rPr>
              <w:t>Gas Industry Participant</w:t>
            </w:r>
          </w:p>
        </w:tc>
        <w:tc>
          <w:tcPr>
            <w:tcW w:w="1736" w:type="dxa"/>
          </w:tcPr>
          <w:p w14:paraId="228FA7CB" w14:textId="77777777" w:rsidR="001E489E" w:rsidRPr="00A67244" w:rsidRDefault="001E489E" w:rsidP="006C07BA">
            <w:pPr>
              <w:jc w:val="center"/>
              <w:rPr>
                <w:rFonts w:ascii="Poppins" w:eastAsia="Times New Roman" w:hAnsi="Poppins" w:cs="Poppins"/>
                <w:sz w:val="20"/>
                <w:szCs w:val="20"/>
              </w:rPr>
            </w:pPr>
            <w:r w:rsidRPr="00A67244">
              <w:rPr>
                <w:rFonts w:ascii="Poppins" w:eastAsia="Times New Roman" w:hAnsi="Poppins" w:cs="Poppins"/>
                <w:sz w:val="20"/>
                <w:szCs w:val="20"/>
              </w:rPr>
              <w:t>BER Share of Cost</w:t>
            </w:r>
          </w:p>
        </w:tc>
        <w:tc>
          <w:tcPr>
            <w:tcW w:w="1485" w:type="dxa"/>
          </w:tcPr>
          <w:p w14:paraId="7C24D3A9" w14:textId="77777777" w:rsidR="001E489E" w:rsidRPr="00A67244" w:rsidRDefault="001E489E" w:rsidP="006C07BA">
            <w:pPr>
              <w:jc w:val="center"/>
              <w:rPr>
                <w:rFonts w:ascii="Poppins" w:eastAsia="Times New Roman" w:hAnsi="Poppins" w:cs="Poppins"/>
                <w:sz w:val="20"/>
                <w:szCs w:val="20"/>
              </w:rPr>
            </w:pPr>
            <w:r w:rsidRPr="00A67244">
              <w:rPr>
                <w:rFonts w:ascii="Poppins" w:eastAsia="Times New Roman" w:hAnsi="Poppins" w:cs="Poppins"/>
                <w:sz w:val="20"/>
                <w:szCs w:val="20"/>
              </w:rPr>
              <w:t>Actual Share of Cost</w:t>
            </w:r>
          </w:p>
        </w:tc>
        <w:tc>
          <w:tcPr>
            <w:tcW w:w="1860" w:type="dxa"/>
          </w:tcPr>
          <w:p w14:paraId="2BD8EE16" w14:textId="77777777" w:rsidR="001E489E" w:rsidRPr="00A67244" w:rsidRDefault="001E489E" w:rsidP="006C07BA">
            <w:pPr>
              <w:jc w:val="center"/>
              <w:rPr>
                <w:rFonts w:ascii="Poppins" w:eastAsia="Times New Roman" w:hAnsi="Poppins" w:cs="Poppins"/>
                <w:sz w:val="20"/>
                <w:szCs w:val="20"/>
              </w:rPr>
            </w:pPr>
            <w:r w:rsidRPr="00A67244">
              <w:rPr>
                <w:rFonts w:ascii="Poppins" w:eastAsia="Times New Roman" w:hAnsi="Poppins" w:cs="Poppins"/>
                <w:sz w:val="20"/>
                <w:szCs w:val="20"/>
              </w:rPr>
              <w:t>BER Cost Value</w:t>
            </w:r>
          </w:p>
        </w:tc>
        <w:tc>
          <w:tcPr>
            <w:tcW w:w="1723" w:type="dxa"/>
          </w:tcPr>
          <w:p w14:paraId="3C3286DA" w14:textId="77777777" w:rsidR="001E489E" w:rsidRPr="00A67244" w:rsidRDefault="001E489E" w:rsidP="006C07BA">
            <w:pPr>
              <w:jc w:val="center"/>
              <w:rPr>
                <w:rFonts w:ascii="Poppins" w:eastAsia="Times New Roman" w:hAnsi="Poppins" w:cs="Poppins"/>
                <w:sz w:val="20"/>
                <w:szCs w:val="20"/>
              </w:rPr>
            </w:pPr>
            <w:r w:rsidRPr="00A67244">
              <w:rPr>
                <w:rFonts w:ascii="Poppins" w:eastAsia="Times New Roman" w:hAnsi="Poppins" w:cs="Poppins"/>
                <w:sz w:val="20"/>
                <w:szCs w:val="20"/>
              </w:rPr>
              <w:t>Actual Cost Value</w:t>
            </w:r>
          </w:p>
        </w:tc>
      </w:tr>
      <w:tr w:rsidR="001E489E" w:rsidRPr="00A67244" w14:paraId="5D2965C7" w14:textId="77777777" w:rsidTr="006C07BA">
        <w:trPr>
          <w:trHeight w:val="241"/>
        </w:trPr>
        <w:tc>
          <w:tcPr>
            <w:tcW w:w="3403" w:type="dxa"/>
            <w:shd w:val="clear" w:color="auto" w:fill="D9D9D9" w:themeFill="background1" w:themeFillShade="D9"/>
          </w:tcPr>
          <w:p w14:paraId="468456BA" w14:textId="77777777" w:rsidR="001E489E" w:rsidRPr="00A67244" w:rsidRDefault="001E489E" w:rsidP="006C07BA">
            <w:pPr>
              <w:rPr>
                <w:rFonts w:ascii="Poppins" w:eastAsia="Times New Roman" w:hAnsi="Poppins" w:cs="Poppins"/>
                <w:sz w:val="20"/>
                <w:szCs w:val="20"/>
              </w:rPr>
            </w:pPr>
            <w:r w:rsidRPr="00A67244">
              <w:rPr>
                <w:rFonts w:ascii="Poppins" w:eastAsia="Times New Roman" w:hAnsi="Poppins" w:cs="Poppins"/>
                <w:sz w:val="20"/>
                <w:szCs w:val="20"/>
              </w:rPr>
              <w:t>Shippers</w:t>
            </w:r>
          </w:p>
        </w:tc>
        <w:tc>
          <w:tcPr>
            <w:tcW w:w="1736" w:type="dxa"/>
            <w:shd w:val="clear" w:color="auto" w:fill="D9D9D9" w:themeFill="background1" w:themeFillShade="D9"/>
          </w:tcPr>
          <w:p w14:paraId="5DFFF60F" w14:textId="77777777" w:rsidR="001E489E" w:rsidRPr="00A67244" w:rsidRDefault="001E489E" w:rsidP="006C07BA">
            <w:pPr>
              <w:jc w:val="center"/>
              <w:rPr>
                <w:rFonts w:ascii="Poppins" w:eastAsia="Times New Roman" w:hAnsi="Poppins" w:cs="Poppins"/>
                <w:sz w:val="20"/>
                <w:szCs w:val="20"/>
              </w:rPr>
            </w:pPr>
          </w:p>
        </w:tc>
        <w:tc>
          <w:tcPr>
            <w:tcW w:w="1485" w:type="dxa"/>
            <w:shd w:val="clear" w:color="auto" w:fill="D9D9D9" w:themeFill="background1" w:themeFillShade="D9"/>
          </w:tcPr>
          <w:p w14:paraId="3F8F8B25" w14:textId="77777777" w:rsidR="001E489E" w:rsidRPr="00A67244" w:rsidRDefault="001E489E" w:rsidP="006C07BA">
            <w:pPr>
              <w:jc w:val="center"/>
              <w:rPr>
                <w:rFonts w:ascii="Poppins" w:eastAsia="Times New Roman" w:hAnsi="Poppins" w:cs="Poppins"/>
                <w:sz w:val="20"/>
                <w:szCs w:val="20"/>
              </w:rPr>
            </w:pPr>
          </w:p>
        </w:tc>
        <w:tc>
          <w:tcPr>
            <w:tcW w:w="1860" w:type="dxa"/>
            <w:shd w:val="clear" w:color="auto" w:fill="D9D9D9" w:themeFill="background1" w:themeFillShade="D9"/>
          </w:tcPr>
          <w:p w14:paraId="00D9E14A" w14:textId="77777777" w:rsidR="001E489E" w:rsidRPr="00A67244" w:rsidRDefault="001E489E" w:rsidP="006C07BA">
            <w:pPr>
              <w:jc w:val="center"/>
              <w:rPr>
                <w:rFonts w:ascii="Poppins" w:eastAsia="Times New Roman" w:hAnsi="Poppins" w:cs="Poppins"/>
                <w:sz w:val="20"/>
                <w:szCs w:val="20"/>
              </w:rPr>
            </w:pPr>
          </w:p>
        </w:tc>
        <w:tc>
          <w:tcPr>
            <w:tcW w:w="1723" w:type="dxa"/>
            <w:shd w:val="clear" w:color="auto" w:fill="D9D9D9" w:themeFill="background1" w:themeFillShade="D9"/>
          </w:tcPr>
          <w:p w14:paraId="41A47500" w14:textId="77777777" w:rsidR="001E489E" w:rsidRPr="00A67244" w:rsidRDefault="001E489E" w:rsidP="006C07BA">
            <w:pPr>
              <w:jc w:val="center"/>
              <w:rPr>
                <w:rFonts w:ascii="Poppins" w:eastAsia="Times New Roman" w:hAnsi="Poppins" w:cs="Poppins"/>
                <w:sz w:val="20"/>
                <w:szCs w:val="20"/>
              </w:rPr>
            </w:pPr>
          </w:p>
        </w:tc>
      </w:tr>
      <w:tr w:rsidR="001E489E" w:rsidRPr="00A67244" w14:paraId="5B522A7A" w14:textId="77777777" w:rsidTr="006C07BA">
        <w:trPr>
          <w:trHeight w:val="241"/>
        </w:trPr>
        <w:tc>
          <w:tcPr>
            <w:tcW w:w="3403" w:type="dxa"/>
            <w:shd w:val="clear" w:color="auto" w:fill="D9D9D9" w:themeFill="background1" w:themeFillShade="D9"/>
          </w:tcPr>
          <w:p w14:paraId="1832745D" w14:textId="77777777" w:rsidR="001E489E" w:rsidRPr="00A67244" w:rsidRDefault="001E489E" w:rsidP="006C07BA">
            <w:pPr>
              <w:rPr>
                <w:rFonts w:ascii="Poppins" w:eastAsia="Times New Roman" w:hAnsi="Poppins" w:cs="Poppins"/>
                <w:sz w:val="20"/>
                <w:szCs w:val="20"/>
              </w:rPr>
            </w:pPr>
            <w:r w:rsidRPr="00A67244">
              <w:rPr>
                <w:rFonts w:ascii="Poppins" w:eastAsia="Times New Roman" w:hAnsi="Poppins" w:cs="Poppins"/>
                <w:sz w:val="20"/>
                <w:szCs w:val="20"/>
              </w:rPr>
              <w:t>IGTs</w:t>
            </w:r>
          </w:p>
        </w:tc>
        <w:tc>
          <w:tcPr>
            <w:tcW w:w="1736" w:type="dxa"/>
            <w:shd w:val="clear" w:color="auto" w:fill="D9D9D9" w:themeFill="background1" w:themeFillShade="D9"/>
          </w:tcPr>
          <w:p w14:paraId="62A6CAEE" w14:textId="77777777" w:rsidR="001E489E" w:rsidRPr="00A67244" w:rsidRDefault="001E489E" w:rsidP="006C07BA">
            <w:pPr>
              <w:jc w:val="center"/>
              <w:rPr>
                <w:rFonts w:ascii="Poppins" w:eastAsia="Times New Roman" w:hAnsi="Poppins" w:cs="Poppins"/>
                <w:sz w:val="20"/>
                <w:szCs w:val="20"/>
              </w:rPr>
            </w:pPr>
          </w:p>
        </w:tc>
        <w:tc>
          <w:tcPr>
            <w:tcW w:w="1485" w:type="dxa"/>
            <w:shd w:val="clear" w:color="auto" w:fill="D9D9D9" w:themeFill="background1" w:themeFillShade="D9"/>
          </w:tcPr>
          <w:p w14:paraId="33C400AD" w14:textId="77777777" w:rsidR="001E489E" w:rsidRPr="00A67244" w:rsidRDefault="001E489E" w:rsidP="006C07BA">
            <w:pPr>
              <w:jc w:val="center"/>
              <w:rPr>
                <w:rFonts w:ascii="Poppins" w:eastAsia="Times New Roman" w:hAnsi="Poppins" w:cs="Poppins"/>
                <w:sz w:val="20"/>
                <w:szCs w:val="20"/>
              </w:rPr>
            </w:pPr>
          </w:p>
        </w:tc>
        <w:tc>
          <w:tcPr>
            <w:tcW w:w="1860" w:type="dxa"/>
            <w:shd w:val="clear" w:color="auto" w:fill="D9D9D9" w:themeFill="background1" w:themeFillShade="D9"/>
          </w:tcPr>
          <w:p w14:paraId="015ABC20" w14:textId="77777777" w:rsidR="001E489E" w:rsidRPr="00A67244" w:rsidRDefault="001E489E" w:rsidP="006C07BA">
            <w:pPr>
              <w:jc w:val="center"/>
              <w:rPr>
                <w:rFonts w:ascii="Poppins" w:eastAsia="Times New Roman" w:hAnsi="Poppins" w:cs="Poppins"/>
                <w:sz w:val="20"/>
                <w:szCs w:val="20"/>
              </w:rPr>
            </w:pPr>
          </w:p>
        </w:tc>
        <w:tc>
          <w:tcPr>
            <w:tcW w:w="1723" w:type="dxa"/>
            <w:shd w:val="clear" w:color="auto" w:fill="D9D9D9" w:themeFill="background1" w:themeFillShade="D9"/>
          </w:tcPr>
          <w:p w14:paraId="10EFD1D9" w14:textId="77777777" w:rsidR="001E489E" w:rsidRPr="00A67244" w:rsidRDefault="001E489E" w:rsidP="006C07BA">
            <w:pPr>
              <w:jc w:val="center"/>
              <w:rPr>
                <w:rFonts w:ascii="Poppins" w:eastAsia="Times New Roman" w:hAnsi="Poppins" w:cs="Poppins"/>
                <w:sz w:val="20"/>
                <w:szCs w:val="20"/>
              </w:rPr>
            </w:pPr>
          </w:p>
        </w:tc>
      </w:tr>
      <w:tr w:rsidR="001E489E" w:rsidRPr="00A67244" w14:paraId="4B05D1D9" w14:textId="77777777" w:rsidTr="006C07BA">
        <w:trPr>
          <w:trHeight w:val="241"/>
        </w:trPr>
        <w:tc>
          <w:tcPr>
            <w:tcW w:w="3403" w:type="dxa"/>
            <w:shd w:val="clear" w:color="auto" w:fill="D9D9D9" w:themeFill="background1" w:themeFillShade="D9"/>
          </w:tcPr>
          <w:p w14:paraId="7A347BF2" w14:textId="77777777" w:rsidR="001E489E" w:rsidRPr="00A67244" w:rsidRDefault="001E489E" w:rsidP="006C07BA">
            <w:pPr>
              <w:rPr>
                <w:rFonts w:ascii="Poppins" w:eastAsia="Times New Roman" w:hAnsi="Poppins" w:cs="Poppins"/>
                <w:sz w:val="20"/>
                <w:szCs w:val="20"/>
              </w:rPr>
            </w:pPr>
            <w:r w:rsidRPr="00A67244">
              <w:rPr>
                <w:rFonts w:ascii="Poppins" w:eastAsia="Times New Roman" w:hAnsi="Poppins" w:cs="Poppins"/>
                <w:sz w:val="20"/>
                <w:szCs w:val="20"/>
              </w:rPr>
              <w:t>DNOs</w:t>
            </w:r>
          </w:p>
        </w:tc>
        <w:tc>
          <w:tcPr>
            <w:tcW w:w="1736" w:type="dxa"/>
            <w:shd w:val="clear" w:color="auto" w:fill="D9D9D9" w:themeFill="background1" w:themeFillShade="D9"/>
          </w:tcPr>
          <w:p w14:paraId="4A83F18B" w14:textId="77777777" w:rsidR="001E489E" w:rsidRPr="00A67244" w:rsidRDefault="001E489E" w:rsidP="006C07BA">
            <w:pPr>
              <w:jc w:val="center"/>
              <w:rPr>
                <w:rFonts w:ascii="Poppins" w:eastAsia="Times New Roman" w:hAnsi="Poppins" w:cs="Poppins"/>
                <w:sz w:val="20"/>
                <w:szCs w:val="20"/>
              </w:rPr>
            </w:pPr>
          </w:p>
        </w:tc>
        <w:tc>
          <w:tcPr>
            <w:tcW w:w="1485" w:type="dxa"/>
            <w:shd w:val="clear" w:color="auto" w:fill="D9D9D9" w:themeFill="background1" w:themeFillShade="D9"/>
          </w:tcPr>
          <w:p w14:paraId="42D63A70" w14:textId="77777777" w:rsidR="001E489E" w:rsidRPr="00A67244" w:rsidRDefault="001E489E" w:rsidP="006C07BA">
            <w:pPr>
              <w:jc w:val="center"/>
              <w:rPr>
                <w:rFonts w:ascii="Poppins" w:eastAsia="Times New Roman" w:hAnsi="Poppins" w:cs="Poppins"/>
                <w:sz w:val="20"/>
                <w:szCs w:val="20"/>
              </w:rPr>
            </w:pPr>
          </w:p>
        </w:tc>
        <w:tc>
          <w:tcPr>
            <w:tcW w:w="1860" w:type="dxa"/>
            <w:shd w:val="clear" w:color="auto" w:fill="D9D9D9" w:themeFill="background1" w:themeFillShade="D9"/>
          </w:tcPr>
          <w:p w14:paraId="2F8CA578" w14:textId="77777777" w:rsidR="001E489E" w:rsidRPr="00A67244" w:rsidRDefault="001E489E" w:rsidP="006C07BA">
            <w:pPr>
              <w:jc w:val="center"/>
              <w:rPr>
                <w:rFonts w:ascii="Poppins" w:eastAsia="Times New Roman" w:hAnsi="Poppins" w:cs="Poppins"/>
                <w:sz w:val="20"/>
                <w:szCs w:val="20"/>
              </w:rPr>
            </w:pPr>
          </w:p>
        </w:tc>
        <w:tc>
          <w:tcPr>
            <w:tcW w:w="1723" w:type="dxa"/>
            <w:shd w:val="clear" w:color="auto" w:fill="D9D9D9" w:themeFill="background1" w:themeFillShade="D9"/>
          </w:tcPr>
          <w:p w14:paraId="41B4AAB6" w14:textId="77777777" w:rsidR="001E489E" w:rsidRPr="00A67244" w:rsidRDefault="001E489E" w:rsidP="006C07BA">
            <w:pPr>
              <w:jc w:val="center"/>
              <w:rPr>
                <w:rFonts w:ascii="Poppins" w:eastAsia="Times New Roman" w:hAnsi="Poppins" w:cs="Poppins"/>
                <w:sz w:val="20"/>
                <w:szCs w:val="20"/>
              </w:rPr>
            </w:pPr>
          </w:p>
        </w:tc>
      </w:tr>
      <w:tr w:rsidR="001E489E" w:rsidRPr="00A67244" w14:paraId="08D8C7F7" w14:textId="77777777" w:rsidTr="006C07BA">
        <w:trPr>
          <w:trHeight w:val="241"/>
        </w:trPr>
        <w:tc>
          <w:tcPr>
            <w:tcW w:w="3403" w:type="dxa"/>
          </w:tcPr>
          <w:p w14:paraId="3950417B" w14:textId="77777777" w:rsidR="001E489E" w:rsidRPr="00A67244" w:rsidRDefault="001E489E" w:rsidP="006C07BA">
            <w:pPr>
              <w:rPr>
                <w:rFonts w:ascii="Poppins" w:eastAsia="Times New Roman" w:hAnsi="Poppins" w:cs="Poppins"/>
                <w:b/>
                <w:sz w:val="20"/>
                <w:szCs w:val="20"/>
              </w:rPr>
            </w:pPr>
            <w:r w:rsidRPr="00A67244">
              <w:rPr>
                <w:rFonts w:ascii="Poppins" w:eastAsia="Times New Roman" w:hAnsi="Poppins" w:cs="Poppins"/>
                <w:b/>
                <w:sz w:val="20"/>
                <w:szCs w:val="20"/>
              </w:rPr>
              <w:t>Transmission</w:t>
            </w:r>
          </w:p>
        </w:tc>
        <w:tc>
          <w:tcPr>
            <w:tcW w:w="1736" w:type="dxa"/>
          </w:tcPr>
          <w:p w14:paraId="56ECE8BE" w14:textId="77777777" w:rsidR="001E489E" w:rsidRPr="00A67244" w:rsidRDefault="001E489E" w:rsidP="006C07BA">
            <w:pPr>
              <w:jc w:val="center"/>
              <w:rPr>
                <w:rFonts w:ascii="Poppins" w:eastAsia="Times New Roman" w:hAnsi="Poppins" w:cs="Poppins"/>
                <w:b/>
                <w:sz w:val="20"/>
                <w:szCs w:val="20"/>
              </w:rPr>
            </w:pPr>
            <w:r w:rsidRPr="00A67244">
              <w:rPr>
                <w:rFonts w:ascii="Poppins" w:eastAsia="Times New Roman" w:hAnsi="Poppins" w:cs="Poppins"/>
                <w:b/>
                <w:sz w:val="20"/>
                <w:szCs w:val="20"/>
              </w:rPr>
              <w:t>100%</w:t>
            </w:r>
          </w:p>
        </w:tc>
        <w:tc>
          <w:tcPr>
            <w:tcW w:w="1485" w:type="dxa"/>
          </w:tcPr>
          <w:p w14:paraId="59A9B1CA" w14:textId="77777777" w:rsidR="001E489E" w:rsidRPr="00A67244" w:rsidRDefault="001E489E" w:rsidP="006C07BA">
            <w:pPr>
              <w:jc w:val="center"/>
              <w:rPr>
                <w:rFonts w:ascii="Poppins" w:eastAsia="Times New Roman" w:hAnsi="Poppins" w:cs="Poppins"/>
                <w:b/>
                <w:sz w:val="20"/>
                <w:szCs w:val="20"/>
              </w:rPr>
            </w:pPr>
            <w:r w:rsidRPr="00A67244">
              <w:rPr>
                <w:rFonts w:ascii="Poppins" w:eastAsia="Times New Roman" w:hAnsi="Poppins" w:cs="Poppins"/>
                <w:b/>
                <w:sz w:val="20"/>
                <w:szCs w:val="20"/>
              </w:rPr>
              <w:t>100%</w:t>
            </w:r>
          </w:p>
        </w:tc>
        <w:tc>
          <w:tcPr>
            <w:tcW w:w="1860" w:type="dxa"/>
          </w:tcPr>
          <w:p w14:paraId="5E167A62" w14:textId="77777777" w:rsidR="001E489E" w:rsidRPr="00A67244" w:rsidRDefault="001E489E" w:rsidP="006C07BA">
            <w:pPr>
              <w:jc w:val="center"/>
              <w:rPr>
                <w:rFonts w:ascii="Poppins" w:eastAsia="Times New Roman" w:hAnsi="Poppins" w:cs="Poppins"/>
                <w:b/>
                <w:sz w:val="20"/>
                <w:szCs w:val="20"/>
              </w:rPr>
            </w:pPr>
            <w:r w:rsidRPr="00A67244">
              <w:rPr>
                <w:rFonts w:ascii="Poppins" w:eastAsia="Times New Roman" w:hAnsi="Poppins" w:cs="Poppins"/>
                <w:b/>
                <w:color w:val="000000"/>
                <w:sz w:val="20"/>
                <w:szCs w:val="20"/>
              </w:rPr>
              <w:t>£1,188,587</w:t>
            </w:r>
          </w:p>
        </w:tc>
        <w:tc>
          <w:tcPr>
            <w:tcW w:w="1723" w:type="dxa"/>
          </w:tcPr>
          <w:p w14:paraId="1F61DFF0" w14:textId="77777777" w:rsidR="001E489E" w:rsidRPr="00A67244" w:rsidRDefault="001E489E" w:rsidP="006C07BA">
            <w:pPr>
              <w:jc w:val="center"/>
              <w:rPr>
                <w:rFonts w:ascii="Poppins" w:eastAsia="Times New Roman" w:hAnsi="Poppins" w:cs="Poppins"/>
                <w:b/>
                <w:bCs/>
                <w:sz w:val="20"/>
                <w:szCs w:val="20"/>
              </w:rPr>
            </w:pPr>
            <w:r w:rsidRPr="00A67244">
              <w:rPr>
                <w:rFonts w:ascii="Poppins" w:eastAsia="Times New Roman" w:hAnsi="Poppins" w:cs="Poppins"/>
                <w:b/>
                <w:bCs/>
                <w:sz w:val="20"/>
                <w:szCs w:val="20"/>
              </w:rPr>
              <w:t>£1,060,961.04</w:t>
            </w:r>
          </w:p>
        </w:tc>
      </w:tr>
      <w:tr w:rsidR="001E489E" w:rsidRPr="00A67244" w14:paraId="08E153CE" w14:textId="77777777" w:rsidTr="006C07BA">
        <w:trPr>
          <w:trHeight w:val="57"/>
        </w:trPr>
        <w:tc>
          <w:tcPr>
            <w:tcW w:w="3403" w:type="dxa"/>
            <w:shd w:val="clear" w:color="auto" w:fill="D9D9D9" w:themeFill="background1" w:themeFillShade="D9"/>
          </w:tcPr>
          <w:p w14:paraId="7F7C1708" w14:textId="77777777" w:rsidR="001E489E" w:rsidRPr="00A67244" w:rsidRDefault="001E489E" w:rsidP="006C07BA">
            <w:pPr>
              <w:rPr>
                <w:rFonts w:ascii="Poppins" w:eastAsia="Times New Roman" w:hAnsi="Poppins" w:cs="Poppins"/>
                <w:sz w:val="20"/>
                <w:szCs w:val="20"/>
              </w:rPr>
            </w:pPr>
            <w:r w:rsidRPr="00A67244">
              <w:rPr>
                <w:rFonts w:ascii="Poppins" w:eastAsia="Times New Roman" w:hAnsi="Poppins" w:cs="Poppins"/>
                <w:sz w:val="20"/>
                <w:szCs w:val="20"/>
              </w:rPr>
              <w:t>DN’s &amp; IGT</w:t>
            </w:r>
          </w:p>
        </w:tc>
        <w:tc>
          <w:tcPr>
            <w:tcW w:w="1736" w:type="dxa"/>
            <w:shd w:val="clear" w:color="auto" w:fill="D9D9D9" w:themeFill="background1" w:themeFillShade="D9"/>
          </w:tcPr>
          <w:p w14:paraId="568C98F9" w14:textId="77777777" w:rsidR="001E489E" w:rsidRPr="00A67244" w:rsidRDefault="001E489E" w:rsidP="006C07BA">
            <w:pPr>
              <w:jc w:val="center"/>
              <w:rPr>
                <w:rFonts w:ascii="Poppins" w:eastAsia="Times New Roman" w:hAnsi="Poppins" w:cs="Poppins"/>
                <w:sz w:val="20"/>
                <w:szCs w:val="20"/>
              </w:rPr>
            </w:pPr>
          </w:p>
        </w:tc>
        <w:tc>
          <w:tcPr>
            <w:tcW w:w="1485" w:type="dxa"/>
            <w:shd w:val="clear" w:color="auto" w:fill="D9D9D9" w:themeFill="background1" w:themeFillShade="D9"/>
          </w:tcPr>
          <w:p w14:paraId="6AD56717" w14:textId="77777777" w:rsidR="001E489E" w:rsidRPr="00A67244" w:rsidRDefault="001E489E" w:rsidP="006C07BA">
            <w:pPr>
              <w:jc w:val="center"/>
              <w:rPr>
                <w:rFonts w:ascii="Poppins" w:eastAsia="Times New Roman" w:hAnsi="Poppins" w:cs="Poppins"/>
                <w:sz w:val="20"/>
                <w:szCs w:val="20"/>
              </w:rPr>
            </w:pPr>
          </w:p>
        </w:tc>
        <w:tc>
          <w:tcPr>
            <w:tcW w:w="1860" w:type="dxa"/>
            <w:shd w:val="clear" w:color="auto" w:fill="D9D9D9" w:themeFill="background1" w:themeFillShade="D9"/>
          </w:tcPr>
          <w:p w14:paraId="17E0C702" w14:textId="77777777" w:rsidR="001E489E" w:rsidRPr="00A67244" w:rsidRDefault="001E489E" w:rsidP="006C07BA">
            <w:pPr>
              <w:jc w:val="center"/>
              <w:rPr>
                <w:rFonts w:ascii="Poppins" w:eastAsia="Times New Roman" w:hAnsi="Poppins" w:cs="Poppins"/>
                <w:sz w:val="20"/>
                <w:szCs w:val="20"/>
              </w:rPr>
            </w:pPr>
          </w:p>
        </w:tc>
        <w:tc>
          <w:tcPr>
            <w:tcW w:w="1723" w:type="dxa"/>
            <w:shd w:val="clear" w:color="auto" w:fill="D9D9D9" w:themeFill="background1" w:themeFillShade="D9"/>
          </w:tcPr>
          <w:p w14:paraId="253F4FB3" w14:textId="77777777" w:rsidR="001E489E" w:rsidRPr="00A67244" w:rsidRDefault="001E489E" w:rsidP="006C07BA">
            <w:pPr>
              <w:jc w:val="center"/>
              <w:rPr>
                <w:rFonts w:ascii="Poppins" w:eastAsia="Times New Roman" w:hAnsi="Poppins" w:cs="Poppins"/>
                <w:sz w:val="20"/>
                <w:szCs w:val="20"/>
              </w:rPr>
            </w:pPr>
          </w:p>
        </w:tc>
      </w:tr>
      <w:tr w:rsidR="001E489E" w:rsidRPr="00A67244" w14:paraId="34E91FC8" w14:textId="77777777" w:rsidTr="006C07BA">
        <w:trPr>
          <w:trHeight w:val="416"/>
        </w:trPr>
        <w:tc>
          <w:tcPr>
            <w:tcW w:w="10207" w:type="dxa"/>
            <w:gridSpan w:val="5"/>
            <w:shd w:val="clear" w:color="auto" w:fill="002060"/>
            <w:vAlign w:val="center"/>
          </w:tcPr>
          <w:p w14:paraId="4758CE24" w14:textId="15DB82FB" w:rsidR="001E489E" w:rsidRPr="00A67244" w:rsidRDefault="001E489E" w:rsidP="006C07BA">
            <w:pPr>
              <w:pStyle w:val="CommentText"/>
              <w:jc w:val="center"/>
              <w:rPr>
                <w:rFonts w:ascii="Poppins" w:hAnsi="Poppins" w:cs="Poppins"/>
                <w:i/>
                <w:iCs/>
                <w:color w:val="0070C0"/>
              </w:rPr>
            </w:pPr>
          </w:p>
        </w:tc>
      </w:tr>
    </w:tbl>
    <w:p w14:paraId="05DF9296" w14:textId="3820DFC8" w:rsidR="00B51967" w:rsidRDefault="00B51967" w:rsidP="00B51967">
      <w:pPr>
        <w:pStyle w:val="CorrelaSubHeading"/>
        <w:spacing w:after="0"/>
        <w:ind w:left="1080"/>
        <w:rPr>
          <w:i w:val="0"/>
          <w:iCs w:val="0"/>
          <w:color w:val="auto"/>
          <w:sz w:val="20"/>
          <w:szCs w:val="20"/>
        </w:rPr>
      </w:pPr>
    </w:p>
    <w:p w14:paraId="6035C130" w14:textId="09413DDC" w:rsidR="001E489E" w:rsidRDefault="001E489E" w:rsidP="00B51967">
      <w:pPr>
        <w:pStyle w:val="CorrelaSubHeading"/>
        <w:spacing w:after="0"/>
        <w:ind w:left="1080"/>
        <w:rPr>
          <w:i w:val="0"/>
          <w:iCs w:val="0"/>
          <w:color w:val="auto"/>
          <w:sz w:val="20"/>
          <w:szCs w:val="20"/>
        </w:rPr>
      </w:pPr>
    </w:p>
    <w:p w14:paraId="26EED839" w14:textId="77777777" w:rsidR="001E489E" w:rsidRDefault="001E489E" w:rsidP="00B51967">
      <w:pPr>
        <w:pStyle w:val="CorrelaSubHeading"/>
        <w:spacing w:after="0"/>
        <w:ind w:left="1080"/>
        <w:rPr>
          <w:i w:val="0"/>
          <w:iCs w:val="0"/>
          <w:color w:val="auto"/>
          <w:sz w:val="20"/>
          <w:szCs w:val="20"/>
        </w:rPr>
      </w:pPr>
    </w:p>
    <w:p w14:paraId="176A4339" w14:textId="77777777" w:rsidR="00E318F5" w:rsidRDefault="00E318F5" w:rsidP="00B51967">
      <w:pPr>
        <w:pStyle w:val="CorrelaSubHeading"/>
        <w:spacing w:after="0"/>
        <w:ind w:left="1080"/>
        <w:rPr>
          <w:i w:val="0"/>
          <w:iCs w:val="0"/>
          <w:color w:val="auto"/>
          <w:sz w:val="20"/>
          <w:szCs w:val="20"/>
        </w:rPr>
      </w:pPr>
    </w:p>
    <w:tbl>
      <w:tblPr>
        <w:tblStyle w:val="TableGrid"/>
        <w:tblW w:w="9306" w:type="dxa"/>
        <w:tblInd w:w="-380" w:type="dxa"/>
        <w:tblLook w:val="04A0" w:firstRow="1" w:lastRow="0" w:firstColumn="1" w:lastColumn="0" w:noHBand="0" w:noVBand="1"/>
      </w:tblPr>
      <w:tblGrid>
        <w:gridCol w:w="9306"/>
      </w:tblGrid>
      <w:tr w:rsidR="00E318F5" w:rsidRPr="00A67244" w14:paraId="28C756F5" w14:textId="77777777" w:rsidTr="00015968">
        <w:trPr>
          <w:trHeight w:val="341"/>
        </w:trPr>
        <w:tc>
          <w:tcPr>
            <w:tcW w:w="9306" w:type="dxa"/>
            <w:shd w:val="clear" w:color="auto" w:fill="002060"/>
          </w:tcPr>
          <w:p w14:paraId="5731B3B0" w14:textId="5D431AC4" w:rsidR="00E318F5" w:rsidRPr="00A4321A" w:rsidRDefault="00E318F5" w:rsidP="00E318F5">
            <w:pPr>
              <w:pStyle w:val="CommentText"/>
              <w:rPr>
                <w:rFonts w:ascii="Poppins" w:hAnsi="Poppins" w:cs="Poppins"/>
                <w:color w:val="FFFFFF" w:themeColor="background1"/>
              </w:rPr>
            </w:pPr>
            <w:r w:rsidRPr="00A4321A">
              <w:rPr>
                <w:rFonts w:ascii="Poppins" w:hAnsi="Poppins" w:cs="Poppins"/>
                <w:color w:val="FFFFFF" w:themeColor="background1"/>
              </w:rPr>
              <w:lastRenderedPageBreak/>
              <w:t>Section 3: Change Variations – Implemented</w:t>
            </w:r>
          </w:p>
        </w:tc>
      </w:tr>
    </w:tbl>
    <w:p w14:paraId="4C701E87" w14:textId="72978B33" w:rsidR="00B51967" w:rsidRDefault="00B51967" w:rsidP="00015968">
      <w:pPr>
        <w:pStyle w:val="CorrelaSubHeading"/>
        <w:spacing w:after="0"/>
        <w:rPr>
          <w:i w:val="0"/>
          <w:iCs w:val="0"/>
          <w:color w:val="auto"/>
          <w:sz w:val="20"/>
          <w:szCs w:val="20"/>
        </w:rPr>
      </w:pPr>
    </w:p>
    <w:p w14:paraId="219B53EF" w14:textId="77777777" w:rsidR="00B236E2" w:rsidRPr="00A67244" w:rsidRDefault="00B236E2" w:rsidP="00B236E2">
      <w:pPr>
        <w:pStyle w:val="CorrelaSubHeading"/>
        <w:numPr>
          <w:ilvl w:val="0"/>
          <w:numId w:val="13"/>
        </w:numPr>
        <w:spacing w:after="0"/>
        <w:rPr>
          <w:i w:val="0"/>
          <w:iCs w:val="0"/>
          <w:color w:val="auto"/>
          <w:sz w:val="20"/>
          <w:szCs w:val="20"/>
        </w:rPr>
      </w:pPr>
      <w:r w:rsidRPr="00A67244">
        <w:rPr>
          <w:i w:val="0"/>
          <w:iCs w:val="0"/>
          <w:color w:val="auto"/>
          <w:sz w:val="20"/>
          <w:szCs w:val="20"/>
        </w:rPr>
        <w:t xml:space="preserve">CV01 / CV14 APIs Over Internet </w:t>
      </w:r>
    </w:p>
    <w:p w14:paraId="5EEFBD5B" w14:textId="77777777" w:rsidR="00B236E2" w:rsidRPr="00A67244" w:rsidRDefault="00B236E2" w:rsidP="00B236E2">
      <w:pPr>
        <w:pStyle w:val="CorrelaSubHeading"/>
        <w:numPr>
          <w:ilvl w:val="0"/>
          <w:numId w:val="13"/>
        </w:numPr>
        <w:spacing w:after="0"/>
        <w:rPr>
          <w:i w:val="0"/>
          <w:iCs w:val="0"/>
          <w:color w:val="auto"/>
          <w:sz w:val="20"/>
          <w:szCs w:val="20"/>
        </w:rPr>
      </w:pPr>
      <w:r w:rsidRPr="00A67244">
        <w:rPr>
          <w:i w:val="0"/>
          <w:iCs w:val="0"/>
          <w:color w:val="auto"/>
          <w:sz w:val="20"/>
          <w:szCs w:val="20"/>
        </w:rPr>
        <w:t xml:space="preserve">CV02 RMTNTSEC letter </w:t>
      </w:r>
    </w:p>
    <w:p w14:paraId="2E403B7A" w14:textId="77777777" w:rsidR="00B236E2" w:rsidRPr="00A67244" w:rsidRDefault="00B236E2" w:rsidP="00B236E2">
      <w:pPr>
        <w:pStyle w:val="ListParagraph"/>
        <w:numPr>
          <w:ilvl w:val="0"/>
          <w:numId w:val="13"/>
        </w:numPr>
        <w:spacing w:after="0" w:line="259" w:lineRule="auto"/>
        <w:rPr>
          <w:rFonts w:ascii="Poppins" w:hAnsi="Poppins" w:cs="Poppins"/>
          <w:sz w:val="20"/>
          <w:szCs w:val="20"/>
        </w:rPr>
      </w:pPr>
      <w:r w:rsidRPr="00A67244">
        <w:rPr>
          <w:rFonts w:ascii="Poppins" w:hAnsi="Poppins" w:cs="Poppins"/>
          <w:sz w:val="20"/>
          <w:szCs w:val="20"/>
        </w:rPr>
        <w:t xml:space="preserve">CV04 LTSR Logic Change </w:t>
      </w:r>
    </w:p>
    <w:p w14:paraId="713694FA" w14:textId="77777777" w:rsidR="00B236E2" w:rsidRPr="00A67244" w:rsidRDefault="00B236E2" w:rsidP="00B236E2">
      <w:pPr>
        <w:pStyle w:val="ListParagraph"/>
        <w:spacing w:after="0" w:line="259" w:lineRule="auto"/>
        <w:rPr>
          <w:rFonts w:ascii="Poppins" w:hAnsi="Poppins" w:cs="Poppins"/>
          <w:sz w:val="20"/>
          <w:szCs w:val="20"/>
        </w:rPr>
      </w:pPr>
    </w:p>
    <w:p w14:paraId="55FE3CF8" w14:textId="77777777" w:rsidR="00B236E2" w:rsidRPr="00A67244" w:rsidRDefault="00B236E2" w:rsidP="00B236E2">
      <w:pPr>
        <w:spacing w:after="0"/>
        <w:rPr>
          <w:rFonts w:ascii="Poppins" w:hAnsi="Poppins" w:cs="Poppins"/>
          <w:b/>
          <w:bCs/>
          <w:sz w:val="20"/>
          <w:szCs w:val="20"/>
        </w:rPr>
      </w:pPr>
      <w:r w:rsidRPr="00A67244">
        <w:rPr>
          <w:rFonts w:ascii="Poppins" w:hAnsi="Poppins" w:cs="Poppins"/>
          <w:b/>
          <w:bCs/>
          <w:sz w:val="20"/>
          <w:szCs w:val="20"/>
        </w:rPr>
        <w:t xml:space="preserve">Cancelled/Deferred </w:t>
      </w:r>
    </w:p>
    <w:p w14:paraId="1575E391" w14:textId="77777777" w:rsidR="00B236E2" w:rsidRPr="00A67244" w:rsidRDefault="00B236E2" w:rsidP="00B236E2">
      <w:pPr>
        <w:pStyle w:val="CorrelaSubHeading"/>
        <w:numPr>
          <w:ilvl w:val="0"/>
          <w:numId w:val="15"/>
        </w:numPr>
        <w:spacing w:after="0"/>
        <w:rPr>
          <w:i w:val="0"/>
          <w:iCs w:val="0"/>
          <w:color w:val="auto"/>
          <w:sz w:val="20"/>
          <w:szCs w:val="20"/>
        </w:rPr>
      </w:pPr>
      <w:r w:rsidRPr="00A67244">
        <w:rPr>
          <w:i w:val="0"/>
          <w:iCs w:val="0"/>
          <w:color w:val="auto"/>
          <w:sz w:val="20"/>
          <w:szCs w:val="20"/>
        </w:rPr>
        <w:t>CV03 WDDNEX auction crash prevention</w:t>
      </w:r>
    </w:p>
    <w:p w14:paraId="66A7F39C" w14:textId="77777777" w:rsidR="00B236E2" w:rsidRPr="00A52690" w:rsidRDefault="00B236E2" w:rsidP="00B236E2">
      <w:pPr>
        <w:pStyle w:val="CorrelaSubHeading"/>
        <w:numPr>
          <w:ilvl w:val="0"/>
          <w:numId w:val="14"/>
        </w:numPr>
        <w:spacing w:after="0"/>
        <w:rPr>
          <w:b/>
          <w:bCs/>
          <w:i w:val="0"/>
          <w:iCs w:val="0"/>
          <w:color w:val="auto"/>
          <w:sz w:val="20"/>
          <w:szCs w:val="20"/>
        </w:rPr>
      </w:pPr>
      <w:r w:rsidRPr="00A52690">
        <w:rPr>
          <w:b/>
          <w:bCs/>
          <w:i w:val="0"/>
          <w:iCs w:val="0"/>
          <w:color w:val="auto"/>
          <w:sz w:val="20"/>
          <w:szCs w:val="20"/>
        </w:rPr>
        <w:t>Cancelled, implemented as part of Spring Release 2022</w:t>
      </w:r>
    </w:p>
    <w:p w14:paraId="5439A1E1" w14:textId="77777777" w:rsidR="00B236E2" w:rsidRPr="00A67244" w:rsidRDefault="00B236E2" w:rsidP="00B236E2">
      <w:pPr>
        <w:pStyle w:val="CorrelaSubHeading"/>
        <w:numPr>
          <w:ilvl w:val="0"/>
          <w:numId w:val="15"/>
        </w:numPr>
        <w:spacing w:after="0"/>
        <w:rPr>
          <w:i w:val="0"/>
          <w:iCs w:val="0"/>
          <w:color w:val="auto"/>
          <w:sz w:val="20"/>
          <w:szCs w:val="20"/>
        </w:rPr>
      </w:pPr>
      <w:r w:rsidRPr="00A67244">
        <w:rPr>
          <w:i w:val="0"/>
          <w:iCs w:val="0"/>
          <w:color w:val="auto"/>
          <w:sz w:val="20"/>
          <w:szCs w:val="20"/>
        </w:rPr>
        <w:t xml:space="preserve">CV05 </w:t>
      </w:r>
      <w:proofErr w:type="spellStart"/>
      <w:r w:rsidRPr="00A67244">
        <w:rPr>
          <w:i w:val="0"/>
          <w:iCs w:val="0"/>
          <w:color w:val="auto"/>
          <w:sz w:val="20"/>
          <w:szCs w:val="20"/>
        </w:rPr>
        <w:t>DDos</w:t>
      </w:r>
      <w:proofErr w:type="spellEnd"/>
      <w:r w:rsidRPr="00A67244">
        <w:rPr>
          <w:i w:val="0"/>
          <w:iCs w:val="0"/>
          <w:color w:val="auto"/>
          <w:sz w:val="20"/>
          <w:szCs w:val="20"/>
        </w:rPr>
        <w:t xml:space="preserve"> &amp; WAF: SSO</w:t>
      </w:r>
    </w:p>
    <w:p w14:paraId="42041865" w14:textId="77777777" w:rsidR="00B236E2" w:rsidRPr="00A52690" w:rsidRDefault="00B236E2" w:rsidP="00B236E2">
      <w:pPr>
        <w:pStyle w:val="CorrelaSubHeading"/>
        <w:numPr>
          <w:ilvl w:val="0"/>
          <w:numId w:val="14"/>
        </w:numPr>
        <w:spacing w:after="0"/>
        <w:rPr>
          <w:b/>
          <w:bCs/>
          <w:i w:val="0"/>
          <w:iCs w:val="0"/>
          <w:color w:val="auto"/>
          <w:sz w:val="20"/>
          <w:szCs w:val="20"/>
        </w:rPr>
      </w:pPr>
      <w:r w:rsidRPr="00A52690">
        <w:rPr>
          <w:b/>
          <w:bCs/>
          <w:i w:val="0"/>
          <w:iCs w:val="0"/>
          <w:color w:val="auto"/>
          <w:sz w:val="20"/>
          <w:szCs w:val="20"/>
        </w:rPr>
        <w:t>Deferred</w:t>
      </w:r>
    </w:p>
    <w:p w14:paraId="25E59962" w14:textId="4886632B" w:rsidR="002C0202" w:rsidRDefault="002C0202" w:rsidP="00015968">
      <w:pPr>
        <w:pStyle w:val="CorrelaSubHeading"/>
        <w:spacing w:after="0"/>
        <w:rPr>
          <w:i w:val="0"/>
          <w:iCs w:val="0"/>
          <w:color w:val="auto"/>
          <w:sz w:val="20"/>
          <w:szCs w:val="20"/>
        </w:rPr>
      </w:pPr>
    </w:p>
    <w:p w14:paraId="66974CF3" w14:textId="77777777" w:rsidR="002C0202" w:rsidRDefault="002C0202" w:rsidP="00015968">
      <w:pPr>
        <w:pStyle w:val="CorrelaSubHeading"/>
        <w:spacing w:after="0"/>
        <w:rPr>
          <w:i w:val="0"/>
          <w:iCs w:val="0"/>
          <w:color w:val="auto"/>
          <w:sz w:val="20"/>
          <w:szCs w:val="20"/>
        </w:rPr>
      </w:pPr>
    </w:p>
    <w:tbl>
      <w:tblPr>
        <w:tblStyle w:val="TableGrid"/>
        <w:tblW w:w="9539" w:type="dxa"/>
        <w:tblInd w:w="-380" w:type="dxa"/>
        <w:tblLook w:val="04A0" w:firstRow="1" w:lastRow="0" w:firstColumn="1" w:lastColumn="0" w:noHBand="0" w:noVBand="1"/>
      </w:tblPr>
      <w:tblGrid>
        <w:gridCol w:w="9539"/>
      </w:tblGrid>
      <w:tr w:rsidR="00B51967" w:rsidRPr="00A67244" w14:paraId="3781C081" w14:textId="77777777" w:rsidTr="004D063B">
        <w:trPr>
          <w:trHeight w:val="345"/>
        </w:trPr>
        <w:tc>
          <w:tcPr>
            <w:tcW w:w="9539" w:type="dxa"/>
            <w:shd w:val="clear" w:color="auto" w:fill="002060"/>
          </w:tcPr>
          <w:p w14:paraId="0E9CFC25" w14:textId="3E3757D7" w:rsidR="00B51967" w:rsidRPr="00A67244" w:rsidRDefault="00015968" w:rsidP="00015968">
            <w:pPr>
              <w:pStyle w:val="CommentText"/>
              <w:jc w:val="center"/>
              <w:rPr>
                <w:rFonts w:ascii="Poppins" w:hAnsi="Poppins" w:cs="Poppins"/>
              </w:rPr>
            </w:pPr>
            <w:bookmarkStart w:id="1" w:name="_Hlk124777048"/>
            <w:r w:rsidRPr="00015968">
              <w:rPr>
                <w:rFonts w:ascii="Poppins" w:hAnsi="Poppins" w:cs="Poppins"/>
              </w:rPr>
              <w:t xml:space="preserve">CV01/CV14 – </w:t>
            </w:r>
            <w:r w:rsidR="0044099E">
              <w:rPr>
                <w:rFonts w:ascii="Poppins" w:hAnsi="Poppins" w:cs="Poppins"/>
              </w:rPr>
              <w:t>Intr</w:t>
            </w:r>
            <w:r w:rsidR="003E21CA">
              <w:rPr>
                <w:rFonts w:ascii="Poppins" w:hAnsi="Poppins" w:cs="Poppins"/>
              </w:rPr>
              <w:t>oduction of APIs over the Internet</w:t>
            </w:r>
          </w:p>
        </w:tc>
      </w:tr>
      <w:bookmarkEnd w:id="1"/>
      <w:tr w:rsidR="000A1610" w:rsidRPr="00A67244" w14:paraId="6AD7196B" w14:textId="77777777" w:rsidTr="004D063B">
        <w:trPr>
          <w:trHeight w:val="345"/>
        </w:trPr>
        <w:tc>
          <w:tcPr>
            <w:tcW w:w="9539" w:type="dxa"/>
          </w:tcPr>
          <w:p w14:paraId="55FC4C2B" w14:textId="77450CB7" w:rsidR="000A1610" w:rsidRPr="00A67244" w:rsidRDefault="000A1610" w:rsidP="00E94713">
            <w:pPr>
              <w:pStyle w:val="CommentText"/>
              <w:rPr>
                <w:rFonts w:ascii="Poppins" w:hAnsi="Poppins" w:cs="Poppins"/>
              </w:rPr>
            </w:pPr>
            <w:r w:rsidRPr="00A67244">
              <w:rPr>
                <w:rFonts w:ascii="Poppins" w:hAnsi="Poppins" w:cs="Poppins"/>
              </w:rPr>
              <w:t xml:space="preserve">The purpose of this change variation </w:t>
            </w:r>
            <w:r w:rsidR="001317B6">
              <w:rPr>
                <w:rFonts w:ascii="Poppins" w:hAnsi="Poppins" w:cs="Poppins"/>
              </w:rPr>
              <w:t>was</w:t>
            </w:r>
            <w:r w:rsidR="001317B6" w:rsidRPr="00A67244">
              <w:rPr>
                <w:rFonts w:ascii="Poppins" w:hAnsi="Poppins" w:cs="Poppins"/>
              </w:rPr>
              <w:t xml:space="preserve"> </w:t>
            </w:r>
            <w:r w:rsidRPr="00A67244">
              <w:rPr>
                <w:rFonts w:ascii="Poppins" w:hAnsi="Poppins" w:cs="Poppins"/>
              </w:rPr>
              <w:t xml:space="preserve">to </w:t>
            </w:r>
            <w:r w:rsidR="008C3049">
              <w:rPr>
                <w:rFonts w:ascii="Poppins" w:hAnsi="Poppins" w:cs="Poppins"/>
              </w:rPr>
              <w:t>transfer the delivery of API</w:t>
            </w:r>
            <w:r w:rsidR="00BA4ACE">
              <w:rPr>
                <w:rFonts w:ascii="Poppins" w:hAnsi="Poppins" w:cs="Poppins"/>
              </w:rPr>
              <w:t xml:space="preserve">s over the Internet from the scope of the Gemini </w:t>
            </w:r>
            <w:r w:rsidR="005F3348">
              <w:rPr>
                <w:rFonts w:ascii="Poppins" w:hAnsi="Poppins" w:cs="Poppins"/>
              </w:rPr>
              <w:t xml:space="preserve">System </w:t>
            </w:r>
            <w:r w:rsidR="00BA4ACE">
              <w:rPr>
                <w:rFonts w:ascii="Poppins" w:hAnsi="Poppins" w:cs="Poppins"/>
              </w:rPr>
              <w:t>Enhancement Project t</w:t>
            </w:r>
            <w:r w:rsidR="0027101E">
              <w:rPr>
                <w:rFonts w:ascii="Poppins" w:hAnsi="Poppins" w:cs="Poppins"/>
              </w:rPr>
              <w:t xml:space="preserve">o </w:t>
            </w:r>
            <w:r w:rsidR="00895EF3" w:rsidRPr="00A67244">
              <w:rPr>
                <w:rFonts w:ascii="Poppins" w:eastAsia="Times New Roman" w:hAnsi="Poppins" w:cs="Poppins"/>
              </w:rPr>
              <w:t>XRN5368</w:t>
            </w:r>
            <w:r w:rsidR="00856116">
              <w:rPr>
                <w:rFonts w:ascii="Poppins" w:eastAsia="Times New Roman" w:hAnsi="Poppins" w:cs="Poppins"/>
              </w:rPr>
              <w:t xml:space="preserve"> </w:t>
            </w:r>
            <w:r w:rsidR="00856116" w:rsidRPr="00A67244">
              <w:rPr>
                <w:rFonts w:ascii="Poppins" w:eastAsia="Times New Roman" w:hAnsi="Poppins" w:cs="Poppins"/>
                <w:iCs/>
              </w:rPr>
              <w:t>Gemini Sustain Year 1 Roadmap</w:t>
            </w:r>
            <w:proofErr w:type="gramStart"/>
            <w:r w:rsidR="005F3348">
              <w:rPr>
                <w:rFonts w:ascii="Poppins" w:eastAsia="Times New Roman" w:hAnsi="Poppins" w:cs="Poppins"/>
              </w:rPr>
              <w:t xml:space="preserve">. </w:t>
            </w:r>
            <w:r w:rsidRPr="00A67244">
              <w:rPr>
                <w:rFonts w:ascii="Poppins" w:hAnsi="Poppins" w:cs="Poppins"/>
              </w:rPr>
              <w:t>.</w:t>
            </w:r>
            <w:proofErr w:type="gramEnd"/>
            <w:r w:rsidRPr="00A67244">
              <w:rPr>
                <w:rFonts w:ascii="Poppins" w:hAnsi="Poppins" w:cs="Poppins"/>
              </w:rPr>
              <w:t xml:space="preserve"> </w:t>
            </w:r>
          </w:p>
          <w:p w14:paraId="4B02EA9B" w14:textId="77777777" w:rsidR="000A1610" w:rsidRPr="00A67244" w:rsidRDefault="000A1610" w:rsidP="00AC249C">
            <w:pPr>
              <w:rPr>
                <w:rFonts w:ascii="Poppins" w:hAnsi="Poppins" w:cs="Poppins"/>
                <w:sz w:val="20"/>
                <w:szCs w:val="20"/>
              </w:rPr>
            </w:pPr>
          </w:p>
          <w:p w14:paraId="6D461FE0" w14:textId="2F05BFB1" w:rsidR="000A1610" w:rsidRPr="00BF33D3" w:rsidRDefault="000A1610" w:rsidP="00C13E07">
            <w:pPr>
              <w:pStyle w:val="CommentText"/>
              <w:rPr>
                <w:rFonts w:ascii="Poppins" w:hAnsi="Poppins" w:cs="Poppins"/>
                <w:bCs/>
              </w:rPr>
            </w:pPr>
            <w:r w:rsidRPr="00A67244">
              <w:rPr>
                <w:rFonts w:ascii="Poppins" w:hAnsi="Poppins" w:cs="Poppins"/>
                <w:b/>
              </w:rPr>
              <w:t xml:space="preserve">Note: </w:t>
            </w:r>
            <w:r w:rsidRPr="00BF33D3">
              <w:rPr>
                <w:rFonts w:ascii="Poppins" w:hAnsi="Poppins" w:cs="Poppins"/>
                <w:bCs/>
              </w:rPr>
              <w:t>A clear handover plan was successfully completed</w:t>
            </w:r>
            <w:r w:rsidR="00856116">
              <w:rPr>
                <w:rFonts w:ascii="Poppins" w:hAnsi="Poppins" w:cs="Poppins"/>
                <w:bCs/>
              </w:rPr>
              <w:t>, ensuring all</w:t>
            </w:r>
            <w:r w:rsidRPr="00BF33D3">
              <w:rPr>
                <w:rFonts w:ascii="Poppins" w:hAnsi="Poppins" w:cs="Poppins"/>
                <w:bCs/>
              </w:rPr>
              <w:t xml:space="preserve"> risks </w:t>
            </w:r>
            <w:r w:rsidR="001D332C">
              <w:rPr>
                <w:rFonts w:ascii="Poppins" w:hAnsi="Poppins" w:cs="Poppins"/>
                <w:bCs/>
              </w:rPr>
              <w:t xml:space="preserve">were </w:t>
            </w:r>
            <w:r w:rsidRPr="00BF33D3">
              <w:rPr>
                <w:rFonts w:ascii="Poppins" w:hAnsi="Poppins" w:cs="Poppins"/>
                <w:bCs/>
              </w:rPr>
              <w:t xml:space="preserve">closed or </w:t>
            </w:r>
            <w:r w:rsidR="00856116">
              <w:rPr>
                <w:rFonts w:ascii="Poppins" w:hAnsi="Poppins" w:cs="Poppins"/>
                <w:bCs/>
              </w:rPr>
              <w:t xml:space="preserve">transferred </w:t>
            </w:r>
            <w:r w:rsidRPr="00BF33D3">
              <w:rPr>
                <w:rFonts w:ascii="Poppins" w:hAnsi="Poppins" w:cs="Poppins"/>
                <w:bCs/>
              </w:rPr>
              <w:t xml:space="preserve">with an effective mitigation plan. </w:t>
            </w:r>
          </w:p>
          <w:p w14:paraId="7695C5ED" w14:textId="77CB9A88" w:rsidR="00ED6BA3" w:rsidRPr="00A67244" w:rsidRDefault="00ED6BA3" w:rsidP="00C13E07">
            <w:pPr>
              <w:pStyle w:val="CommentText"/>
              <w:rPr>
                <w:rFonts w:ascii="Poppins" w:hAnsi="Poppins" w:cs="Poppins"/>
                <w:b/>
              </w:rPr>
            </w:pPr>
          </w:p>
        </w:tc>
      </w:tr>
      <w:tr w:rsidR="000A1610" w:rsidRPr="00A67244" w14:paraId="1A079F23" w14:textId="77777777" w:rsidTr="004D063B">
        <w:trPr>
          <w:trHeight w:val="410"/>
        </w:trPr>
        <w:tc>
          <w:tcPr>
            <w:tcW w:w="9539" w:type="dxa"/>
            <w:shd w:val="clear" w:color="auto" w:fill="002060"/>
            <w:vAlign w:val="center"/>
          </w:tcPr>
          <w:p w14:paraId="58F715AE" w14:textId="77777777" w:rsidR="000A1610" w:rsidRPr="00A67244" w:rsidRDefault="000A1610" w:rsidP="00AC249C">
            <w:pPr>
              <w:pStyle w:val="CommentText"/>
              <w:jc w:val="center"/>
              <w:rPr>
                <w:rFonts w:ascii="Poppins" w:hAnsi="Poppins" w:cs="Poppins"/>
              </w:rPr>
            </w:pPr>
            <w:r w:rsidRPr="00A67244">
              <w:rPr>
                <w:rFonts w:ascii="Poppins" w:hAnsi="Poppins" w:cs="Poppins"/>
              </w:rPr>
              <w:t>CV02 RMTNTSEC letter – Deployed: 10/10/21</w:t>
            </w:r>
          </w:p>
        </w:tc>
      </w:tr>
      <w:tr w:rsidR="000A1610" w:rsidRPr="00A67244" w14:paraId="3F4C28BB" w14:textId="77777777" w:rsidTr="004D063B">
        <w:trPr>
          <w:trHeight w:val="572"/>
        </w:trPr>
        <w:tc>
          <w:tcPr>
            <w:tcW w:w="9539" w:type="dxa"/>
          </w:tcPr>
          <w:p w14:paraId="4D0BFD27" w14:textId="11BD9D7C" w:rsidR="000A1610" w:rsidRPr="00A67244" w:rsidRDefault="000A1610" w:rsidP="00AC249C">
            <w:pPr>
              <w:rPr>
                <w:rFonts w:ascii="Poppins" w:hAnsi="Poppins" w:cs="Poppins"/>
                <w:sz w:val="20"/>
                <w:szCs w:val="20"/>
              </w:rPr>
            </w:pPr>
            <w:r w:rsidRPr="00A67244">
              <w:rPr>
                <w:rFonts w:ascii="Poppins" w:hAnsi="Poppins" w:cs="Poppins"/>
                <w:sz w:val="20"/>
                <w:szCs w:val="20"/>
              </w:rPr>
              <w:t xml:space="preserve">The purpose of this change variation </w:t>
            </w:r>
            <w:r w:rsidR="001D332C">
              <w:rPr>
                <w:rFonts w:ascii="Poppins" w:hAnsi="Poppins" w:cs="Poppins"/>
                <w:sz w:val="20"/>
                <w:szCs w:val="20"/>
              </w:rPr>
              <w:t xml:space="preserve">was </w:t>
            </w:r>
            <w:r w:rsidRPr="00A67244">
              <w:rPr>
                <w:rFonts w:ascii="Poppins" w:hAnsi="Poppins" w:cs="Poppins"/>
                <w:sz w:val="20"/>
                <w:szCs w:val="20"/>
              </w:rPr>
              <w:t>to enable National Grid to complete RMTNTSEC Auction Invitation Letter change</w:t>
            </w:r>
            <w:r w:rsidR="00E43B43">
              <w:rPr>
                <w:rFonts w:ascii="Poppins" w:hAnsi="Poppins" w:cs="Poppins"/>
                <w:sz w:val="20"/>
                <w:szCs w:val="20"/>
              </w:rPr>
              <w:t>s</w:t>
            </w:r>
            <w:r w:rsidR="00C17ACE">
              <w:rPr>
                <w:rFonts w:ascii="Poppins" w:hAnsi="Poppins" w:cs="Poppins"/>
                <w:sz w:val="20"/>
                <w:szCs w:val="20"/>
              </w:rPr>
              <w:t>.</w:t>
            </w:r>
          </w:p>
          <w:p w14:paraId="5FFB9815" w14:textId="77777777" w:rsidR="000A1610" w:rsidRPr="00A67244" w:rsidRDefault="000A1610" w:rsidP="00AC249C">
            <w:pPr>
              <w:rPr>
                <w:rFonts w:ascii="Poppins" w:hAnsi="Poppins" w:cs="Poppins"/>
                <w:sz w:val="20"/>
                <w:szCs w:val="20"/>
              </w:rPr>
            </w:pPr>
          </w:p>
          <w:p w14:paraId="52065271" w14:textId="3DFD6F09" w:rsidR="000A1610" w:rsidRPr="00E94713" w:rsidRDefault="000A1610" w:rsidP="00E94713">
            <w:pPr>
              <w:pStyle w:val="ListParagraph"/>
              <w:numPr>
                <w:ilvl w:val="0"/>
                <w:numId w:val="18"/>
              </w:numPr>
              <w:rPr>
                <w:rFonts w:ascii="Poppins" w:hAnsi="Poppins" w:cs="Poppins"/>
                <w:sz w:val="20"/>
                <w:szCs w:val="20"/>
              </w:rPr>
            </w:pPr>
            <w:r w:rsidRPr="00E94713">
              <w:rPr>
                <w:rFonts w:ascii="Poppins" w:hAnsi="Poppins" w:cs="Poppins"/>
                <w:sz w:val="20"/>
                <w:szCs w:val="20"/>
              </w:rPr>
              <w:t xml:space="preserve">Change </w:t>
            </w:r>
            <w:r w:rsidR="006771C4" w:rsidRPr="00E94713">
              <w:rPr>
                <w:rFonts w:ascii="Poppins" w:hAnsi="Poppins" w:cs="Poppins"/>
                <w:sz w:val="20"/>
                <w:szCs w:val="20"/>
              </w:rPr>
              <w:t xml:space="preserve">delivered </w:t>
            </w:r>
            <w:r w:rsidRPr="00E94713">
              <w:rPr>
                <w:rFonts w:ascii="Poppins" w:hAnsi="Poppins" w:cs="Poppins"/>
                <w:sz w:val="20"/>
                <w:szCs w:val="20"/>
              </w:rPr>
              <w:t>in code logic to ignore the Surrender Quantity holder value</w:t>
            </w:r>
            <w:r w:rsidR="006771C4" w:rsidRPr="00E94713">
              <w:rPr>
                <w:rFonts w:ascii="Poppins" w:hAnsi="Poppins" w:cs="Poppins"/>
                <w:sz w:val="20"/>
                <w:szCs w:val="20"/>
              </w:rPr>
              <w:t>.</w:t>
            </w:r>
          </w:p>
          <w:p w14:paraId="21369ABC" w14:textId="7AA21414" w:rsidR="000A1610" w:rsidRPr="00E94713" w:rsidRDefault="000A1610" w:rsidP="00E94713">
            <w:pPr>
              <w:pStyle w:val="ListParagraph"/>
              <w:numPr>
                <w:ilvl w:val="0"/>
                <w:numId w:val="18"/>
              </w:numPr>
              <w:rPr>
                <w:rFonts w:ascii="Poppins" w:hAnsi="Poppins" w:cs="Poppins"/>
                <w:sz w:val="20"/>
                <w:szCs w:val="20"/>
              </w:rPr>
            </w:pPr>
            <w:r w:rsidRPr="00E94713">
              <w:rPr>
                <w:rFonts w:ascii="Poppins" w:hAnsi="Poppins" w:cs="Poppins"/>
                <w:sz w:val="20"/>
                <w:szCs w:val="20"/>
              </w:rPr>
              <w:t xml:space="preserve">Change is </w:t>
            </w:r>
            <w:r w:rsidR="00E43B43" w:rsidRPr="00E94713">
              <w:rPr>
                <w:rFonts w:ascii="Poppins" w:hAnsi="Poppins" w:cs="Poppins"/>
                <w:sz w:val="20"/>
                <w:szCs w:val="20"/>
              </w:rPr>
              <w:t xml:space="preserve">delivered </w:t>
            </w:r>
            <w:r w:rsidRPr="00E94713">
              <w:rPr>
                <w:rFonts w:ascii="Poppins" w:hAnsi="Poppins" w:cs="Poppins"/>
                <w:sz w:val="20"/>
                <w:szCs w:val="20"/>
              </w:rPr>
              <w:t>in code logic to consider the Surrender bid quantity only with “NEW” status.</w:t>
            </w:r>
          </w:p>
          <w:p w14:paraId="0D56356C" w14:textId="39238773" w:rsidR="000A1610" w:rsidRPr="00A67244" w:rsidRDefault="000A1610" w:rsidP="00E94713">
            <w:pPr>
              <w:ind w:left="720"/>
              <w:rPr>
                <w:rFonts w:eastAsia="Times New Roman"/>
              </w:rPr>
            </w:pPr>
            <w:r w:rsidRPr="00A67244">
              <w:rPr>
                <w:rFonts w:ascii="Poppins" w:hAnsi="Poppins" w:cs="Poppins"/>
                <w:sz w:val="20"/>
                <w:szCs w:val="20"/>
              </w:rPr>
              <w:t xml:space="preserve"> </w:t>
            </w:r>
          </w:p>
        </w:tc>
      </w:tr>
      <w:tr w:rsidR="000A1610" w:rsidRPr="00A67244" w14:paraId="25A90F41" w14:textId="77777777" w:rsidTr="004D063B">
        <w:trPr>
          <w:trHeight w:val="421"/>
        </w:trPr>
        <w:tc>
          <w:tcPr>
            <w:tcW w:w="9539" w:type="dxa"/>
            <w:shd w:val="clear" w:color="auto" w:fill="002060"/>
            <w:vAlign w:val="center"/>
          </w:tcPr>
          <w:p w14:paraId="7506EC6D" w14:textId="796BBC80" w:rsidR="000A1610" w:rsidRPr="00A67244" w:rsidRDefault="000A1610" w:rsidP="00AC249C">
            <w:pPr>
              <w:pStyle w:val="CommentText"/>
              <w:jc w:val="center"/>
              <w:rPr>
                <w:rFonts w:ascii="Poppins" w:hAnsi="Poppins" w:cs="Poppins"/>
                <w:color w:val="FFFFFF" w:themeColor="background1"/>
              </w:rPr>
            </w:pPr>
            <w:r w:rsidRPr="00A67244">
              <w:rPr>
                <w:rFonts w:ascii="Poppins" w:hAnsi="Poppins" w:cs="Poppins"/>
              </w:rPr>
              <w:t>CV04 LTSR Logic Change – Deployment Planned 24/07/22</w:t>
            </w:r>
          </w:p>
        </w:tc>
      </w:tr>
      <w:tr w:rsidR="000A1610" w:rsidRPr="00A67244" w14:paraId="75C6FDEC" w14:textId="77777777" w:rsidTr="004D063B">
        <w:trPr>
          <w:trHeight w:val="572"/>
        </w:trPr>
        <w:tc>
          <w:tcPr>
            <w:tcW w:w="9539" w:type="dxa"/>
          </w:tcPr>
          <w:p w14:paraId="70E581D7" w14:textId="364EF32B" w:rsidR="009A204F" w:rsidRPr="00A67244" w:rsidRDefault="000A1610" w:rsidP="00AC249C">
            <w:pPr>
              <w:rPr>
                <w:rFonts w:ascii="Poppins" w:hAnsi="Poppins" w:cs="Poppins"/>
                <w:b/>
                <w:sz w:val="20"/>
                <w:szCs w:val="20"/>
              </w:rPr>
            </w:pPr>
            <w:r w:rsidRPr="00A67244">
              <w:rPr>
                <w:rFonts w:ascii="Poppins" w:hAnsi="Poppins" w:cs="Poppins"/>
                <w:sz w:val="20"/>
                <w:szCs w:val="20"/>
              </w:rPr>
              <w:t xml:space="preserve">The purpose of this change variation </w:t>
            </w:r>
            <w:r w:rsidR="00CA1F50">
              <w:rPr>
                <w:rFonts w:ascii="Poppins" w:hAnsi="Poppins" w:cs="Poppins"/>
                <w:sz w:val="20"/>
                <w:szCs w:val="20"/>
              </w:rPr>
              <w:t>was</w:t>
            </w:r>
            <w:r w:rsidRPr="00A67244">
              <w:rPr>
                <w:rFonts w:ascii="Poppins" w:hAnsi="Poppins" w:cs="Poppins"/>
                <w:sz w:val="20"/>
                <w:szCs w:val="20"/>
              </w:rPr>
              <w:t xml:space="preserve"> to enable National Grid to complete operational processes accurately in time for the Annual Auction</w:t>
            </w:r>
            <w:r w:rsidR="00BB1E88">
              <w:rPr>
                <w:rFonts w:ascii="Poppins" w:hAnsi="Poppins" w:cs="Poppins"/>
                <w:sz w:val="20"/>
                <w:szCs w:val="20"/>
              </w:rPr>
              <w:t>s</w:t>
            </w:r>
            <w:r w:rsidRPr="00A67244">
              <w:rPr>
                <w:rFonts w:ascii="Poppins" w:hAnsi="Poppins" w:cs="Poppins"/>
                <w:sz w:val="20"/>
                <w:szCs w:val="20"/>
              </w:rPr>
              <w:t>.</w:t>
            </w:r>
            <w:r w:rsidRPr="00A67244">
              <w:rPr>
                <w:rFonts w:ascii="Poppins" w:hAnsi="Poppins" w:cs="Poppins"/>
                <w:b/>
                <w:sz w:val="20"/>
                <w:szCs w:val="20"/>
              </w:rPr>
              <w:t xml:space="preserve"> </w:t>
            </w:r>
          </w:p>
          <w:p w14:paraId="7FD2FCA8" w14:textId="77777777" w:rsidR="009A204F" w:rsidRPr="00A67244" w:rsidRDefault="009A204F" w:rsidP="00AC249C">
            <w:pPr>
              <w:rPr>
                <w:rFonts w:ascii="Poppins" w:hAnsi="Poppins" w:cs="Poppins"/>
                <w:b/>
                <w:color w:val="0070C0"/>
                <w:sz w:val="20"/>
                <w:szCs w:val="20"/>
              </w:rPr>
            </w:pPr>
          </w:p>
          <w:p w14:paraId="5F9507B7" w14:textId="6E82D599" w:rsidR="000A1610" w:rsidRPr="00A67244" w:rsidRDefault="000A1610" w:rsidP="00AC249C">
            <w:pPr>
              <w:rPr>
                <w:rFonts w:ascii="Poppins" w:hAnsi="Poppins" w:cs="Poppins"/>
                <w:sz w:val="20"/>
                <w:szCs w:val="20"/>
              </w:rPr>
            </w:pPr>
            <w:r w:rsidRPr="00A67244">
              <w:rPr>
                <w:rFonts w:ascii="Poppins" w:hAnsi="Poppins" w:cs="Poppins"/>
                <w:sz w:val="20"/>
                <w:szCs w:val="20"/>
              </w:rPr>
              <w:t xml:space="preserve">When there is a PARCA/IPPARCA the ‘donor’ site should be a negative value as stated in the SUC. The LTSR report </w:t>
            </w:r>
            <w:r w:rsidR="00BB1E88">
              <w:rPr>
                <w:rFonts w:ascii="Poppins" w:hAnsi="Poppins" w:cs="Poppins"/>
                <w:sz w:val="20"/>
                <w:szCs w:val="20"/>
              </w:rPr>
              <w:t>did</w:t>
            </w:r>
            <w:r w:rsidR="00BB1E88" w:rsidRPr="00A67244">
              <w:rPr>
                <w:rFonts w:ascii="Poppins" w:hAnsi="Poppins" w:cs="Poppins"/>
                <w:sz w:val="20"/>
                <w:szCs w:val="20"/>
              </w:rPr>
              <w:t xml:space="preserve"> </w:t>
            </w:r>
            <w:r w:rsidRPr="00A67244">
              <w:rPr>
                <w:rFonts w:ascii="Poppins" w:hAnsi="Poppins" w:cs="Poppins"/>
                <w:sz w:val="20"/>
                <w:szCs w:val="20"/>
              </w:rPr>
              <w:t xml:space="preserve">not </w:t>
            </w:r>
            <w:r w:rsidR="00BB1E88">
              <w:rPr>
                <w:rFonts w:ascii="Poppins" w:hAnsi="Poppins" w:cs="Poppins"/>
                <w:sz w:val="20"/>
                <w:szCs w:val="20"/>
              </w:rPr>
              <w:t>show</w:t>
            </w:r>
            <w:r w:rsidRPr="00A67244">
              <w:rPr>
                <w:rFonts w:ascii="Poppins" w:hAnsi="Poppins" w:cs="Poppins"/>
                <w:sz w:val="20"/>
                <w:szCs w:val="20"/>
              </w:rPr>
              <w:t xml:space="preserve"> do this</w:t>
            </w:r>
            <w:r w:rsidR="000117AC">
              <w:rPr>
                <w:rFonts w:ascii="Poppins" w:hAnsi="Poppins" w:cs="Poppins"/>
                <w:sz w:val="20"/>
                <w:szCs w:val="20"/>
              </w:rPr>
              <w:t>,</w:t>
            </w:r>
            <w:r w:rsidRPr="00A67244">
              <w:rPr>
                <w:rFonts w:ascii="Poppins" w:hAnsi="Poppins" w:cs="Poppins"/>
                <w:sz w:val="20"/>
                <w:szCs w:val="20"/>
              </w:rPr>
              <w:t xml:space="preserve"> </w:t>
            </w:r>
            <w:r w:rsidR="000117AC">
              <w:rPr>
                <w:rFonts w:ascii="Poppins" w:hAnsi="Poppins" w:cs="Poppins"/>
                <w:sz w:val="20"/>
                <w:szCs w:val="20"/>
              </w:rPr>
              <w:t>t</w:t>
            </w:r>
            <w:r w:rsidR="00BB1E88">
              <w:rPr>
                <w:rFonts w:ascii="Poppins" w:hAnsi="Poppins" w:cs="Poppins"/>
                <w:sz w:val="20"/>
                <w:szCs w:val="20"/>
              </w:rPr>
              <w:t>herefore</w:t>
            </w:r>
            <w:r w:rsidR="002D77DD">
              <w:rPr>
                <w:rFonts w:ascii="Poppins" w:hAnsi="Poppins" w:cs="Poppins"/>
                <w:sz w:val="20"/>
                <w:szCs w:val="20"/>
              </w:rPr>
              <w:t>,</w:t>
            </w:r>
            <w:r w:rsidR="00BB1E88">
              <w:rPr>
                <w:rFonts w:ascii="Poppins" w:hAnsi="Poppins" w:cs="Poppins"/>
                <w:sz w:val="20"/>
                <w:szCs w:val="20"/>
              </w:rPr>
              <w:t xml:space="preserve"> the following solution was </w:t>
            </w:r>
            <w:r w:rsidR="002D77DD">
              <w:rPr>
                <w:rFonts w:ascii="Poppins" w:hAnsi="Poppins" w:cs="Poppins"/>
                <w:sz w:val="20"/>
                <w:szCs w:val="20"/>
              </w:rPr>
              <w:t>delivered</w:t>
            </w:r>
            <w:r w:rsidRPr="00A67244">
              <w:rPr>
                <w:rFonts w:ascii="Poppins" w:hAnsi="Poppins" w:cs="Poppins"/>
                <w:sz w:val="20"/>
                <w:szCs w:val="20"/>
              </w:rPr>
              <w:t>:</w:t>
            </w:r>
          </w:p>
          <w:p w14:paraId="7355F07D" w14:textId="77777777" w:rsidR="000A1610" w:rsidRPr="00A67244" w:rsidRDefault="000A1610" w:rsidP="00AC249C">
            <w:pPr>
              <w:rPr>
                <w:rFonts w:ascii="Poppins" w:hAnsi="Poppins" w:cs="Poppins"/>
                <w:sz w:val="20"/>
                <w:szCs w:val="20"/>
              </w:rPr>
            </w:pPr>
          </w:p>
          <w:p w14:paraId="42F7D2A9" w14:textId="2C494160" w:rsidR="000A1610" w:rsidRPr="00A67244" w:rsidRDefault="000A1610" w:rsidP="00C13E07">
            <w:pPr>
              <w:pStyle w:val="ListParagraph"/>
              <w:numPr>
                <w:ilvl w:val="0"/>
                <w:numId w:val="17"/>
              </w:numPr>
              <w:contextualSpacing w:val="0"/>
              <w:rPr>
                <w:rFonts w:ascii="Poppins" w:hAnsi="Poppins" w:cs="Poppins"/>
                <w:sz w:val="20"/>
                <w:szCs w:val="20"/>
              </w:rPr>
            </w:pPr>
            <w:r w:rsidRPr="00A67244">
              <w:rPr>
                <w:rFonts w:ascii="Poppins" w:hAnsi="Poppins" w:cs="Poppins"/>
                <w:sz w:val="20"/>
                <w:szCs w:val="20"/>
              </w:rPr>
              <w:t xml:space="preserve">Screen change: </w:t>
            </w:r>
            <w:r w:rsidR="000117AC">
              <w:rPr>
                <w:rFonts w:ascii="Poppins" w:hAnsi="Poppins" w:cs="Poppins"/>
                <w:sz w:val="20"/>
                <w:szCs w:val="20"/>
              </w:rPr>
              <w:t>T</w:t>
            </w:r>
            <w:r w:rsidRPr="00A67244">
              <w:rPr>
                <w:rFonts w:ascii="Poppins" w:hAnsi="Poppins" w:cs="Poppins"/>
                <w:sz w:val="20"/>
                <w:szCs w:val="20"/>
              </w:rPr>
              <w:t xml:space="preserve">he </w:t>
            </w:r>
            <w:r w:rsidR="003607F5">
              <w:rPr>
                <w:rFonts w:ascii="Poppins" w:hAnsi="Poppins" w:cs="Poppins"/>
                <w:sz w:val="20"/>
                <w:szCs w:val="20"/>
              </w:rPr>
              <w:t>P</w:t>
            </w:r>
            <w:r w:rsidRPr="00A67244">
              <w:rPr>
                <w:rFonts w:ascii="Poppins" w:hAnsi="Poppins" w:cs="Poppins"/>
                <w:sz w:val="20"/>
                <w:szCs w:val="20"/>
              </w:rPr>
              <w:t>ARCA / IPPARCA Details screen</w:t>
            </w:r>
            <w:r w:rsidR="000117AC">
              <w:rPr>
                <w:rFonts w:ascii="Poppins" w:hAnsi="Poppins" w:cs="Poppins"/>
                <w:sz w:val="20"/>
                <w:szCs w:val="20"/>
              </w:rPr>
              <w:t xml:space="preserve"> was modified</w:t>
            </w:r>
            <w:r w:rsidRPr="00A67244">
              <w:rPr>
                <w:rFonts w:ascii="Poppins" w:hAnsi="Poppins" w:cs="Poppins"/>
                <w:sz w:val="20"/>
                <w:szCs w:val="20"/>
              </w:rPr>
              <w:t xml:space="preserve"> to introduce new parameters (Donor and Recipient locations with Substitution Ratio) to indicate the reserved capacity is for future Substitution.</w:t>
            </w:r>
          </w:p>
          <w:p w14:paraId="5D00764B" w14:textId="2932B8D6" w:rsidR="0044099E" w:rsidRPr="00E94713" w:rsidRDefault="003607F5" w:rsidP="00E94713">
            <w:pPr>
              <w:pStyle w:val="ListParagraph"/>
              <w:numPr>
                <w:ilvl w:val="0"/>
                <w:numId w:val="17"/>
              </w:numPr>
              <w:contextualSpacing w:val="0"/>
              <w:rPr>
                <w:rFonts w:ascii="Poppins" w:eastAsia="Times New Roman" w:hAnsi="Poppins" w:cs="Poppins"/>
                <w:sz w:val="20"/>
                <w:szCs w:val="20"/>
              </w:rPr>
            </w:pPr>
            <w:r>
              <w:rPr>
                <w:rFonts w:ascii="Poppins" w:hAnsi="Poppins" w:cs="Poppins"/>
                <w:sz w:val="20"/>
                <w:szCs w:val="20"/>
              </w:rPr>
              <w:t>The r</w:t>
            </w:r>
            <w:r w:rsidR="000A1610" w:rsidRPr="00A67244">
              <w:rPr>
                <w:rFonts w:ascii="Poppins" w:hAnsi="Poppins" w:cs="Poppins"/>
                <w:sz w:val="20"/>
                <w:szCs w:val="20"/>
              </w:rPr>
              <w:t xml:space="preserve">eport logic </w:t>
            </w:r>
            <w:r>
              <w:rPr>
                <w:rFonts w:ascii="Poppins" w:hAnsi="Poppins" w:cs="Poppins"/>
                <w:sz w:val="20"/>
                <w:szCs w:val="20"/>
              </w:rPr>
              <w:t xml:space="preserve">was </w:t>
            </w:r>
            <w:r w:rsidR="000A1610" w:rsidRPr="00A67244">
              <w:rPr>
                <w:rFonts w:ascii="Poppins" w:hAnsi="Poppins" w:cs="Poppins"/>
                <w:sz w:val="20"/>
                <w:szCs w:val="20"/>
              </w:rPr>
              <w:t>change</w:t>
            </w:r>
            <w:r>
              <w:rPr>
                <w:rFonts w:ascii="Poppins" w:hAnsi="Poppins" w:cs="Poppins"/>
                <w:sz w:val="20"/>
                <w:szCs w:val="20"/>
              </w:rPr>
              <w:t xml:space="preserve">d to </w:t>
            </w:r>
            <w:r w:rsidR="00AD12FF">
              <w:rPr>
                <w:rFonts w:ascii="Poppins" w:hAnsi="Poppins" w:cs="Poppins"/>
                <w:sz w:val="20"/>
                <w:szCs w:val="20"/>
              </w:rPr>
              <w:t>m</w:t>
            </w:r>
            <w:r w:rsidR="000A1610" w:rsidRPr="00A67244">
              <w:rPr>
                <w:rFonts w:ascii="Poppins" w:hAnsi="Poppins" w:cs="Poppins"/>
                <w:sz w:val="20"/>
                <w:szCs w:val="20"/>
              </w:rPr>
              <w:t>odify the LTSR report code logic to apply the -</w:t>
            </w:r>
            <w:proofErr w:type="spellStart"/>
            <w:r w:rsidR="000A1610" w:rsidRPr="00A67244">
              <w:rPr>
                <w:rFonts w:ascii="Poppins" w:hAnsi="Poppins" w:cs="Poppins"/>
                <w:sz w:val="20"/>
                <w:szCs w:val="20"/>
              </w:rPr>
              <w:t>ve</w:t>
            </w:r>
            <w:proofErr w:type="spellEnd"/>
            <w:r w:rsidR="000A1610" w:rsidRPr="00A67244">
              <w:rPr>
                <w:rFonts w:ascii="Poppins" w:hAnsi="Poppins" w:cs="Poppins"/>
                <w:sz w:val="20"/>
                <w:szCs w:val="20"/>
              </w:rPr>
              <w:t xml:space="preserve"> sign for donor locations where capacity is reserved for future Substitution.</w:t>
            </w:r>
          </w:p>
        </w:tc>
      </w:tr>
    </w:tbl>
    <w:tbl>
      <w:tblPr>
        <w:tblStyle w:val="TableGrid1"/>
        <w:tblpPr w:leftFromText="180" w:rightFromText="180" w:vertAnchor="text" w:horzAnchor="page" w:tblpX="987" w:tblpY="419"/>
        <w:tblW w:w="5369" w:type="pct"/>
        <w:tblLayout w:type="fixed"/>
        <w:tblLook w:val="04A0" w:firstRow="1" w:lastRow="0" w:firstColumn="1" w:lastColumn="0" w:noHBand="0" w:noVBand="1"/>
      </w:tblPr>
      <w:tblGrid>
        <w:gridCol w:w="9681"/>
      </w:tblGrid>
      <w:tr w:rsidR="004D063B" w:rsidRPr="00A67244" w14:paraId="1C1866AE" w14:textId="77777777" w:rsidTr="004D063B">
        <w:trPr>
          <w:trHeight w:val="504"/>
        </w:trPr>
        <w:tc>
          <w:tcPr>
            <w:tcW w:w="5000" w:type="pct"/>
            <w:shd w:val="clear" w:color="auto" w:fill="002060"/>
            <w:vAlign w:val="center"/>
          </w:tcPr>
          <w:p w14:paraId="3A20EC5C" w14:textId="77777777" w:rsidR="004D063B" w:rsidRPr="00A67244" w:rsidRDefault="004D063B" w:rsidP="004D063B">
            <w:pPr>
              <w:jc w:val="center"/>
              <w:rPr>
                <w:rFonts w:ascii="Poppins" w:eastAsia="Times New Roman" w:hAnsi="Poppins" w:cs="Poppins"/>
                <w:bCs/>
                <w:color w:val="FFFFFF"/>
                <w:sz w:val="20"/>
                <w:szCs w:val="20"/>
              </w:rPr>
            </w:pPr>
            <w:r w:rsidRPr="00A67244">
              <w:rPr>
                <w:rFonts w:ascii="Poppins" w:eastAsia="Arial" w:hAnsi="Poppins" w:cs="Poppins"/>
                <w:bCs/>
                <w:color w:val="FFFFFF"/>
                <w:sz w:val="20"/>
                <w:szCs w:val="20"/>
                <w:lang w:eastAsia="en-US"/>
              </w:rPr>
              <w:t>Section 4: Detail any changes to the Xoserve Service Description</w:t>
            </w:r>
          </w:p>
        </w:tc>
      </w:tr>
      <w:tr w:rsidR="004D063B" w:rsidRPr="00A67244" w14:paraId="6A83C2A7" w14:textId="77777777" w:rsidTr="004D063B">
        <w:trPr>
          <w:trHeight w:val="279"/>
        </w:trPr>
        <w:tc>
          <w:tcPr>
            <w:tcW w:w="5000" w:type="pct"/>
            <w:shd w:val="clear" w:color="auto" w:fill="auto"/>
          </w:tcPr>
          <w:p w14:paraId="6F27F235" w14:textId="77777777" w:rsidR="004D063B" w:rsidRPr="00A67244" w:rsidRDefault="004D063B" w:rsidP="004D063B">
            <w:pPr>
              <w:jc w:val="center"/>
              <w:rPr>
                <w:rFonts w:ascii="Poppins" w:eastAsia="Times New Roman" w:hAnsi="Poppins" w:cs="Poppins"/>
                <w:bCs/>
                <w:sz w:val="20"/>
                <w:szCs w:val="20"/>
              </w:rPr>
            </w:pPr>
            <w:r w:rsidRPr="00A67244">
              <w:rPr>
                <w:rFonts w:ascii="Poppins" w:eastAsia="Times New Roman" w:hAnsi="Poppins" w:cs="Poppins"/>
                <w:bCs/>
                <w:sz w:val="20"/>
                <w:szCs w:val="20"/>
              </w:rPr>
              <w:lastRenderedPageBreak/>
              <w:t>N/A</w:t>
            </w:r>
          </w:p>
        </w:tc>
      </w:tr>
      <w:tr w:rsidR="004D063B" w:rsidRPr="00A67244" w14:paraId="40A152EE" w14:textId="77777777" w:rsidTr="004D063B">
        <w:trPr>
          <w:trHeight w:val="550"/>
        </w:trPr>
        <w:tc>
          <w:tcPr>
            <w:tcW w:w="5000" w:type="pct"/>
            <w:shd w:val="clear" w:color="auto" w:fill="002060"/>
            <w:vAlign w:val="center"/>
          </w:tcPr>
          <w:p w14:paraId="5BCF73FB" w14:textId="77777777" w:rsidR="004D063B" w:rsidRPr="00A67244" w:rsidRDefault="004D063B" w:rsidP="004D063B">
            <w:pPr>
              <w:jc w:val="center"/>
              <w:rPr>
                <w:rFonts w:ascii="Poppins" w:eastAsia="Times New Roman" w:hAnsi="Poppins" w:cs="Poppins"/>
                <w:bCs/>
                <w:color w:val="FFFFFF"/>
                <w:sz w:val="20"/>
                <w:szCs w:val="20"/>
              </w:rPr>
            </w:pPr>
            <w:r w:rsidRPr="00A67244">
              <w:rPr>
                <w:rFonts w:ascii="Poppins" w:eastAsia="Arial" w:hAnsi="Poppins" w:cs="Poppins"/>
                <w:bCs/>
                <w:color w:val="FFFFFF"/>
                <w:sz w:val="20"/>
                <w:szCs w:val="20"/>
                <w:lang w:eastAsia="en-US"/>
              </w:rPr>
              <w:t>Section 5: Provide details of any revisions to the text of the UK Link Manual</w:t>
            </w:r>
          </w:p>
        </w:tc>
      </w:tr>
      <w:tr w:rsidR="004D063B" w:rsidRPr="00A67244" w14:paraId="32701515" w14:textId="77777777" w:rsidTr="004D063B">
        <w:trPr>
          <w:trHeight w:val="320"/>
        </w:trPr>
        <w:tc>
          <w:tcPr>
            <w:tcW w:w="5000" w:type="pct"/>
            <w:shd w:val="clear" w:color="auto" w:fill="auto"/>
          </w:tcPr>
          <w:p w14:paraId="07F739C6" w14:textId="77777777" w:rsidR="004D063B" w:rsidRPr="00A67244" w:rsidRDefault="004D063B" w:rsidP="004D063B">
            <w:pPr>
              <w:spacing w:line="276" w:lineRule="auto"/>
              <w:contextualSpacing/>
              <w:jc w:val="center"/>
              <w:rPr>
                <w:rFonts w:ascii="Poppins" w:eastAsia="Times New Roman" w:hAnsi="Poppins" w:cs="Poppins"/>
                <w:color w:val="FF0000"/>
                <w:sz w:val="20"/>
                <w:szCs w:val="20"/>
              </w:rPr>
            </w:pPr>
            <w:r w:rsidRPr="00A67244">
              <w:rPr>
                <w:rFonts w:ascii="Poppins" w:eastAsia="Times New Roman" w:hAnsi="Poppins" w:cs="Poppins"/>
                <w:sz w:val="20"/>
                <w:szCs w:val="20"/>
              </w:rPr>
              <w:t>N/A</w:t>
            </w:r>
          </w:p>
        </w:tc>
      </w:tr>
    </w:tbl>
    <w:p w14:paraId="18EF574D" w14:textId="77777777" w:rsidR="000A1610" w:rsidRPr="00A67244" w:rsidRDefault="000A1610" w:rsidP="00EA73B3">
      <w:pPr>
        <w:rPr>
          <w:rFonts w:ascii="Poppins" w:eastAsia="Arial" w:hAnsi="Poppins" w:cs="Poppins"/>
          <w:b/>
          <w:sz w:val="20"/>
          <w:szCs w:val="20"/>
        </w:rPr>
      </w:pPr>
    </w:p>
    <w:p w14:paraId="78B97C88" w14:textId="77777777" w:rsidR="003941AE" w:rsidRPr="00A67244" w:rsidRDefault="003941AE" w:rsidP="002B1516">
      <w:pPr>
        <w:rPr>
          <w:rFonts w:ascii="Poppins" w:hAnsi="Poppins" w:cs="Poppins"/>
          <w:b/>
          <w:color w:val="1D3E61" w:themeColor="text2"/>
          <w:sz w:val="20"/>
          <w:szCs w:val="20"/>
        </w:rPr>
      </w:pPr>
    </w:p>
    <w:p w14:paraId="1C4D359A" w14:textId="21017093" w:rsidR="002B1516" w:rsidRPr="004D063B" w:rsidRDefault="00BF33D3" w:rsidP="004D063B">
      <w:pPr>
        <w:jc w:val="both"/>
        <w:rPr>
          <w:rFonts w:ascii="Poppins" w:hAnsi="Poppins" w:cs="Poppins"/>
          <w:b/>
          <w:color w:val="0070C0"/>
        </w:rPr>
      </w:pPr>
      <w:r w:rsidRPr="004D063B">
        <w:rPr>
          <w:rFonts w:ascii="Poppins" w:hAnsi="Poppins" w:cs="Poppins"/>
          <w:b/>
          <w:color w:val="0070C0"/>
        </w:rPr>
        <w:t xml:space="preserve">Lessons Learned – Recommendations and Positives </w:t>
      </w:r>
    </w:p>
    <w:tbl>
      <w:tblPr>
        <w:tblStyle w:val="TableGrid"/>
        <w:tblW w:w="9853" w:type="dxa"/>
        <w:tblInd w:w="-431" w:type="dxa"/>
        <w:tblLook w:val="01E0" w:firstRow="1" w:lastRow="1" w:firstColumn="1" w:lastColumn="1" w:noHBand="0" w:noVBand="0"/>
      </w:tblPr>
      <w:tblGrid>
        <w:gridCol w:w="4169"/>
        <w:gridCol w:w="2549"/>
        <w:gridCol w:w="3135"/>
      </w:tblGrid>
      <w:tr w:rsidR="002B1516" w:rsidRPr="00A67244" w14:paraId="1A48E6E9" w14:textId="77777777" w:rsidTr="004D063B">
        <w:trPr>
          <w:trHeight w:val="520"/>
        </w:trPr>
        <w:tc>
          <w:tcPr>
            <w:tcW w:w="4169" w:type="dxa"/>
            <w:shd w:val="clear" w:color="auto" w:fill="002060"/>
            <w:vAlign w:val="center"/>
          </w:tcPr>
          <w:p w14:paraId="590E02F3" w14:textId="77777777" w:rsidR="002B1516" w:rsidRPr="00A67244" w:rsidRDefault="002B1516" w:rsidP="00AC249C">
            <w:pPr>
              <w:jc w:val="center"/>
              <w:rPr>
                <w:rFonts w:ascii="Poppins" w:hAnsi="Poppins" w:cs="Poppins"/>
                <w:sz w:val="20"/>
                <w:szCs w:val="20"/>
              </w:rPr>
            </w:pPr>
            <w:r w:rsidRPr="00A67244">
              <w:rPr>
                <w:rFonts w:ascii="Poppins" w:hAnsi="Poppins" w:cs="Poppins"/>
                <w:color w:val="FFFFFF" w:themeColor="background1"/>
                <w:sz w:val="20"/>
                <w:szCs w:val="20"/>
              </w:rPr>
              <w:t>Lesson Learned</w:t>
            </w:r>
          </w:p>
        </w:tc>
        <w:tc>
          <w:tcPr>
            <w:tcW w:w="2549" w:type="dxa"/>
            <w:shd w:val="clear" w:color="auto" w:fill="002060"/>
            <w:vAlign w:val="center"/>
          </w:tcPr>
          <w:p w14:paraId="0994125A" w14:textId="309AFBCB" w:rsidR="002B1516" w:rsidRPr="00A67244" w:rsidRDefault="00733A33" w:rsidP="00AC249C">
            <w:pPr>
              <w:pStyle w:val="TableHeadingSmallLeft"/>
              <w:jc w:val="center"/>
              <w:rPr>
                <w:rFonts w:ascii="Poppins" w:hAnsi="Poppins" w:cs="Poppins"/>
                <w:b w:val="0"/>
                <w:color w:val="FFFFFF" w:themeColor="background1"/>
                <w:szCs w:val="20"/>
              </w:rPr>
            </w:pPr>
            <w:r w:rsidRPr="00A67244">
              <w:rPr>
                <w:rFonts w:ascii="Poppins" w:hAnsi="Poppins" w:cs="Poppins"/>
                <w:b w:val="0"/>
                <w:szCs w:val="20"/>
              </w:rPr>
              <w:t>What could have been done better?</w:t>
            </w:r>
          </w:p>
        </w:tc>
        <w:tc>
          <w:tcPr>
            <w:tcW w:w="3135" w:type="dxa"/>
            <w:shd w:val="clear" w:color="auto" w:fill="002060"/>
            <w:vAlign w:val="center"/>
          </w:tcPr>
          <w:p w14:paraId="1090B3A8" w14:textId="44787534" w:rsidR="002B1516" w:rsidRPr="00A67244" w:rsidRDefault="00733A33" w:rsidP="00AC249C">
            <w:pPr>
              <w:pStyle w:val="TableHeadingSmallLeft"/>
              <w:jc w:val="center"/>
              <w:rPr>
                <w:rFonts w:ascii="Poppins" w:hAnsi="Poppins" w:cs="Poppins"/>
                <w:b w:val="0"/>
                <w:color w:val="FFFFFF" w:themeColor="background1"/>
                <w:szCs w:val="20"/>
              </w:rPr>
            </w:pPr>
            <w:r w:rsidRPr="00A67244">
              <w:rPr>
                <w:rFonts w:ascii="Poppins" w:hAnsi="Poppins" w:cs="Poppins"/>
                <w:b w:val="0"/>
                <w:szCs w:val="20"/>
              </w:rPr>
              <w:t>Recommendation</w:t>
            </w:r>
          </w:p>
        </w:tc>
      </w:tr>
      <w:tr w:rsidR="00733A33" w:rsidRPr="00A67244" w14:paraId="173AC2C1" w14:textId="77777777" w:rsidTr="004D063B">
        <w:tblPrEx>
          <w:tblLook w:val="04A0" w:firstRow="1" w:lastRow="0" w:firstColumn="1" w:lastColumn="0" w:noHBand="0" w:noVBand="1"/>
        </w:tblPrEx>
        <w:trPr>
          <w:trHeight w:val="365"/>
        </w:trPr>
        <w:tc>
          <w:tcPr>
            <w:tcW w:w="4169" w:type="dxa"/>
          </w:tcPr>
          <w:p w14:paraId="79CF38EE" w14:textId="150BABDF" w:rsidR="00733A33" w:rsidRPr="00A67244" w:rsidRDefault="00733A33" w:rsidP="00227464">
            <w:pPr>
              <w:rPr>
                <w:rFonts w:ascii="Poppins" w:eastAsia="Times New Roman" w:hAnsi="Poppins" w:cs="Poppins"/>
                <w:color w:val="000000"/>
                <w:sz w:val="20"/>
                <w:szCs w:val="20"/>
              </w:rPr>
            </w:pPr>
            <w:r w:rsidRPr="00A67244">
              <w:rPr>
                <w:rFonts w:ascii="Poppins" w:hAnsi="Poppins" w:cs="Poppins"/>
                <w:sz w:val="20"/>
                <w:szCs w:val="20"/>
              </w:rPr>
              <w:t>Scheduling walkthroughs for approvals at the end of the day and not giving the session enough space and time puts pressure on people to just approve rather than question when there are concerns as they are conscious of the time</w:t>
            </w:r>
          </w:p>
        </w:tc>
        <w:tc>
          <w:tcPr>
            <w:tcW w:w="2549" w:type="dxa"/>
          </w:tcPr>
          <w:p w14:paraId="1DC7FCD2" w14:textId="7BCD4A00" w:rsidR="00733A33" w:rsidRPr="00A67244" w:rsidRDefault="00733A33" w:rsidP="00227464">
            <w:pPr>
              <w:rPr>
                <w:rFonts w:ascii="Poppins" w:hAnsi="Poppins" w:cs="Poppins"/>
                <w:color w:val="000000"/>
                <w:sz w:val="20"/>
                <w:szCs w:val="20"/>
              </w:rPr>
            </w:pPr>
            <w:r w:rsidRPr="00A67244">
              <w:rPr>
                <w:rFonts w:ascii="Poppins" w:hAnsi="Poppins" w:cs="Poppins"/>
                <w:sz w:val="20"/>
                <w:szCs w:val="20"/>
              </w:rPr>
              <w:t xml:space="preserve">Schedule the walkthroughs for earlier in the day which gives time for questions </w:t>
            </w:r>
            <w:proofErr w:type="gramStart"/>
            <w:r w:rsidRPr="00A67244">
              <w:rPr>
                <w:rFonts w:ascii="Poppins" w:hAnsi="Poppins" w:cs="Poppins"/>
                <w:sz w:val="20"/>
                <w:szCs w:val="20"/>
              </w:rPr>
              <w:t>and also</w:t>
            </w:r>
            <w:proofErr w:type="gramEnd"/>
            <w:r w:rsidRPr="00A67244">
              <w:rPr>
                <w:rFonts w:ascii="Poppins" w:hAnsi="Poppins" w:cs="Poppins"/>
                <w:sz w:val="20"/>
                <w:szCs w:val="20"/>
              </w:rPr>
              <w:t xml:space="preserve"> any work to be done within day to get a resolution to any concerns</w:t>
            </w:r>
          </w:p>
        </w:tc>
        <w:tc>
          <w:tcPr>
            <w:tcW w:w="3135" w:type="dxa"/>
          </w:tcPr>
          <w:p w14:paraId="1C3ACF98" w14:textId="0D9CD77E" w:rsidR="00733A33" w:rsidRPr="00A67244" w:rsidRDefault="00733A33" w:rsidP="00227464">
            <w:pPr>
              <w:rPr>
                <w:rFonts w:ascii="Poppins" w:eastAsia="Times New Roman" w:hAnsi="Poppins" w:cs="Poppins"/>
                <w:color w:val="000000"/>
                <w:sz w:val="20"/>
                <w:szCs w:val="20"/>
              </w:rPr>
            </w:pPr>
            <w:r w:rsidRPr="00A67244">
              <w:rPr>
                <w:rFonts w:ascii="Poppins" w:hAnsi="Poppins" w:cs="Poppins"/>
                <w:sz w:val="20"/>
                <w:szCs w:val="20"/>
              </w:rPr>
              <w:t>Future workshops scheduled in the morning rather in the afternoon going forward. Placeholders would be helpful going forward, to support decision making</w:t>
            </w:r>
          </w:p>
        </w:tc>
      </w:tr>
    </w:tbl>
    <w:p w14:paraId="61F80116" w14:textId="77777777" w:rsidR="00AC24DD" w:rsidRPr="00A67244" w:rsidRDefault="00AC24DD" w:rsidP="00901F3C">
      <w:pPr>
        <w:rPr>
          <w:rFonts w:ascii="Poppins" w:hAnsi="Poppins" w:cs="Poppins"/>
          <w:b/>
          <w:color w:val="1D3E61" w:themeColor="text2"/>
          <w:sz w:val="20"/>
          <w:szCs w:val="20"/>
        </w:rPr>
      </w:pPr>
    </w:p>
    <w:tbl>
      <w:tblPr>
        <w:tblStyle w:val="TableGrid"/>
        <w:tblW w:w="9960" w:type="dxa"/>
        <w:tblInd w:w="-431" w:type="dxa"/>
        <w:tblLook w:val="01E0" w:firstRow="1" w:lastRow="1" w:firstColumn="1" w:lastColumn="1" w:noHBand="0" w:noVBand="0"/>
      </w:tblPr>
      <w:tblGrid>
        <w:gridCol w:w="4382"/>
        <w:gridCol w:w="5578"/>
      </w:tblGrid>
      <w:tr w:rsidR="0051176D" w:rsidRPr="00A67244" w14:paraId="73A4F163" w14:textId="77777777" w:rsidTr="00733A33">
        <w:trPr>
          <w:trHeight w:val="551"/>
        </w:trPr>
        <w:tc>
          <w:tcPr>
            <w:tcW w:w="4382" w:type="dxa"/>
            <w:shd w:val="clear" w:color="auto" w:fill="002060"/>
            <w:vAlign w:val="center"/>
          </w:tcPr>
          <w:p w14:paraId="77C00C29" w14:textId="77777777" w:rsidR="0051176D" w:rsidRPr="00A67244" w:rsidRDefault="0051176D" w:rsidP="00AC249C">
            <w:pPr>
              <w:jc w:val="center"/>
              <w:rPr>
                <w:rFonts w:ascii="Poppins" w:hAnsi="Poppins" w:cs="Poppins"/>
                <w:bCs/>
                <w:color w:val="FFFFFF" w:themeColor="background1"/>
                <w:sz w:val="20"/>
                <w:szCs w:val="20"/>
              </w:rPr>
            </w:pPr>
            <w:r w:rsidRPr="00A67244">
              <w:rPr>
                <w:rFonts w:ascii="Poppins" w:hAnsi="Poppins" w:cs="Poppins"/>
                <w:bCs/>
                <w:color w:val="FFFFFF" w:themeColor="background1"/>
                <w:sz w:val="20"/>
                <w:szCs w:val="20"/>
              </w:rPr>
              <w:t>Lesson Learned</w:t>
            </w:r>
          </w:p>
        </w:tc>
        <w:tc>
          <w:tcPr>
            <w:tcW w:w="5578" w:type="dxa"/>
            <w:shd w:val="clear" w:color="auto" w:fill="002060"/>
            <w:vAlign w:val="center"/>
          </w:tcPr>
          <w:p w14:paraId="1D9F8A75" w14:textId="51534780" w:rsidR="0051176D" w:rsidRPr="00A67244" w:rsidRDefault="0051176D" w:rsidP="003941AE">
            <w:pPr>
              <w:pStyle w:val="TableHeadingSmallLeft"/>
              <w:jc w:val="center"/>
              <w:rPr>
                <w:rFonts w:ascii="Poppins" w:eastAsiaTheme="minorEastAsia" w:hAnsi="Poppins" w:cs="Poppins"/>
                <w:b w:val="0"/>
                <w:bCs/>
                <w:color w:val="FFFFFF" w:themeColor="background1"/>
                <w:szCs w:val="20"/>
              </w:rPr>
            </w:pPr>
            <w:r w:rsidRPr="00A67244">
              <w:rPr>
                <w:rFonts w:ascii="Poppins" w:eastAsiaTheme="minorEastAsia" w:hAnsi="Poppins" w:cs="Poppins"/>
                <w:b w:val="0"/>
                <w:bCs/>
                <w:color w:val="FFFFFF" w:themeColor="background1"/>
                <w:szCs w:val="20"/>
              </w:rPr>
              <w:t>Positives</w:t>
            </w:r>
          </w:p>
        </w:tc>
      </w:tr>
      <w:tr w:rsidR="0051176D" w:rsidRPr="00A67244" w14:paraId="3EC672AE" w14:textId="77777777" w:rsidTr="00733A33">
        <w:tblPrEx>
          <w:tblLook w:val="04A0" w:firstRow="1" w:lastRow="0" w:firstColumn="1" w:lastColumn="0" w:noHBand="0" w:noVBand="1"/>
        </w:tblPrEx>
        <w:trPr>
          <w:trHeight w:val="344"/>
        </w:trPr>
        <w:tc>
          <w:tcPr>
            <w:tcW w:w="4382" w:type="dxa"/>
          </w:tcPr>
          <w:p w14:paraId="19CD547C" w14:textId="673488EE" w:rsidR="0051176D" w:rsidRPr="00A67244" w:rsidRDefault="0051176D" w:rsidP="00AC249C">
            <w:pPr>
              <w:rPr>
                <w:rFonts w:ascii="Poppins" w:eastAsia="Times New Roman" w:hAnsi="Poppins" w:cs="Poppins"/>
                <w:color w:val="000000"/>
                <w:sz w:val="20"/>
                <w:szCs w:val="20"/>
              </w:rPr>
            </w:pPr>
            <w:r w:rsidRPr="00A67244">
              <w:rPr>
                <w:rFonts w:ascii="Poppins" w:hAnsi="Poppins" w:cs="Poppins"/>
                <w:sz w:val="20"/>
                <w:szCs w:val="20"/>
              </w:rPr>
              <w:t>Everyone involved in project from start to finish respected the opinion of others and walked through any issues taking onboard all concerns and came to resolution</w:t>
            </w:r>
          </w:p>
        </w:tc>
        <w:tc>
          <w:tcPr>
            <w:tcW w:w="5578" w:type="dxa"/>
          </w:tcPr>
          <w:p w14:paraId="5C70C973" w14:textId="35BD825C" w:rsidR="0051176D" w:rsidRPr="00A67244" w:rsidRDefault="0051176D" w:rsidP="00AC249C">
            <w:pPr>
              <w:rPr>
                <w:rFonts w:ascii="Poppins" w:eastAsia="Times New Roman" w:hAnsi="Poppins" w:cs="Poppins"/>
                <w:color w:val="000000"/>
                <w:sz w:val="20"/>
                <w:szCs w:val="20"/>
              </w:rPr>
            </w:pPr>
            <w:r w:rsidRPr="00A67244">
              <w:rPr>
                <w:rFonts w:ascii="Poppins" w:hAnsi="Poppins" w:cs="Poppins"/>
                <w:sz w:val="20"/>
                <w:szCs w:val="20"/>
              </w:rPr>
              <w:t>Continue to develop that relationship between teams and help others coming onboard to understand how work together. Some more face to face meetings where possible will help develop this further</w:t>
            </w:r>
          </w:p>
        </w:tc>
      </w:tr>
    </w:tbl>
    <w:p w14:paraId="677100D4" w14:textId="77777777" w:rsidR="007101D8" w:rsidRPr="00A67244" w:rsidRDefault="007101D8" w:rsidP="00EA73B3">
      <w:pPr>
        <w:rPr>
          <w:rFonts w:ascii="Poppins" w:eastAsia="Arial" w:hAnsi="Poppins" w:cs="Poppins"/>
          <w:b/>
          <w:sz w:val="20"/>
          <w:szCs w:val="20"/>
        </w:rPr>
      </w:pPr>
    </w:p>
    <w:p w14:paraId="16BFE240" w14:textId="1BDF7AA6" w:rsidR="00BD396D" w:rsidRPr="00A67244" w:rsidRDefault="00EA73B3" w:rsidP="00EA73B3">
      <w:pPr>
        <w:rPr>
          <w:rFonts w:ascii="Poppins" w:eastAsia="Arial" w:hAnsi="Poppins" w:cs="Poppins"/>
          <w:b/>
          <w:color w:val="D2232A"/>
          <w:sz w:val="20"/>
          <w:szCs w:val="20"/>
          <w:u w:val="single"/>
        </w:rPr>
      </w:pPr>
      <w:r w:rsidRPr="00A67244">
        <w:rPr>
          <w:rFonts w:ascii="Poppins" w:eastAsia="Arial" w:hAnsi="Poppins" w:cs="Poppins"/>
          <w:b/>
          <w:sz w:val="20"/>
          <w:szCs w:val="20"/>
        </w:rPr>
        <w:t xml:space="preserve">Please send completed form to: </w:t>
      </w:r>
      <w:hyperlink r:id="rId12" w:history="1">
        <w:r w:rsidRPr="00A67244">
          <w:rPr>
            <w:rFonts w:ascii="Poppins" w:eastAsia="Arial" w:hAnsi="Poppins" w:cs="Poppins"/>
            <w:b/>
            <w:color w:val="D2232A"/>
            <w:sz w:val="20"/>
            <w:szCs w:val="20"/>
            <w:u w:val="single"/>
          </w:rPr>
          <w:t>box.xoserve.portfoliooffice@xoserve.com</w:t>
        </w:r>
      </w:hyperlink>
    </w:p>
    <w:p w14:paraId="0AF2244E" w14:textId="569F43EF" w:rsidR="00EA73B3" w:rsidRPr="00A67244" w:rsidRDefault="00EA73B3" w:rsidP="00EA73B3">
      <w:pPr>
        <w:rPr>
          <w:rFonts w:ascii="Poppins" w:eastAsia="Arial" w:hAnsi="Poppins" w:cs="Poppins"/>
          <w:b/>
          <w:sz w:val="20"/>
          <w:szCs w:val="20"/>
        </w:rPr>
      </w:pPr>
      <w:r w:rsidRPr="00A67244">
        <w:rPr>
          <w:rFonts w:ascii="Poppins" w:eastAsia="Arial" w:hAnsi="Poppins" w:cs="Poppins"/>
          <w:b/>
          <w:sz w:val="20"/>
          <w:szCs w:val="20"/>
        </w:rPr>
        <w:t>Document Version History</w:t>
      </w:r>
    </w:p>
    <w:tbl>
      <w:tblPr>
        <w:tblStyle w:val="TableGrid1"/>
        <w:tblW w:w="5582" w:type="pct"/>
        <w:tblInd w:w="-431" w:type="dxa"/>
        <w:tblLook w:val="04A0" w:firstRow="1" w:lastRow="0" w:firstColumn="1" w:lastColumn="0" w:noHBand="0" w:noVBand="1"/>
      </w:tblPr>
      <w:tblGrid>
        <w:gridCol w:w="1818"/>
        <w:gridCol w:w="1711"/>
        <w:gridCol w:w="1135"/>
        <w:gridCol w:w="1558"/>
        <w:gridCol w:w="3843"/>
      </w:tblGrid>
      <w:tr w:rsidR="003A59D0" w:rsidRPr="00A67244" w14:paraId="3208E80C" w14:textId="77777777" w:rsidTr="0051056D">
        <w:trPr>
          <w:trHeight w:val="523"/>
        </w:trPr>
        <w:tc>
          <w:tcPr>
            <w:tcW w:w="903" w:type="pct"/>
            <w:shd w:val="clear" w:color="auto" w:fill="D6DCF0" w:themeFill="accent1" w:themeFillTint="33"/>
            <w:vAlign w:val="center"/>
          </w:tcPr>
          <w:p w14:paraId="0667806F" w14:textId="77777777" w:rsidR="00EA73B3" w:rsidRPr="00A67244" w:rsidRDefault="00EA73B3" w:rsidP="00EA73B3">
            <w:pPr>
              <w:jc w:val="center"/>
              <w:rPr>
                <w:rFonts w:ascii="Poppins" w:eastAsia="Times New Roman" w:hAnsi="Poppins" w:cs="Poppins"/>
                <w:b/>
                <w:sz w:val="20"/>
                <w:szCs w:val="20"/>
              </w:rPr>
            </w:pPr>
            <w:r w:rsidRPr="00A67244">
              <w:rPr>
                <w:rFonts w:ascii="Poppins" w:eastAsia="Times New Roman" w:hAnsi="Poppins" w:cs="Poppins"/>
                <w:b/>
                <w:sz w:val="20"/>
                <w:szCs w:val="20"/>
              </w:rPr>
              <w:t>Version</w:t>
            </w:r>
          </w:p>
        </w:tc>
        <w:tc>
          <w:tcPr>
            <w:tcW w:w="850" w:type="pct"/>
            <w:shd w:val="clear" w:color="auto" w:fill="D6DCF0" w:themeFill="accent1" w:themeFillTint="33"/>
            <w:vAlign w:val="center"/>
          </w:tcPr>
          <w:p w14:paraId="4BB6D7BD" w14:textId="77777777" w:rsidR="00EA73B3" w:rsidRPr="00A67244" w:rsidRDefault="00EA73B3" w:rsidP="00EA73B3">
            <w:pPr>
              <w:jc w:val="center"/>
              <w:rPr>
                <w:rFonts w:ascii="Poppins" w:eastAsia="Times New Roman" w:hAnsi="Poppins" w:cs="Poppins"/>
                <w:b/>
                <w:sz w:val="20"/>
                <w:szCs w:val="20"/>
              </w:rPr>
            </w:pPr>
            <w:r w:rsidRPr="00A67244">
              <w:rPr>
                <w:rFonts w:ascii="Poppins" w:eastAsia="Times New Roman" w:hAnsi="Poppins" w:cs="Poppins"/>
                <w:b/>
                <w:sz w:val="20"/>
                <w:szCs w:val="20"/>
              </w:rPr>
              <w:t>Status</w:t>
            </w:r>
          </w:p>
        </w:tc>
        <w:tc>
          <w:tcPr>
            <w:tcW w:w="564" w:type="pct"/>
            <w:shd w:val="clear" w:color="auto" w:fill="D6DCF0" w:themeFill="accent1" w:themeFillTint="33"/>
            <w:vAlign w:val="center"/>
          </w:tcPr>
          <w:p w14:paraId="407F4BCC" w14:textId="77777777" w:rsidR="00EA73B3" w:rsidRPr="00A67244" w:rsidRDefault="00EA73B3" w:rsidP="00EA73B3">
            <w:pPr>
              <w:jc w:val="center"/>
              <w:rPr>
                <w:rFonts w:ascii="Poppins" w:eastAsia="Times New Roman" w:hAnsi="Poppins" w:cs="Poppins"/>
                <w:b/>
                <w:sz w:val="20"/>
                <w:szCs w:val="20"/>
              </w:rPr>
            </w:pPr>
            <w:r w:rsidRPr="00A67244">
              <w:rPr>
                <w:rFonts w:ascii="Poppins" w:eastAsia="Times New Roman" w:hAnsi="Poppins" w:cs="Poppins"/>
                <w:b/>
                <w:sz w:val="20"/>
                <w:szCs w:val="20"/>
              </w:rPr>
              <w:t>Date</w:t>
            </w:r>
          </w:p>
        </w:tc>
        <w:tc>
          <w:tcPr>
            <w:tcW w:w="774" w:type="pct"/>
            <w:shd w:val="clear" w:color="auto" w:fill="D6DCF0" w:themeFill="accent1" w:themeFillTint="33"/>
            <w:vAlign w:val="center"/>
          </w:tcPr>
          <w:p w14:paraId="6E8BB7C2" w14:textId="77777777" w:rsidR="00EA73B3" w:rsidRPr="00A67244" w:rsidRDefault="00EA73B3" w:rsidP="00EA73B3">
            <w:pPr>
              <w:jc w:val="center"/>
              <w:rPr>
                <w:rFonts w:ascii="Poppins" w:eastAsia="Times New Roman" w:hAnsi="Poppins" w:cs="Poppins"/>
                <w:b/>
                <w:sz w:val="20"/>
                <w:szCs w:val="20"/>
              </w:rPr>
            </w:pPr>
            <w:r w:rsidRPr="00A67244">
              <w:rPr>
                <w:rFonts w:ascii="Poppins" w:eastAsia="Times New Roman" w:hAnsi="Poppins" w:cs="Poppins"/>
                <w:b/>
                <w:sz w:val="20"/>
                <w:szCs w:val="20"/>
              </w:rPr>
              <w:t>Author(s)</w:t>
            </w:r>
          </w:p>
        </w:tc>
        <w:tc>
          <w:tcPr>
            <w:tcW w:w="1909" w:type="pct"/>
            <w:shd w:val="clear" w:color="auto" w:fill="D6DCF0" w:themeFill="accent1" w:themeFillTint="33"/>
            <w:vAlign w:val="center"/>
          </w:tcPr>
          <w:p w14:paraId="011587D7" w14:textId="77777777" w:rsidR="00EA73B3" w:rsidRPr="00A67244" w:rsidRDefault="00EA73B3" w:rsidP="00EA73B3">
            <w:pPr>
              <w:jc w:val="center"/>
              <w:rPr>
                <w:rFonts w:ascii="Poppins" w:eastAsia="Times New Roman" w:hAnsi="Poppins" w:cs="Poppins"/>
                <w:b/>
                <w:sz w:val="20"/>
                <w:szCs w:val="20"/>
              </w:rPr>
            </w:pPr>
            <w:r w:rsidRPr="00A67244">
              <w:rPr>
                <w:rFonts w:ascii="Poppins" w:eastAsia="Times New Roman" w:hAnsi="Poppins" w:cs="Poppins"/>
                <w:b/>
                <w:sz w:val="20"/>
                <w:szCs w:val="20"/>
              </w:rPr>
              <w:t>Summary of Changes</w:t>
            </w:r>
          </w:p>
        </w:tc>
      </w:tr>
      <w:tr w:rsidR="003A59D0" w:rsidRPr="00A67244" w14:paraId="622CB1EF" w14:textId="77777777" w:rsidTr="0051056D">
        <w:trPr>
          <w:trHeight w:val="647"/>
        </w:trPr>
        <w:tc>
          <w:tcPr>
            <w:tcW w:w="903" w:type="pct"/>
          </w:tcPr>
          <w:p w14:paraId="1ABADCE5" w14:textId="4D6F023A" w:rsidR="00EA73B3" w:rsidRPr="00A67244" w:rsidRDefault="0A57A144" w:rsidP="0A57A144">
            <w:pPr>
              <w:jc w:val="center"/>
              <w:rPr>
                <w:rFonts w:ascii="Poppins" w:eastAsia="Times New Roman" w:hAnsi="Poppins" w:cs="Poppins"/>
                <w:sz w:val="20"/>
                <w:szCs w:val="20"/>
              </w:rPr>
            </w:pPr>
            <w:r w:rsidRPr="00A67244">
              <w:rPr>
                <w:rFonts w:ascii="Poppins" w:eastAsia="Times New Roman" w:hAnsi="Poppins" w:cs="Poppins"/>
                <w:sz w:val="20"/>
                <w:szCs w:val="20"/>
              </w:rPr>
              <w:t>0.1</w:t>
            </w:r>
          </w:p>
        </w:tc>
        <w:tc>
          <w:tcPr>
            <w:tcW w:w="850" w:type="pct"/>
          </w:tcPr>
          <w:p w14:paraId="0DB8F594" w14:textId="76C74789" w:rsidR="00EA73B3" w:rsidRPr="00A67244" w:rsidRDefault="00983BCE" w:rsidP="0A57A144">
            <w:pPr>
              <w:jc w:val="center"/>
              <w:rPr>
                <w:rFonts w:ascii="Poppins" w:eastAsia="Times New Roman" w:hAnsi="Poppins" w:cs="Poppins"/>
                <w:sz w:val="20"/>
                <w:szCs w:val="20"/>
              </w:rPr>
            </w:pPr>
            <w:r w:rsidRPr="00A67244">
              <w:rPr>
                <w:rFonts w:ascii="Poppins" w:eastAsia="Times New Roman" w:hAnsi="Poppins" w:cs="Poppins"/>
                <w:sz w:val="20"/>
                <w:szCs w:val="20"/>
              </w:rPr>
              <w:t>For Review</w:t>
            </w:r>
          </w:p>
        </w:tc>
        <w:tc>
          <w:tcPr>
            <w:tcW w:w="564" w:type="pct"/>
          </w:tcPr>
          <w:p w14:paraId="0BB1E953" w14:textId="41AD7269" w:rsidR="00EA73B3" w:rsidRPr="00A67244" w:rsidRDefault="00983BCE" w:rsidP="0A57A144">
            <w:pPr>
              <w:jc w:val="center"/>
              <w:rPr>
                <w:rFonts w:ascii="Poppins" w:eastAsia="Times New Roman" w:hAnsi="Poppins" w:cs="Poppins"/>
                <w:sz w:val="20"/>
                <w:szCs w:val="20"/>
              </w:rPr>
            </w:pPr>
            <w:r w:rsidRPr="00A67244">
              <w:rPr>
                <w:rFonts w:ascii="Poppins" w:eastAsia="Times New Roman" w:hAnsi="Poppins" w:cs="Poppins"/>
                <w:sz w:val="20"/>
                <w:szCs w:val="20"/>
              </w:rPr>
              <w:t>18/07/22</w:t>
            </w:r>
          </w:p>
        </w:tc>
        <w:tc>
          <w:tcPr>
            <w:tcW w:w="774" w:type="pct"/>
          </w:tcPr>
          <w:p w14:paraId="4350D9F9" w14:textId="1B223CA7" w:rsidR="00EA73B3" w:rsidRPr="00A67244" w:rsidRDefault="00983BCE" w:rsidP="0A57A144">
            <w:pPr>
              <w:jc w:val="center"/>
              <w:rPr>
                <w:rFonts w:ascii="Poppins" w:eastAsia="Times New Roman" w:hAnsi="Poppins" w:cs="Poppins"/>
                <w:sz w:val="20"/>
                <w:szCs w:val="20"/>
              </w:rPr>
            </w:pPr>
            <w:r w:rsidRPr="00A67244">
              <w:rPr>
                <w:rFonts w:ascii="Poppins" w:eastAsia="Times New Roman" w:hAnsi="Poppins" w:cs="Poppins"/>
                <w:sz w:val="20"/>
                <w:szCs w:val="20"/>
              </w:rPr>
              <w:t>Nicola Blakey</w:t>
            </w:r>
          </w:p>
        </w:tc>
        <w:tc>
          <w:tcPr>
            <w:tcW w:w="1909" w:type="pct"/>
          </w:tcPr>
          <w:p w14:paraId="0FC70C39" w14:textId="286EA5CC" w:rsidR="00EA73B3" w:rsidRPr="00A67244" w:rsidRDefault="00983BCE" w:rsidP="0A57A144">
            <w:pPr>
              <w:jc w:val="center"/>
              <w:rPr>
                <w:rFonts w:ascii="Poppins" w:eastAsia="Times New Roman" w:hAnsi="Poppins" w:cs="Poppins"/>
                <w:sz w:val="20"/>
                <w:szCs w:val="20"/>
              </w:rPr>
            </w:pPr>
            <w:r w:rsidRPr="00A67244">
              <w:rPr>
                <w:rFonts w:ascii="Poppins" w:eastAsia="Times New Roman" w:hAnsi="Poppins" w:cs="Poppins"/>
                <w:sz w:val="20"/>
                <w:szCs w:val="20"/>
              </w:rPr>
              <w:t xml:space="preserve">Font Size </w:t>
            </w:r>
          </w:p>
        </w:tc>
      </w:tr>
      <w:tr w:rsidR="00BF33D3" w:rsidRPr="00A67244" w14:paraId="1D518459" w14:textId="77777777" w:rsidTr="0051056D">
        <w:trPr>
          <w:trHeight w:val="970"/>
        </w:trPr>
        <w:tc>
          <w:tcPr>
            <w:tcW w:w="903" w:type="pct"/>
          </w:tcPr>
          <w:p w14:paraId="0A234979" w14:textId="0E266232" w:rsidR="00BF33D3" w:rsidRPr="00A67244" w:rsidRDefault="006244E8" w:rsidP="00BF33D3">
            <w:pPr>
              <w:jc w:val="center"/>
              <w:rPr>
                <w:rFonts w:ascii="Poppins" w:eastAsia="Times New Roman" w:hAnsi="Poppins" w:cs="Poppins"/>
                <w:sz w:val="20"/>
                <w:szCs w:val="20"/>
              </w:rPr>
            </w:pPr>
            <w:r>
              <w:rPr>
                <w:rFonts w:ascii="Poppins" w:eastAsia="Times New Roman" w:hAnsi="Poppins" w:cs="Poppins"/>
                <w:sz w:val="20"/>
                <w:szCs w:val="20"/>
              </w:rPr>
              <w:t>0.2</w:t>
            </w:r>
          </w:p>
        </w:tc>
        <w:tc>
          <w:tcPr>
            <w:tcW w:w="850" w:type="pct"/>
          </w:tcPr>
          <w:p w14:paraId="06C66F57" w14:textId="48D47351" w:rsidR="00BF33D3" w:rsidRPr="00A67244" w:rsidRDefault="00BF33D3" w:rsidP="00BF33D3">
            <w:pPr>
              <w:jc w:val="center"/>
              <w:rPr>
                <w:rFonts w:ascii="Poppins" w:eastAsia="Times New Roman" w:hAnsi="Poppins" w:cs="Poppins"/>
                <w:sz w:val="20"/>
                <w:szCs w:val="20"/>
              </w:rPr>
            </w:pPr>
            <w:r w:rsidRPr="00A67244">
              <w:rPr>
                <w:rFonts w:ascii="Poppins" w:eastAsia="Times New Roman" w:hAnsi="Poppins" w:cs="Poppins"/>
                <w:sz w:val="20"/>
                <w:szCs w:val="20"/>
              </w:rPr>
              <w:t>For Review</w:t>
            </w:r>
          </w:p>
        </w:tc>
        <w:tc>
          <w:tcPr>
            <w:tcW w:w="564" w:type="pct"/>
          </w:tcPr>
          <w:p w14:paraId="05AA21EB" w14:textId="6C53503E" w:rsidR="00BF33D3" w:rsidRPr="00A67244" w:rsidRDefault="00C60191" w:rsidP="00BF33D3">
            <w:pPr>
              <w:jc w:val="center"/>
              <w:rPr>
                <w:rFonts w:ascii="Poppins" w:eastAsia="Times New Roman" w:hAnsi="Poppins" w:cs="Poppins"/>
                <w:sz w:val="20"/>
                <w:szCs w:val="20"/>
              </w:rPr>
            </w:pPr>
            <w:r>
              <w:rPr>
                <w:rFonts w:ascii="Poppins" w:eastAsia="Times New Roman" w:hAnsi="Poppins" w:cs="Poppins"/>
                <w:sz w:val="20"/>
                <w:szCs w:val="20"/>
              </w:rPr>
              <w:t>16/01/23</w:t>
            </w:r>
          </w:p>
        </w:tc>
        <w:tc>
          <w:tcPr>
            <w:tcW w:w="774" w:type="pct"/>
          </w:tcPr>
          <w:p w14:paraId="6AE3E885" w14:textId="7ECA06B9" w:rsidR="00BF33D3" w:rsidRPr="00A67244" w:rsidRDefault="00BF33D3" w:rsidP="00BF33D3">
            <w:pPr>
              <w:jc w:val="center"/>
              <w:rPr>
                <w:rFonts w:ascii="Poppins" w:eastAsia="Times New Roman" w:hAnsi="Poppins" w:cs="Poppins"/>
                <w:sz w:val="20"/>
                <w:szCs w:val="20"/>
              </w:rPr>
            </w:pPr>
            <w:r w:rsidRPr="00A67244">
              <w:rPr>
                <w:rFonts w:ascii="Poppins" w:eastAsia="Times New Roman" w:hAnsi="Poppins" w:cs="Poppins"/>
                <w:sz w:val="20"/>
                <w:szCs w:val="20"/>
              </w:rPr>
              <w:t>Nicola Blakey</w:t>
            </w:r>
          </w:p>
        </w:tc>
        <w:tc>
          <w:tcPr>
            <w:tcW w:w="1909" w:type="pct"/>
          </w:tcPr>
          <w:p w14:paraId="445C2057" w14:textId="5C7BB895" w:rsidR="00BF33D3" w:rsidRPr="00A67244" w:rsidRDefault="001F3E23" w:rsidP="00BF33D3">
            <w:pPr>
              <w:jc w:val="center"/>
              <w:rPr>
                <w:rFonts w:ascii="Poppins" w:eastAsia="Times New Roman" w:hAnsi="Poppins" w:cs="Poppins"/>
                <w:sz w:val="20"/>
                <w:szCs w:val="20"/>
              </w:rPr>
            </w:pPr>
            <w:r>
              <w:rPr>
                <w:rFonts w:ascii="Poppins" w:eastAsia="Times New Roman" w:hAnsi="Poppins" w:cs="Poppins"/>
                <w:sz w:val="20"/>
                <w:szCs w:val="20"/>
              </w:rPr>
              <w:t>Re-formatting and</w:t>
            </w:r>
            <w:r w:rsidR="00C60191">
              <w:rPr>
                <w:rFonts w:ascii="Poppins" w:eastAsia="Times New Roman" w:hAnsi="Poppins" w:cs="Poppins"/>
                <w:sz w:val="20"/>
                <w:szCs w:val="20"/>
              </w:rPr>
              <w:t xml:space="preserve"> amending the Change Variation table to reflect CV’s </w:t>
            </w:r>
            <w:r w:rsidR="00C60191" w:rsidRPr="00C60191">
              <w:rPr>
                <w:rFonts w:ascii="Poppins" w:hAnsi="Poppins" w:cs="Poppins"/>
                <w:sz w:val="20"/>
                <w:szCs w:val="20"/>
              </w:rPr>
              <w:t>Implemented</w:t>
            </w:r>
            <w:r w:rsidR="00C60191" w:rsidRPr="00C60191">
              <w:rPr>
                <w:rFonts w:ascii="Poppins" w:eastAsia="Times New Roman" w:hAnsi="Poppins" w:cs="Poppins"/>
                <w:sz w:val="20"/>
                <w:szCs w:val="20"/>
              </w:rPr>
              <w:t xml:space="preserve"> only</w:t>
            </w:r>
            <w:r w:rsidR="00C60191">
              <w:rPr>
                <w:rFonts w:ascii="Poppins" w:eastAsia="Times New Roman" w:hAnsi="Poppins" w:cs="Poppins"/>
                <w:sz w:val="20"/>
                <w:szCs w:val="20"/>
              </w:rPr>
              <w:t xml:space="preserve"> </w:t>
            </w:r>
          </w:p>
        </w:tc>
      </w:tr>
      <w:tr w:rsidR="00AB20B7" w:rsidRPr="00A67244" w14:paraId="5C2D36FD" w14:textId="77777777" w:rsidTr="0051056D">
        <w:trPr>
          <w:trHeight w:val="970"/>
        </w:trPr>
        <w:tc>
          <w:tcPr>
            <w:tcW w:w="903" w:type="pct"/>
          </w:tcPr>
          <w:p w14:paraId="3D0EA76B" w14:textId="2E0E6ADD" w:rsidR="00AB20B7" w:rsidRDefault="00AB20B7" w:rsidP="00BF33D3">
            <w:pPr>
              <w:jc w:val="center"/>
              <w:rPr>
                <w:rFonts w:ascii="Poppins" w:eastAsia="Times New Roman" w:hAnsi="Poppins" w:cs="Poppins"/>
                <w:sz w:val="20"/>
                <w:szCs w:val="20"/>
              </w:rPr>
            </w:pPr>
            <w:r>
              <w:rPr>
                <w:rFonts w:ascii="Poppins" w:eastAsia="Times New Roman" w:hAnsi="Poppins" w:cs="Poppins"/>
                <w:sz w:val="20"/>
                <w:szCs w:val="20"/>
              </w:rPr>
              <w:t>0.3</w:t>
            </w:r>
          </w:p>
        </w:tc>
        <w:tc>
          <w:tcPr>
            <w:tcW w:w="850" w:type="pct"/>
          </w:tcPr>
          <w:p w14:paraId="763997D3" w14:textId="41FDD2B8" w:rsidR="00AB20B7" w:rsidRPr="00A67244" w:rsidRDefault="00AB20B7" w:rsidP="00BF33D3">
            <w:pPr>
              <w:jc w:val="center"/>
              <w:rPr>
                <w:rFonts w:ascii="Poppins" w:eastAsia="Times New Roman" w:hAnsi="Poppins" w:cs="Poppins"/>
                <w:sz w:val="20"/>
                <w:szCs w:val="20"/>
              </w:rPr>
            </w:pPr>
            <w:r>
              <w:rPr>
                <w:rFonts w:ascii="Poppins" w:eastAsia="Times New Roman" w:hAnsi="Poppins" w:cs="Poppins"/>
                <w:sz w:val="20"/>
                <w:szCs w:val="20"/>
              </w:rPr>
              <w:t>For approval</w:t>
            </w:r>
          </w:p>
        </w:tc>
        <w:tc>
          <w:tcPr>
            <w:tcW w:w="564" w:type="pct"/>
          </w:tcPr>
          <w:p w14:paraId="1A825F55" w14:textId="6D7F3710" w:rsidR="00AB20B7" w:rsidRDefault="00AB20B7" w:rsidP="00BF33D3">
            <w:pPr>
              <w:jc w:val="center"/>
              <w:rPr>
                <w:rFonts w:ascii="Poppins" w:eastAsia="Times New Roman" w:hAnsi="Poppins" w:cs="Poppins"/>
                <w:sz w:val="20"/>
                <w:szCs w:val="20"/>
              </w:rPr>
            </w:pPr>
            <w:r>
              <w:rPr>
                <w:rFonts w:ascii="Poppins" w:eastAsia="Times New Roman" w:hAnsi="Poppins" w:cs="Poppins"/>
                <w:sz w:val="20"/>
                <w:szCs w:val="20"/>
              </w:rPr>
              <w:t>27/01/23</w:t>
            </w:r>
          </w:p>
        </w:tc>
        <w:tc>
          <w:tcPr>
            <w:tcW w:w="774" w:type="pct"/>
          </w:tcPr>
          <w:p w14:paraId="16900617" w14:textId="06F1367E" w:rsidR="00AB20B7" w:rsidRPr="00A67244" w:rsidRDefault="00AB20B7" w:rsidP="00BF33D3">
            <w:pPr>
              <w:jc w:val="center"/>
              <w:rPr>
                <w:rFonts w:ascii="Poppins" w:eastAsia="Times New Roman" w:hAnsi="Poppins" w:cs="Poppins"/>
                <w:sz w:val="20"/>
                <w:szCs w:val="20"/>
              </w:rPr>
            </w:pPr>
            <w:r>
              <w:rPr>
                <w:rFonts w:ascii="Poppins" w:eastAsia="Times New Roman" w:hAnsi="Poppins" w:cs="Poppins"/>
                <w:sz w:val="20"/>
                <w:szCs w:val="20"/>
              </w:rPr>
              <w:t>Rachel Addison</w:t>
            </w:r>
          </w:p>
        </w:tc>
        <w:tc>
          <w:tcPr>
            <w:tcW w:w="1909" w:type="pct"/>
          </w:tcPr>
          <w:p w14:paraId="2E465B66" w14:textId="16408A13" w:rsidR="00AB20B7" w:rsidRDefault="00DD7F67" w:rsidP="00BF33D3">
            <w:pPr>
              <w:jc w:val="center"/>
              <w:rPr>
                <w:rFonts w:ascii="Poppins" w:eastAsia="Times New Roman" w:hAnsi="Poppins" w:cs="Poppins"/>
                <w:sz w:val="20"/>
                <w:szCs w:val="20"/>
              </w:rPr>
            </w:pPr>
            <w:r>
              <w:rPr>
                <w:rFonts w:ascii="Poppins" w:eastAsia="Times New Roman" w:hAnsi="Poppins" w:cs="Poppins"/>
                <w:sz w:val="20"/>
                <w:szCs w:val="20"/>
              </w:rPr>
              <w:t>Minor a</w:t>
            </w:r>
            <w:r w:rsidR="00AB20B7">
              <w:rPr>
                <w:rFonts w:ascii="Poppins" w:eastAsia="Times New Roman" w:hAnsi="Poppins" w:cs="Poppins"/>
                <w:sz w:val="20"/>
                <w:szCs w:val="20"/>
              </w:rPr>
              <w:t xml:space="preserve">mendments </w:t>
            </w:r>
            <w:r>
              <w:rPr>
                <w:rFonts w:ascii="Poppins" w:eastAsia="Times New Roman" w:hAnsi="Poppins" w:cs="Poppins"/>
                <w:sz w:val="20"/>
                <w:szCs w:val="20"/>
              </w:rPr>
              <w:t xml:space="preserve">following further review. </w:t>
            </w:r>
          </w:p>
        </w:tc>
      </w:tr>
    </w:tbl>
    <w:p w14:paraId="31BE400B" w14:textId="77777777" w:rsidR="00181EA7" w:rsidRPr="00A67244" w:rsidRDefault="00181EA7" w:rsidP="00EA73B3">
      <w:pPr>
        <w:rPr>
          <w:rFonts w:ascii="Poppins" w:eastAsia="Arial" w:hAnsi="Poppins" w:cs="Poppins"/>
          <w:b/>
          <w:sz w:val="20"/>
          <w:szCs w:val="20"/>
        </w:rPr>
      </w:pPr>
    </w:p>
    <w:p w14:paraId="59F06E1D" w14:textId="4AE797FA" w:rsidR="00EA73B3" w:rsidRPr="00A67244" w:rsidRDefault="00EA73B3" w:rsidP="00EA73B3">
      <w:pPr>
        <w:rPr>
          <w:rFonts w:ascii="Poppins" w:eastAsia="Arial" w:hAnsi="Poppins" w:cs="Poppins"/>
          <w:b/>
          <w:sz w:val="20"/>
          <w:szCs w:val="20"/>
        </w:rPr>
      </w:pPr>
      <w:r w:rsidRPr="00A67244">
        <w:rPr>
          <w:rFonts w:ascii="Poppins" w:eastAsia="Arial" w:hAnsi="Poppins" w:cs="Poppins"/>
          <w:b/>
          <w:sz w:val="20"/>
          <w:szCs w:val="20"/>
        </w:rPr>
        <w:lastRenderedPageBreak/>
        <w:t>Template Version History</w:t>
      </w:r>
    </w:p>
    <w:tbl>
      <w:tblPr>
        <w:tblStyle w:val="TableGrid1"/>
        <w:tblW w:w="5505" w:type="pct"/>
        <w:tblInd w:w="-147" w:type="dxa"/>
        <w:tblLook w:val="04A0" w:firstRow="1" w:lastRow="0" w:firstColumn="1" w:lastColumn="0" w:noHBand="0" w:noVBand="1"/>
      </w:tblPr>
      <w:tblGrid>
        <w:gridCol w:w="1529"/>
        <w:gridCol w:w="1715"/>
        <w:gridCol w:w="1138"/>
        <w:gridCol w:w="1564"/>
        <w:gridCol w:w="3981"/>
      </w:tblGrid>
      <w:tr w:rsidR="00EA73B3" w:rsidRPr="00A67244" w14:paraId="448EF1F8" w14:textId="77777777" w:rsidTr="0051056D">
        <w:trPr>
          <w:trHeight w:val="457"/>
        </w:trPr>
        <w:tc>
          <w:tcPr>
            <w:tcW w:w="770" w:type="pct"/>
            <w:tcBorders>
              <w:bottom w:val="single" w:sz="4" w:space="0" w:color="auto"/>
            </w:tcBorders>
            <w:shd w:val="clear" w:color="auto" w:fill="D6DCF0" w:themeFill="accent1" w:themeFillTint="33"/>
            <w:vAlign w:val="center"/>
          </w:tcPr>
          <w:p w14:paraId="77BD46CB" w14:textId="77777777" w:rsidR="00EA73B3" w:rsidRPr="00A67244" w:rsidRDefault="00EA73B3" w:rsidP="00EA73B3">
            <w:pPr>
              <w:jc w:val="center"/>
              <w:rPr>
                <w:rFonts w:ascii="Poppins" w:eastAsia="Times New Roman" w:hAnsi="Poppins" w:cs="Poppins"/>
                <w:b/>
                <w:sz w:val="20"/>
                <w:szCs w:val="20"/>
              </w:rPr>
            </w:pPr>
            <w:r w:rsidRPr="00A67244">
              <w:rPr>
                <w:rFonts w:ascii="Poppins" w:eastAsia="Times New Roman" w:hAnsi="Poppins" w:cs="Poppins"/>
                <w:b/>
                <w:sz w:val="20"/>
                <w:szCs w:val="20"/>
              </w:rPr>
              <w:t>Version</w:t>
            </w:r>
          </w:p>
        </w:tc>
        <w:tc>
          <w:tcPr>
            <w:tcW w:w="864" w:type="pct"/>
            <w:tcBorders>
              <w:bottom w:val="single" w:sz="4" w:space="0" w:color="auto"/>
            </w:tcBorders>
            <w:shd w:val="clear" w:color="auto" w:fill="D6DCF0" w:themeFill="accent1" w:themeFillTint="33"/>
            <w:vAlign w:val="center"/>
          </w:tcPr>
          <w:p w14:paraId="3351C80B" w14:textId="77777777" w:rsidR="00EA73B3" w:rsidRPr="00A67244" w:rsidRDefault="00EA73B3" w:rsidP="00EA73B3">
            <w:pPr>
              <w:jc w:val="center"/>
              <w:rPr>
                <w:rFonts w:ascii="Poppins" w:eastAsia="Times New Roman" w:hAnsi="Poppins" w:cs="Poppins"/>
                <w:b/>
                <w:sz w:val="20"/>
                <w:szCs w:val="20"/>
              </w:rPr>
            </w:pPr>
            <w:r w:rsidRPr="00A67244">
              <w:rPr>
                <w:rFonts w:ascii="Poppins" w:eastAsia="Times New Roman" w:hAnsi="Poppins" w:cs="Poppins"/>
                <w:b/>
                <w:sz w:val="20"/>
                <w:szCs w:val="20"/>
              </w:rPr>
              <w:t>Status</w:t>
            </w:r>
          </w:p>
        </w:tc>
        <w:tc>
          <w:tcPr>
            <w:tcW w:w="573" w:type="pct"/>
            <w:tcBorders>
              <w:bottom w:val="single" w:sz="4" w:space="0" w:color="auto"/>
            </w:tcBorders>
            <w:shd w:val="clear" w:color="auto" w:fill="D6DCF0" w:themeFill="accent1" w:themeFillTint="33"/>
            <w:vAlign w:val="center"/>
          </w:tcPr>
          <w:p w14:paraId="63740FDB" w14:textId="77777777" w:rsidR="00EA73B3" w:rsidRPr="00A67244" w:rsidRDefault="00EA73B3" w:rsidP="00EA73B3">
            <w:pPr>
              <w:jc w:val="center"/>
              <w:rPr>
                <w:rFonts w:ascii="Poppins" w:eastAsia="Times New Roman" w:hAnsi="Poppins" w:cs="Poppins"/>
                <w:b/>
                <w:sz w:val="20"/>
                <w:szCs w:val="20"/>
              </w:rPr>
            </w:pPr>
            <w:r w:rsidRPr="00A67244">
              <w:rPr>
                <w:rFonts w:ascii="Poppins" w:eastAsia="Times New Roman" w:hAnsi="Poppins" w:cs="Poppins"/>
                <w:b/>
                <w:sz w:val="20"/>
                <w:szCs w:val="20"/>
              </w:rPr>
              <w:t>Date</w:t>
            </w:r>
          </w:p>
        </w:tc>
        <w:tc>
          <w:tcPr>
            <w:tcW w:w="788" w:type="pct"/>
            <w:tcBorders>
              <w:bottom w:val="single" w:sz="4" w:space="0" w:color="auto"/>
            </w:tcBorders>
            <w:shd w:val="clear" w:color="auto" w:fill="D6DCF0" w:themeFill="accent1" w:themeFillTint="33"/>
            <w:vAlign w:val="center"/>
          </w:tcPr>
          <w:p w14:paraId="769137CC" w14:textId="77777777" w:rsidR="00EA73B3" w:rsidRPr="00A67244" w:rsidRDefault="00EA73B3" w:rsidP="00EA73B3">
            <w:pPr>
              <w:jc w:val="center"/>
              <w:rPr>
                <w:rFonts w:ascii="Poppins" w:eastAsia="Times New Roman" w:hAnsi="Poppins" w:cs="Poppins"/>
                <w:b/>
                <w:sz w:val="20"/>
                <w:szCs w:val="20"/>
              </w:rPr>
            </w:pPr>
            <w:r w:rsidRPr="00A67244">
              <w:rPr>
                <w:rFonts w:ascii="Poppins" w:eastAsia="Times New Roman" w:hAnsi="Poppins" w:cs="Poppins"/>
                <w:b/>
                <w:sz w:val="20"/>
                <w:szCs w:val="20"/>
              </w:rPr>
              <w:t>Author(s)</w:t>
            </w:r>
          </w:p>
        </w:tc>
        <w:tc>
          <w:tcPr>
            <w:tcW w:w="2005" w:type="pct"/>
            <w:tcBorders>
              <w:bottom w:val="single" w:sz="4" w:space="0" w:color="auto"/>
            </w:tcBorders>
            <w:shd w:val="clear" w:color="auto" w:fill="D6DCF0" w:themeFill="accent1" w:themeFillTint="33"/>
            <w:vAlign w:val="center"/>
          </w:tcPr>
          <w:p w14:paraId="3C1674E3" w14:textId="77777777" w:rsidR="00EA73B3" w:rsidRPr="00A67244" w:rsidRDefault="00EA73B3" w:rsidP="00EA73B3">
            <w:pPr>
              <w:jc w:val="center"/>
              <w:rPr>
                <w:rFonts w:ascii="Poppins" w:eastAsia="Times New Roman" w:hAnsi="Poppins" w:cs="Poppins"/>
                <w:b/>
                <w:sz w:val="20"/>
                <w:szCs w:val="20"/>
              </w:rPr>
            </w:pPr>
            <w:r w:rsidRPr="00A67244">
              <w:rPr>
                <w:rFonts w:ascii="Poppins" w:eastAsia="Times New Roman" w:hAnsi="Poppins" w:cs="Poppins"/>
                <w:b/>
                <w:sz w:val="20"/>
                <w:szCs w:val="20"/>
              </w:rPr>
              <w:t>Summary of Changes</w:t>
            </w:r>
          </w:p>
        </w:tc>
      </w:tr>
      <w:tr w:rsidR="00EA73B3" w:rsidRPr="00A67244" w14:paraId="1A840032" w14:textId="77777777" w:rsidTr="0051056D">
        <w:trPr>
          <w:trHeight w:val="705"/>
        </w:trPr>
        <w:tc>
          <w:tcPr>
            <w:tcW w:w="770" w:type="pct"/>
            <w:shd w:val="clear" w:color="auto" w:fill="FFFFFF" w:themeFill="background1"/>
            <w:vAlign w:val="center"/>
          </w:tcPr>
          <w:p w14:paraId="3AE59834" w14:textId="77777777" w:rsidR="00EA73B3" w:rsidRPr="00A67244" w:rsidRDefault="00EA73B3" w:rsidP="00EA73B3">
            <w:pPr>
              <w:jc w:val="center"/>
              <w:rPr>
                <w:rFonts w:ascii="Poppins" w:eastAsia="Times New Roman" w:hAnsi="Poppins" w:cs="Poppins"/>
                <w:sz w:val="20"/>
                <w:szCs w:val="20"/>
              </w:rPr>
            </w:pPr>
            <w:r w:rsidRPr="00A67244">
              <w:rPr>
                <w:rFonts w:ascii="Poppins" w:eastAsia="Times New Roman" w:hAnsi="Poppins" w:cs="Poppins"/>
                <w:sz w:val="20"/>
                <w:szCs w:val="20"/>
              </w:rPr>
              <w:t>2.0</w:t>
            </w:r>
          </w:p>
        </w:tc>
        <w:tc>
          <w:tcPr>
            <w:tcW w:w="864" w:type="pct"/>
            <w:shd w:val="clear" w:color="auto" w:fill="FFFFFF" w:themeFill="background1"/>
            <w:vAlign w:val="center"/>
          </w:tcPr>
          <w:p w14:paraId="150CC5F4" w14:textId="77777777" w:rsidR="00EA73B3" w:rsidRPr="00A67244" w:rsidRDefault="00EA73B3" w:rsidP="00EA73B3">
            <w:pPr>
              <w:jc w:val="center"/>
              <w:rPr>
                <w:rFonts w:ascii="Poppins" w:eastAsia="Times New Roman" w:hAnsi="Poppins" w:cs="Poppins"/>
                <w:sz w:val="20"/>
                <w:szCs w:val="20"/>
              </w:rPr>
            </w:pPr>
            <w:r w:rsidRPr="00A67244">
              <w:rPr>
                <w:rFonts w:ascii="Poppins" w:eastAsia="Times New Roman" w:hAnsi="Poppins" w:cs="Poppins"/>
                <w:sz w:val="20"/>
                <w:szCs w:val="20"/>
              </w:rPr>
              <w:t>Approved</w:t>
            </w:r>
          </w:p>
        </w:tc>
        <w:tc>
          <w:tcPr>
            <w:tcW w:w="573" w:type="pct"/>
            <w:shd w:val="clear" w:color="auto" w:fill="FFFFFF" w:themeFill="background1"/>
            <w:vAlign w:val="center"/>
          </w:tcPr>
          <w:p w14:paraId="2612EAEC" w14:textId="77777777" w:rsidR="00EA73B3" w:rsidRPr="00A67244" w:rsidRDefault="00EA73B3" w:rsidP="00EA73B3">
            <w:pPr>
              <w:jc w:val="center"/>
              <w:rPr>
                <w:rFonts w:ascii="Poppins" w:eastAsia="Times New Roman" w:hAnsi="Poppins" w:cs="Poppins"/>
                <w:sz w:val="20"/>
                <w:szCs w:val="20"/>
              </w:rPr>
            </w:pPr>
            <w:r w:rsidRPr="00A67244">
              <w:rPr>
                <w:rFonts w:ascii="Poppins" w:eastAsia="Times New Roman" w:hAnsi="Poppins" w:cs="Poppins"/>
                <w:sz w:val="20"/>
                <w:szCs w:val="20"/>
              </w:rPr>
              <w:t>17/07/18</w:t>
            </w:r>
          </w:p>
        </w:tc>
        <w:tc>
          <w:tcPr>
            <w:tcW w:w="788" w:type="pct"/>
            <w:shd w:val="clear" w:color="auto" w:fill="FFFFFF" w:themeFill="background1"/>
            <w:vAlign w:val="center"/>
          </w:tcPr>
          <w:p w14:paraId="3ECB2BF0" w14:textId="77777777" w:rsidR="00EA73B3" w:rsidRPr="00A67244" w:rsidRDefault="00EA73B3" w:rsidP="00EA73B3">
            <w:pPr>
              <w:jc w:val="center"/>
              <w:rPr>
                <w:rFonts w:ascii="Poppins" w:eastAsia="Times New Roman" w:hAnsi="Poppins" w:cs="Poppins"/>
                <w:sz w:val="20"/>
                <w:szCs w:val="20"/>
              </w:rPr>
            </w:pPr>
            <w:r w:rsidRPr="00A67244">
              <w:rPr>
                <w:rFonts w:ascii="Poppins" w:eastAsia="Times New Roman" w:hAnsi="Poppins" w:cs="Poppins"/>
                <w:sz w:val="20"/>
                <w:szCs w:val="20"/>
              </w:rPr>
              <w:t>Rebecca Perkins</w:t>
            </w:r>
          </w:p>
        </w:tc>
        <w:tc>
          <w:tcPr>
            <w:tcW w:w="2005" w:type="pct"/>
            <w:shd w:val="clear" w:color="auto" w:fill="FFFFFF" w:themeFill="background1"/>
            <w:vAlign w:val="center"/>
          </w:tcPr>
          <w:p w14:paraId="1361659D" w14:textId="77777777" w:rsidR="00EA73B3" w:rsidRPr="00A67244" w:rsidRDefault="00EA73B3" w:rsidP="00EA73B3">
            <w:pPr>
              <w:rPr>
                <w:rFonts w:ascii="Poppins" w:eastAsia="Times New Roman" w:hAnsi="Poppins" w:cs="Poppins"/>
                <w:sz w:val="20"/>
                <w:szCs w:val="20"/>
              </w:rPr>
            </w:pPr>
            <w:r w:rsidRPr="00A67244">
              <w:rPr>
                <w:rFonts w:ascii="Poppins" w:eastAsia="Times New Roman" w:hAnsi="Poppins" w:cs="Poppins"/>
                <w:sz w:val="20"/>
                <w:szCs w:val="20"/>
              </w:rPr>
              <w:t>Template approved at ChMC on 11</w:t>
            </w:r>
            <w:r w:rsidRPr="00A67244">
              <w:rPr>
                <w:rFonts w:ascii="Poppins" w:eastAsia="Times New Roman" w:hAnsi="Poppins" w:cs="Poppins"/>
                <w:sz w:val="20"/>
                <w:szCs w:val="20"/>
                <w:vertAlign w:val="superscript"/>
              </w:rPr>
              <w:t>th</w:t>
            </w:r>
            <w:r w:rsidRPr="00A67244">
              <w:rPr>
                <w:rFonts w:ascii="Poppins" w:eastAsia="Times New Roman" w:hAnsi="Poppins" w:cs="Poppins"/>
                <w:sz w:val="20"/>
                <w:szCs w:val="20"/>
              </w:rPr>
              <w:t xml:space="preserve"> July</w:t>
            </w:r>
          </w:p>
        </w:tc>
      </w:tr>
      <w:tr w:rsidR="00EA73B3" w:rsidRPr="00A67244" w14:paraId="19151F85" w14:textId="77777777" w:rsidTr="0051056D">
        <w:trPr>
          <w:trHeight w:val="705"/>
        </w:trPr>
        <w:tc>
          <w:tcPr>
            <w:tcW w:w="770" w:type="pct"/>
            <w:shd w:val="clear" w:color="auto" w:fill="FFFFFF" w:themeFill="background1"/>
            <w:vAlign w:val="center"/>
          </w:tcPr>
          <w:p w14:paraId="0EFC9A7B" w14:textId="3F88E08F" w:rsidR="00EA73B3" w:rsidRPr="00A67244" w:rsidRDefault="007E7C5B" w:rsidP="00EA73B3">
            <w:pPr>
              <w:jc w:val="center"/>
              <w:rPr>
                <w:rFonts w:ascii="Poppins" w:eastAsia="Times New Roman" w:hAnsi="Poppins" w:cs="Poppins"/>
                <w:sz w:val="20"/>
                <w:szCs w:val="20"/>
              </w:rPr>
            </w:pPr>
            <w:r w:rsidRPr="00A67244">
              <w:rPr>
                <w:rFonts w:ascii="Poppins" w:eastAsia="Times New Roman" w:hAnsi="Poppins" w:cs="Poppins"/>
                <w:sz w:val="20"/>
                <w:szCs w:val="20"/>
              </w:rPr>
              <w:t>3.0</w:t>
            </w:r>
          </w:p>
        </w:tc>
        <w:tc>
          <w:tcPr>
            <w:tcW w:w="864" w:type="pct"/>
            <w:shd w:val="clear" w:color="auto" w:fill="FFFFFF" w:themeFill="background1"/>
            <w:vAlign w:val="center"/>
          </w:tcPr>
          <w:p w14:paraId="0BBF25B2" w14:textId="4CE44B67" w:rsidR="00EA73B3" w:rsidRPr="00A67244" w:rsidRDefault="007E7C5B" w:rsidP="007E7C5B">
            <w:pPr>
              <w:jc w:val="center"/>
              <w:rPr>
                <w:rFonts w:ascii="Poppins" w:eastAsia="Times New Roman" w:hAnsi="Poppins" w:cs="Poppins"/>
                <w:sz w:val="20"/>
                <w:szCs w:val="20"/>
              </w:rPr>
            </w:pPr>
            <w:r w:rsidRPr="00A67244">
              <w:rPr>
                <w:rFonts w:ascii="Poppins" w:eastAsia="Times New Roman" w:hAnsi="Poppins" w:cs="Poppins"/>
                <w:sz w:val="20"/>
                <w:szCs w:val="20"/>
              </w:rPr>
              <w:t>Approved</w:t>
            </w:r>
          </w:p>
        </w:tc>
        <w:tc>
          <w:tcPr>
            <w:tcW w:w="573" w:type="pct"/>
            <w:shd w:val="clear" w:color="auto" w:fill="FFFFFF" w:themeFill="background1"/>
            <w:vAlign w:val="center"/>
          </w:tcPr>
          <w:p w14:paraId="3F15DC4E" w14:textId="09A98BC7" w:rsidR="00EA73B3" w:rsidRPr="00A67244" w:rsidRDefault="00EA73B3" w:rsidP="00EA73B3">
            <w:pPr>
              <w:jc w:val="center"/>
              <w:rPr>
                <w:rFonts w:ascii="Poppins" w:eastAsia="Times New Roman" w:hAnsi="Poppins" w:cs="Poppins"/>
                <w:sz w:val="20"/>
                <w:szCs w:val="20"/>
              </w:rPr>
            </w:pPr>
            <w:r w:rsidRPr="00A67244">
              <w:rPr>
                <w:rFonts w:ascii="Poppins" w:eastAsia="Times New Roman" w:hAnsi="Poppins" w:cs="Poppins"/>
                <w:sz w:val="20"/>
                <w:szCs w:val="20"/>
              </w:rPr>
              <w:t>19/12/18</w:t>
            </w:r>
          </w:p>
        </w:tc>
        <w:tc>
          <w:tcPr>
            <w:tcW w:w="788" w:type="pct"/>
            <w:shd w:val="clear" w:color="auto" w:fill="FFFFFF" w:themeFill="background1"/>
            <w:vAlign w:val="center"/>
          </w:tcPr>
          <w:p w14:paraId="44B1707B" w14:textId="486416E7" w:rsidR="00EA73B3" w:rsidRPr="00A67244" w:rsidRDefault="00EA73B3" w:rsidP="00EA73B3">
            <w:pPr>
              <w:jc w:val="center"/>
              <w:rPr>
                <w:rFonts w:ascii="Poppins" w:eastAsia="Times New Roman" w:hAnsi="Poppins" w:cs="Poppins"/>
                <w:sz w:val="20"/>
                <w:szCs w:val="20"/>
              </w:rPr>
            </w:pPr>
            <w:r w:rsidRPr="00A67244">
              <w:rPr>
                <w:rFonts w:ascii="Poppins" w:eastAsia="Times New Roman" w:hAnsi="Poppins" w:cs="Poppins"/>
                <w:sz w:val="20"/>
                <w:szCs w:val="20"/>
              </w:rPr>
              <w:t>Heather Spensley</w:t>
            </w:r>
          </w:p>
        </w:tc>
        <w:tc>
          <w:tcPr>
            <w:tcW w:w="2005" w:type="pct"/>
            <w:shd w:val="clear" w:color="auto" w:fill="FFFFFF" w:themeFill="background1"/>
            <w:vAlign w:val="center"/>
          </w:tcPr>
          <w:p w14:paraId="6634F7D9" w14:textId="2F130DD4" w:rsidR="00EA73B3" w:rsidRPr="00A67244" w:rsidRDefault="00EA73B3" w:rsidP="00EA73B3">
            <w:pPr>
              <w:rPr>
                <w:rFonts w:ascii="Poppins" w:eastAsia="Times New Roman" w:hAnsi="Poppins" w:cs="Poppins"/>
                <w:sz w:val="20"/>
                <w:szCs w:val="20"/>
              </w:rPr>
            </w:pPr>
            <w:r w:rsidRPr="00A67244">
              <w:rPr>
                <w:rFonts w:ascii="Poppins" w:eastAsia="Times New Roman" w:hAnsi="Poppins" w:cs="Poppins"/>
                <w:sz w:val="20"/>
                <w:szCs w:val="20"/>
              </w:rPr>
              <w:t>Moved onto Xoserve’s new Word template in line with new branding</w:t>
            </w:r>
          </w:p>
        </w:tc>
      </w:tr>
    </w:tbl>
    <w:p w14:paraId="7651F714" w14:textId="77777777" w:rsidR="00D66C7E" w:rsidRPr="00A67244" w:rsidRDefault="00D66C7E" w:rsidP="00BD396D">
      <w:pPr>
        <w:rPr>
          <w:rFonts w:ascii="Poppins" w:hAnsi="Poppins" w:cs="Poppins"/>
          <w:sz w:val="20"/>
          <w:szCs w:val="20"/>
        </w:rPr>
      </w:pPr>
    </w:p>
    <w:sectPr w:rsidR="00D66C7E" w:rsidRPr="00A6724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6A3F" w14:textId="77777777" w:rsidR="00662D36" w:rsidRDefault="00662D36" w:rsidP="00324744">
      <w:pPr>
        <w:spacing w:after="0" w:line="240" w:lineRule="auto"/>
      </w:pPr>
      <w:r>
        <w:separator/>
      </w:r>
    </w:p>
  </w:endnote>
  <w:endnote w:type="continuationSeparator" w:id="0">
    <w:p w14:paraId="0C428F1D" w14:textId="77777777" w:rsidR="00662D36" w:rsidRDefault="00662D36" w:rsidP="00324744">
      <w:pPr>
        <w:spacing w:after="0" w:line="240" w:lineRule="auto"/>
      </w:pPr>
      <w:r>
        <w:continuationSeparator/>
      </w:r>
    </w:p>
  </w:endnote>
  <w:endnote w:type="continuationNotice" w:id="1">
    <w:p w14:paraId="6CA26A59" w14:textId="77777777" w:rsidR="00662D36" w:rsidRDefault="00662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ppins">
    <w:altName w:val="Poppins"/>
    <w:panose1 w:val="00000500000000000000"/>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F8C" w14:textId="77777777" w:rsidR="00BD0A45" w:rsidRDefault="00BD0A45">
    <w:pPr>
      <w:pStyle w:val="Footer"/>
    </w:pPr>
    <w:r>
      <w:rPr>
        <w:noProof/>
      </w:rPr>
      <mc:AlternateContent>
        <mc:Choice Requires="wps">
          <w:drawing>
            <wp:anchor distT="0" distB="0" distL="114300" distR="114300" simplePos="0" relativeHeight="251658241"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6DB5A8"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44456" w14:textId="77777777" w:rsidR="00662D36" w:rsidRDefault="00662D36" w:rsidP="00324744">
      <w:pPr>
        <w:spacing w:after="0" w:line="240" w:lineRule="auto"/>
      </w:pPr>
      <w:r>
        <w:separator/>
      </w:r>
    </w:p>
  </w:footnote>
  <w:footnote w:type="continuationSeparator" w:id="0">
    <w:p w14:paraId="7E985625" w14:textId="77777777" w:rsidR="00662D36" w:rsidRDefault="00662D36" w:rsidP="00324744">
      <w:pPr>
        <w:spacing w:after="0" w:line="240" w:lineRule="auto"/>
      </w:pPr>
      <w:r>
        <w:continuationSeparator/>
      </w:r>
    </w:p>
  </w:footnote>
  <w:footnote w:type="continuationNotice" w:id="1">
    <w:p w14:paraId="37899D1B" w14:textId="77777777" w:rsidR="00662D36" w:rsidRDefault="00662D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F8B" w14:textId="77777777" w:rsidR="00324744" w:rsidRDefault="00324744">
    <w:pPr>
      <w:pStyle w:val="Header"/>
    </w:pPr>
    <w:r>
      <w:rPr>
        <w:noProof/>
      </w:rPr>
      <mc:AlternateContent>
        <mc:Choice Requires="wps">
          <w:drawing>
            <wp:anchor distT="0" distB="0" distL="114300" distR="114300" simplePos="0" relativeHeight="251658240"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E14F1"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29F"/>
    <w:multiLevelType w:val="hybridMultilevel"/>
    <w:tmpl w:val="BE0A22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10781D"/>
    <w:multiLevelType w:val="hybridMultilevel"/>
    <w:tmpl w:val="1C06714C"/>
    <w:lvl w:ilvl="0" w:tplc="F3C67C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04BC3"/>
    <w:multiLevelType w:val="hybridMultilevel"/>
    <w:tmpl w:val="7D0CD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EC0627"/>
    <w:multiLevelType w:val="hybridMultilevel"/>
    <w:tmpl w:val="E08630E0"/>
    <w:lvl w:ilvl="0" w:tplc="08090005">
      <w:start w:val="1"/>
      <w:numFmt w:val="bullet"/>
      <w:lvlText w:val=""/>
      <w:lvlJc w:val="left"/>
      <w:pPr>
        <w:ind w:left="720" w:hanging="360"/>
      </w:pPr>
      <w:rPr>
        <w:rFonts w:ascii="Wingdings" w:hAnsi="Wingdings" w:hint="default"/>
      </w:rPr>
    </w:lvl>
    <w:lvl w:ilvl="1" w:tplc="5EB0F560">
      <w:numFmt w:val="bullet"/>
      <w:lvlText w:val="•"/>
      <w:lvlJc w:val="left"/>
      <w:pPr>
        <w:ind w:left="1800" w:hanging="720"/>
      </w:pPr>
      <w:rPr>
        <w:rFonts w:ascii="Arial" w:eastAsiaTheme="minorHAnsi" w:hAnsi="Arial" w:cs="Arial" w:hint="default"/>
        <w:color w:val="0070C0"/>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A4187"/>
    <w:multiLevelType w:val="hybridMultilevel"/>
    <w:tmpl w:val="51A8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B1FF2"/>
    <w:multiLevelType w:val="hybridMultilevel"/>
    <w:tmpl w:val="8598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3152F"/>
    <w:multiLevelType w:val="hybridMultilevel"/>
    <w:tmpl w:val="E3F4CD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B22CE"/>
    <w:multiLevelType w:val="hybridMultilevel"/>
    <w:tmpl w:val="F42C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C2A2B"/>
    <w:multiLevelType w:val="hybridMultilevel"/>
    <w:tmpl w:val="B85AE04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3A35773"/>
    <w:multiLevelType w:val="hybridMultilevel"/>
    <w:tmpl w:val="2522F53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56CB6"/>
    <w:multiLevelType w:val="hybridMultilevel"/>
    <w:tmpl w:val="7E40DE92"/>
    <w:lvl w:ilvl="0" w:tplc="38FA2AD8">
      <w:start w:val="1"/>
      <w:numFmt w:val="decimal"/>
      <w:pStyle w:val="SOWHeader1"/>
      <w:lvlText w:val="%1."/>
      <w:lvlJc w:val="left"/>
      <w:pPr>
        <w:ind w:left="360" w:hanging="360"/>
      </w:pPr>
      <w:rPr>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273DE0"/>
    <w:multiLevelType w:val="hybridMultilevel"/>
    <w:tmpl w:val="ECF2C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71193A"/>
    <w:multiLevelType w:val="hybridMultilevel"/>
    <w:tmpl w:val="E2962152"/>
    <w:lvl w:ilvl="0" w:tplc="08090005">
      <w:start w:val="1"/>
      <w:numFmt w:val="bullet"/>
      <w:lvlText w:val=""/>
      <w:lvlJc w:val="left"/>
      <w:pPr>
        <w:ind w:left="360" w:hanging="360"/>
      </w:pPr>
      <w:rPr>
        <w:rFonts w:ascii="Wingdings" w:hAnsi="Wingding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734B4ABB"/>
    <w:multiLevelType w:val="hybridMultilevel"/>
    <w:tmpl w:val="62A60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51046DC"/>
    <w:multiLevelType w:val="hybridMultilevel"/>
    <w:tmpl w:val="5A64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F02D52"/>
    <w:multiLevelType w:val="hybridMultilevel"/>
    <w:tmpl w:val="FB66166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F3D29B8"/>
    <w:multiLevelType w:val="hybridMultilevel"/>
    <w:tmpl w:val="6B7CD8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4"/>
  </w:num>
  <w:num w:numId="4">
    <w:abstractNumId w:val="4"/>
  </w:num>
  <w:num w:numId="5">
    <w:abstractNumId w:val="11"/>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15"/>
  </w:num>
  <w:num w:numId="11">
    <w:abstractNumId w:val="7"/>
  </w:num>
  <w:num w:numId="12">
    <w:abstractNumId w:val="1"/>
  </w:num>
  <w:num w:numId="13">
    <w:abstractNumId w:val="3"/>
  </w:num>
  <w:num w:numId="14">
    <w:abstractNumId w:val="16"/>
  </w:num>
  <w:num w:numId="15">
    <w:abstractNumId w:val="12"/>
  </w:num>
  <w:num w:numId="16">
    <w:abstractNumId w:val="9"/>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5FD2"/>
    <w:rsid w:val="000115D2"/>
    <w:rsid w:val="000117AC"/>
    <w:rsid w:val="00015968"/>
    <w:rsid w:val="000179CB"/>
    <w:rsid w:val="000253BE"/>
    <w:rsid w:val="00032353"/>
    <w:rsid w:val="00034A1B"/>
    <w:rsid w:val="00036236"/>
    <w:rsid w:val="00037DF7"/>
    <w:rsid w:val="00044494"/>
    <w:rsid w:val="00047F31"/>
    <w:rsid w:val="000502D3"/>
    <w:rsid w:val="00051AB1"/>
    <w:rsid w:val="00051F07"/>
    <w:rsid w:val="00064B9A"/>
    <w:rsid w:val="00073933"/>
    <w:rsid w:val="000820DF"/>
    <w:rsid w:val="000A1610"/>
    <w:rsid w:val="000A1AD1"/>
    <w:rsid w:val="000A57C2"/>
    <w:rsid w:val="000B2BD3"/>
    <w:rsid w:val="000B35DF"/>
    <w:rsid w:val="000B366E"/>
    <w:rsid w:val="000B38F0"/>
    <w:rsid w:val="000B6719"/>
    <w:rsid w:val="000C64E4"/>
    <w:rsid w:val="000C719D"/>
    <w:rsid w:val="000D3127"/>
    <w:rsid w:val="000E031B"/>
    <w:rsid w:val="000E1C4B"/>
    <w:rsid w:val="000E4C11"/>
    <w:rsid w:val="000F14EF"/>
    <w:rsid w:val="000F22AD"/>
    <w:rsid w:val="00125B61"/>
    <w:rsid w:val="00126860"/>
    <w:rsid w:val="001307B5"/>
    <w:rsid w:val="001317B6"/>
    <w:rsid w:val="001318E4"/>
    <w:rsid w:val="00132DF8"/>
    <w:rsid w:val="00140E19"/>
    <w:rsid w:val="00141DE9"/>
    <w:rsid w:val="00144E00"/>
    <w:rsid w:val="001763B2"/>
    <w:rsid w:val="00176B28"/>
    <w:rsid w:val="00180B7F"/>
    <w:rsid w:val="00181EA7"/>
    <w:rsid w:val="001852F0"/>
    <w:rsid w:val="00190774"/>
    <w:rsid w:val="00195A39"/>
    <w:rsid w:val="0019726F"/>
    <w:rsid w:val="001A1C12"/>
    <w:rsid w:val="001C0D3E"/>
    <w:rsid w:val="001C2268"/>
    <w:rsid w:val="001C2E28"/>
    <w:rsid w:val="001C50EC"/>
    <w:rsid w:val="001D332C"/>
    <w:rsid w:val="001D63D9"/>
    <w:rsid w:val="001E489E"/>
    <w:rsid w:val="001E7BDB"/>
    <w:rsid w:val="001F3E23"/>
    <w:rsid w:val="001F6250"/>
    <w:rsid w:val="00205FBD"/>
    <w:rsid w:val="00211DD3"/>
    <w:rsid w:val="0021390A"/>
    <w:rsid w:val="00221515"/>
    <w:rsid w:val="002228B7"/>
    <w:rsid w:val="00224438"/>
    <w:rsid w:val="002258C2"/>
    <w:rsid w:val="00226D34"/>
    <w:rsid w:val="00227464"/>
    <w:rsid w:val="002318CE"/>
    <w:rsid w:val="00232AAD"/>
    <w:rsid w:val="00235D1A"/>
    <w:rsid w:val="00235DA7"/>
    <w:rsid w:val="00240FE7"/>
    <w:rsid w:val="00243375"/>
    <w:rsid w:val="00243D03"/>
    <w:rsid w:val="00244FDA"/>
    <w:rsid w:val="00261632"/>
    <w:rsid w:val="0027101E"/>
    <w:rsid w:val="00283F65"/>
    <w:rsid w:val="00291138"/>
    <w:rsid w:val="00292010"/>
    <w:rsid w:val="002A74FA"/>
    <w:rsid w:val="002B1516"/>
    <w:rsid w:val="002B4371"/>
    <w:rsid w:val="002C0202"/>
    <w:rsid w:val="002C0324"/>
    <w:rsid w:val="002D4E0C"/>
    <w:rsid w:val="002D72E5"/>
    <w:rsid w:val="002D77DD"/>
    <w:rsid w:val="002F44CC"/>
    <w:rsid w:val="002F64A7"/>
    <w:rsid w:val="002F654D"/>
    <w:rsid w:val="003001C2"/>
    <w:rsid w:val="0030547E"/>
    <w:rsid w:val="00311406"/>
    <w:rsid w:val="00315FC7"/>
    <w:rsid w:val="00323F00"/>
    <w:rsid w:val="00324744"/>
    <w:rsid w:val="00327B1B"/>
    <w:rsid w:val="00332994"/>
    <w:rsid w:val="00334AA8"/>
    <w:rsid w:val="003417E0"/>
    <w:rsid w:val="00347AC4"/>
    <w:rsid w:val="0035582D"/>
    <w:rsid w:val="003607F5"/>
    <w:rsid w:val="003648B9"/>
    <w:rsid w:val="00365A0F"/>
    <w:rsid w:val="00367175"/>
    <w:rsid w:val="003759B8"/>
    <w:rsid w:val="00377F7D"/>
    <w:rsid w:val="00382C4C"/>
    <w:rsid w:val="00393FFB"/>
    <w:rsid w:val="003941AE"/>
    <w:rsid w:val="003A07CD"/>
    <w:rsid w:val="003A59D0"/>
    <w:rsid w:val="003A6201"/>
    <w:rsid w:val="003B2832"/>
    <w:rsid w:val="003E0CE9"/>
    <w:rsid w:val="003E21CA"/>
    <w:rsid w:val="003F269A"/>
    <w:rsid w:val="00401C08"/>
    <w:rsid w:val="00423001"/>
    <w:rsid w:val="00426807"/>
    <w:rsid w:val="00427546"/>
    <w:rsid w:val="0044099E"/>
    <w:rsid w:val="00451115"/>
    <w:rsid w:val="004566AD"/>
    <w:rsid w:val="00457EF4"/>
    <w:rsid w:val="004704C3"/>
    <w:rsid w:val="0047504D"/>
    <w:rsid w:val="00475955"/>
    <w:rsid w:val="00487733"/>
    <w:rsid w:val="00494B3E"/>
    <w:rsid w:val="00497C8E"/>
    <w:rsid w:val="004A5083"/>
    <w:rsid w:val="004B628C"/>
    <w:rsid w:val="004C1EE1"/>
    <w:rsid w:val="004D05D7"/>
    <w:rsid w:val="004D063B"/>
    <w:rsid w:val="004D079A"/>
    <w:rsid w:val="004D4871"/>
    <w:rsid w:val="004E04D5"/>
    <w:rsid w:val="004E1794"/>
    <w:rsid w:val="004E4020"/>
    <w:rsid w:val="004E484F"/>
    <w:rsid w:val="004E52C4"/>
    <w:rsid w:val="004E6E85"/>
    <w:rsid w:val="004F0AF2"/>
    <w:rsid w:val="004F3362"/>
    <w:rsid w:val="004F3A33"/>
    <w:rsid w:val="00506F25"/>
    <w:rsid w:val="005077BE"/>
    <w:rsid w:val="0051056D"/>
    <w:rsid w:val="00511513"/>
    <w:rsid w:val="0051176D"/>
    <w:rsid w:val="00511ED2"/>
    <w:rsid w:val="00514CC8"/>
    <w:rsid w:val="00515C77"/>
    <w:rsid w:val="00517F6F"/>
    <w:rsid w:val="00521B9B"/>
    <w:rsid w:val="005255AC"/>
    <w:rsid w:val="00530BA6"/>
    <w:rsid w:val="00546DA8"/>
    <w:rsid w:val="0055298E"/>
    <w:rsid w:val="00577C33"/>
    <w:rsid w:val="005821ED"/>
    <w:rsid w:val="00585137"/>
    <w:rsid w:val="00595CB4"/>
    <w:rsid w:val="005B2F25"/>
    <w:rsid w:val="005C0F26"/>
    <w:rsid w:val="005C3536"/>
    <w:rsid w:val="005C57A4"/>
    <w:rsid w:val="005C7517"/>
    <w:rsid w:val="005F3348"/>
    <w:rsid w:val="005F6EBA"/>
    <w:rsid w:val="00601483"/>
    <w:rsid w:val="00607873"/>
    <w:rsid w:val="00615E99"/>
    <w:rsid w:val="006244E8"/>
    <w:rsid w:val="0063129C"/>
    <w:rsid w:val="00631F12"/>
    <w:rsid w:val="00635A88"/>
    <w:rsid w:val="0064060A"/>
    <w:rsid w:val="006414ED"/>
    <w:rsid w:val="006610DB"/>
    <w:rsid w:val="00662D36"/>
    <w:rsid w:val="00672082"/>
    <w:rsid w:val="006771C4"/>
    <w:rsid w:val="006800EB"/>
    <w:rsid w:val="006A2703"/>
    <w:rsid w:val="006B27EB"/>
    <w:rsid w:val="006B5F21"/>
    <w:rsid w:val="006C067E"/>
    <w:rsid w:val="006C708A"/>
    <w:rsid w:val="006D0944"/>
    <w:rsid w:val="006D1B3B"/>
    <w:rsid w:val="006D31CF"/>
    <w:rsid w:val="006F3538"/>
    <w:rsid w:val="007101D8"/>
    <w:rsid w:val="00715F21"/>
    <w:rsid w:val="007175F8"/>
    <w:rsid w:val="007243D3"/>
    <w:rsid w:val="007255BA"/>
    <w:rsid w:val="00733A33"/>
    <w:rsid w:val="00746056"/>
    <w:rsid w:val="00747053"/>
    <w:rsid w:val="007719E0"/>
    <w:rsid w:val="00772D8C"/>
    <w:rsid w:val="00773607"/>
    <w:rsid w:val="007776D6"/>
    <w:rsid w:val="00791A29"/>
    <w:rsid w:val="0079412C"/>
    <w:rsid w:val="007A56DB"/>
    <w:rsid w:val="007B569A"/>
    <w:rsid w:val="007B7D85"/>
    <w:rsid w:val="007C02CA"/>
    <w:rsid w:val="007C52DA"/>
    <w:rsid w:val="007D4F26"/>
    <w:rsid w:val="007D6401"/>
    <w:rsid w:val="007E445E"/>
    <w:rsid w:val="007E7C5B"/>
    <w:rsid w:val="00811380"/>
    <w:rsid w:val="00816290"/>
    <w:rsid w:val="00817A62"/>
    <w:rsid w:val="00817F14"/>
    <w:rsid w:val="00835DDA"/>
    <w:rsid w:val="00837BEC"/>
    <w:rsid w:val="00843658"/>
    <w:rsid w:val="00850C72"/>
    <w:rsid w:val="00856116"/>
    <w:rsid w:val="00864542"/>
    <w:rsid w:val="00873AE7"/>
    <w:rsid w:val="00880FA2"/>
    <w:rsid w:val="0088777C"/>
    <w:rsid w:val="00893648"/>
    <w:rsid w:val="00895EF3"/>
    <w:rsid w:val="008A0CA5"/>
    <w:rsid w:val="008A48A2"/>
    <w:rsid w:val="008B39BF"/>
    <w:rsid w:val="008B43BB"/>
    <w:rsid w:val="008B53D6"/>
    <w:rsid w:val="008C3049"/>
    <w:rsid w:val="008C6B7D"/>
    <w:rsid w:val="008E515B"/>
    <w:rsid w:val="008F0A1E"/>
    <w:rsid w:val="008F19C0"/>
    <w:rsid w:val="008F3962"/>
    <w:rsid w:val="008F6DD2"/>
    <w:rsid w:val="008F7A24"/>
    <w:rsid w:val="00901F3C"/>
    <w:rsid w:val="00912008"/>
    <w:rsid w:val="009203CD"/>
    <w:rsid w:val="00924620"/>
    <w:rsid w:val="00933C98"/>
    <w:rsid w:val="009477E5"/>
    <w:rsid w:val="00951D86"/>
    <w:rsid w:val="00952D4E"/>
    <w:rsid w:val="00953A61"/>
    <w:rsid w:val="00980AF0"/>
    <w:rsid w:val="00983BCE"/>
    <w:rsid w:val="00993E1F"/>
    <w:rsid w:val="00997893"/>
    <w:rsid w:val="009A204F"/>
    <w:rsid w:val="009A2DA5"/>
    <w:rsid w:val="009D7F19"/>
    <w:rsid w:val="00A1608E"/>
    <w:rsid w:val="00A170B5"/>
    <w:rsid w:val="00A20461"/>
    <w:rsid w:val="00A2115F"/>
    <w:rsid w:val="00A22060"/>
    <w:rsid w:val="00A3059F"/>
    <w:rsid w:val="00A3152D"/>
    <w:rsid w:val="00A3191C"/>
    <w:rsid w:val="00A3267A"/>
    <w:rsid w:val="00A37CDC"/>
    <w:rsid w:val="00A41720"/>
    <w:rsid w:val="00A4321A"/>
    <w:rsid w:val="00A43D01"/>
    <w:rsid w:val="00A44ADB"/>
    <w:rsid w:val="00A52690"/>
    <w:rsid w:val="00A605D6"/>
    <w:rsid w:val="00A6614B"/>
    <w:rsid w:val="00A67244"/>
    <w:rsid w:val="00A80B39"/>
    <w:rsid w:val="00A970E8"/>
    <w:rsid w:val="00AA1B1D"/>
    <w:rsid w:val="00AA1E1D"/>
    <w:rsid w:val="00AB20B7"/>
    <w:rsid w:val="00AB5B54"/>
    <w:rsid w:val="00AB63DE"/>
    <w:rsid w:val="00AC11CA"/>
    <w:rsid w:val="00AC24DD"/>
    <w:rsid w:val="00AD12FF"/>
    <w:rsid w:val="00AD2F54"/>
    <w:rsid w:val="00AF045D"/>
    <w:rsid w:val="00AF5A16"/>
    <w:rsid w:val="00B02E5F"/>
    <w:rsid w:val="00B10D88"/>
    <w:rsid w:val="00B142B6"/>
    <w:rsid w:val="00B202E9"/>
    <w:rsid w:val="00B20305"/>
    <w:rsid w:val="00B236E2"/>
    <w:rsid w:val="00B31BE1"/>
    <w:rsid w:val="00B33ABC"/>
    <w:rsid w:val="00B3729B"/>
    <w:rsid w:val="00B40D23"/>
    <w:rsid w:val="00B42249"/>
    <w:rsid w:val="00B432D2"/>
    <w:rsid w:val="00B435D7"/>
    <w:rsid w:val="00B4502E"/>
    <w:rsid w:val="00B51967"/>
    <w:rsid w:val="00B55395"/>
    <w:rsid w:val="00B60B79"/>
    <w:rsid w:val="00B6117D"/>
    <w:rsid w:val="00B62607"/>
    <w:rsid w:val="00B72997"/>
    <w:rsid w:val="00B7621B"/>
    <w:rsid w:val="00B83CA2"/>
    <w:rsid w:val="00B8770C"/>
    <w:rsid w:val="00B91F30"/>
    <w:rsid w:val="00B95DC5"/>
    <w:rsid w:val="00B96899"/>
    <w:rsid w:val="00B96D7C"/>
    <w:rsid w:val="00B972A0"/>
    <w:rsid w:val="00BA1E88"/>
    <w:rsid w:val="00BA4ACE"/>
    <w:rsid w:val="00BA4E4D"/>
    <w:rsid w:val="00BB1E88"/>
    <w:rsid w:val="00BB4374"/>
    <w:rsid w:val="00BC33CC"/>
    <w:rsid w:val="00BC4A4E"/>
    <w:rsid w:val="00BC70EB"/>
    <w:rsid w:val="00BD0A45"/>
    <w:rsid w:val="00BD13A5"/>
    <w:rsid w:val="00BD2500"/>
    <w:rsid w:val="00BD2E86"/>
    <w:rsid w:val="00BD396D"/>
    <w:rsid w:val="00BF33D3"/>
    <w:rsid w:val="00BF5945"/>
    <w:rsid w:val="00C061DE"/>
    <w:rsid w:val="00C06C7B"/>
    <w:rsid w:val="00C07221"/>
    <w:rsid w:val="00C13E07"/>
    <w:rsid w:val="00C17ACE"/>
    <w:rsid w:val="00C22BF2"/>
    <w:rsid w:val="00C31477"/>
    <w:rsid w:val="00C34E5D"/>
    <w:rsid w:val="00C402B4"/>
    <w:rsid w:val="00C50B66"/>
    <w:rsid w:val="00C60191"/>
    <w:rsid w:val="00C67F39"/>
    <w:rsid w:val="00C7001F"/>
    <w:rsid w:val="00C73A31"/>
    <w:rsid w:val="00C75B79"/>
    <w:rsid w:val="00C96E9F"/>
    <w:rsid w:val="00C971AF"/>
    <w:rsid w:val="00C97231"/>
    <w:rsid w:val="00CA0896"/>
    <w:rsid w:val="00CA1F50"/>
    <w:rsid w:val="00CB13B3"/>
    <w:rsid w:val="00CB4657"/>
    <w:rsid w:val="00CB658B"/>
    <w:rsid w:val="00CC0010"/>
    <w:rsid w:val="00CC235A"/>
    <w:rsid w:val="00CC7E26"/>
    <w:rsid w:val="00CD459D"/>
    <w:rsid w:val="00CE129A"/>
    <w:rsid w:val="00CE32E9"/>
    <w:rsid w:val="00CF532C"/>
    <w:rsid w:val="00D002A9"/>
    <w:rsid w:val="00D11D80"/>
    <w:rsid w:val="00D147EB"/>
    <w:rsid w:val="00D201B8"/>
    <w:rsid w:val="00D267E1"/>
    <w:rsid w:val="00D26CB0"/>
    <w:rsid w:val="00D30854"/>
    <w:rsid w:val="00D372A0"/>
    <w:rsid w:val="00D456A7"/>
    <w:rsid w:val="00D5036E"/>
    <w:rsid w:val="00D50C1C"/>
    <w:rsid w:val="00D63C5F"/>
    <w:rsid w:val="00D66C7E"/>
    <w:rsid w:val="00D91BAB"/>
    <w:rsid w:val="00D94235"/>
    <w:rsid w:val="00DB33A4"/>
    <w:rsid w:val="00DB6B97"/>
    <w:rsid w:val="00DC0C53"/>
    <w:rsid w:val="00DD578D"/>
    <w:rsid w:val="00DD7F67"/>
    <w:rsid w:val="00DE78A5"/>
    <w:rsid w:val="00E01E82"/>
    <w:rsid w:val="00E074F2"/>
    <w:rsid w:val="00E1612A"/>
    <w:rsid w:val="00E27077"/>
    <w:rsid w:val="00E27980"/>
    <w:rsid w:val="00E318F5"/>
    <w:rsid w:val="00E36D97"/>
    <w:rsid w:val="00E37D0C"/>
    <w:rsid w:val="00E4076B"/>
    <w:rsid w:val="00E43B43"/>
    <w:rsid w:val="00E60AD8"/>
    <w:rsid w:val="00E64538"/>
    <w:rsid w:val="00E70AC6"/>
    <w:rsid w:val="00E7278A"/>
    <w:rsid w:val="00E77285"/>
    <w:rsid w:val="00E856D9"/>
    <w:rsid w:val="00E94713"/>
    <w:rsid w:val="00EA4526"/>
    <w:rsid w:val="00EA73B3"/>
    <w:rsid w:val="00EB11C0"/>
    <w:rsid w:val="00EC0E27"/>
    <w:rsid w:val="00EC4AE5"/>
    <w:rsid w:val="00ED6BA3"/>
    <w:rsid w:val="00ED7672"/>
    <w:rsid w:val="00EF2357"/>
    <w:rsid w:val="00EF2B51"/>
    <w:rsid w:val="00F01B86"/>
    <w:rsid w:val="00F05579"/>
    <w:rsid w:val="00F07749"/>
    <w:rsid w:val="00F07A41"/>
    <w:rsid w:val="00F14ED5"/>
    <w:rsid w:val="00F25CD9"/>
    <w:rsid w:val="00F26482"/>
    <w:rsid w:val="00F31BAD"/>
    <w:rsid w:val="00F4310E"/>
    <w:rsid w:val="00F43345"/>
    <w:rsid w:val="00F46084"/>
    <w:rsid w:val="00F46EB8"/>
    <w:rsid w:val="00F47A0E"/>
    <w:rsid w:val="00F544B9"/>
    <w:rsid w:val="00F63C9D"/>
    <w:rsid w:val="00F66996"/>
    <w:rsid w:val="00F66ADE"/>
    <w:rsid w:val="00F80C87"/>
    <w:rsid w:val="00F81697"/>
    <w:rsid w:val="00F91CA9"/>
    <w:rsid w:val="00F95876"/>
    <w:rsid w:val="00FA0830"/>
    <w:rsid w:val="00FB34C8"/>
    <w:rsid w:val="00FC3223"/>
    <w:rsid w:val="00FC6B93"/>
    <w:rsid w:val="00FD21ED"/>
    <w:rsid w:val="00FE5CEF"/>
    <w:rsid w:val="00FF6968"/>
    <w:rsid w:val="0A57A144"/>
    <w:rsid w:val="2965C323"/>
    <w:rsid w:val="4BEF4D51"/>
    <w:rsid w:val="551F4430"/>
    <w:rsid w:val="6CB00596"/>
    <w:rsid w:val="7840C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79F40"/>
  <w15:docId w15:val="{F7FFA961-E71F-4DB6-A512-C4543B5E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igure_name,Equipment,Bullet list,List Paragraph1,Numbered Indented Text,Bullet 1,List Paragraph Char Char Char,List Paragraph Char Char,RFP SUB Points,Use Case List Paragraph,b1,Bullet for no #'s,Body Bullet,Alpha List Paragraph,List_TIS"/>
    <w:basedOn w:val="Normal"/>
    <w:link w:val="ListParagraphChar"/>
    <w:uiPriority w:val="34"/>
    <w:qFormat/>
    <w:rsid w:val="00F81697"/>
    <w:pPr>
      <w:ind w:left="720"/>
      <w:contextualSpacing/>
    </w:pPr>
  </w:style>
  <w:style w:type="paragraph" w:customStyle="1" w:styleId="SOWHeader1">
    <w:name w:val="SOW Header 1"/>
    <w:basedOn w:val="ListParagraph"/>
    <w:next w:val="Normal"/>
    <w:qFormat/>
    <w:rsid w:val="00D147EB"/>
    <w:pPr>
      <w:numPr>
        <w:numId w:val="5"/>
      </w:numPr>
      <w:spacing w:after="160" w:line="259" w:lineRule="auto"/>
    </w:pPr>
    <w:rPr>
      <w:rFonts w:asciiTheme="minorHAnsi" w:eastAsiaTheme="minorHAnsi" w:hAnsiTheme="minorHAnsi"/>
      <w:b/>
      <w:caps/>
      <w:lang w:eastAsia="en-US"/>
    </w:rPr>
  </w:style>
  <w:style w:type="character" w:customStyle="1" w:styleId="eop">
    <w:name w:val="eop"/>
    <w:basedOn w:val="DefaultParagraphFont"/>
    <w:rsid w:val="00D147EB"/>
  </w:style>
  <w:style w:type="paragraph" w:styleId="NormalWeb">
    <w:name w:val="Normal (Web)"/>
    <w:basedOn w:val="Normal"/>
    <w:uiPriority w:val="99"/>
    <w:unhideWhenUsed/>
    <w:rsid w:val="00D147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HeadingSmallLeft">
    <w:name w:val="Table Heading Small Left"/>
    <w:basedOn w:val="Normal"/>
    <w:rsid w:val="00A970E8"/>
    <w:pPr>
      <w:spacing w:before="60" w:after="60" w:line="240" w:lineRule="auto"/>
    </w:pPr>
    <w:rPr>
      <w:rFonts w:ascii="Tahoma" w:eastAsia="Times New Roman" w:hAnsi="Tahoma" w:cs="Times New Roman"/>
      <w:b/>
      <w:sz w:val="20"/>
      <w:szCs w:val="18"/>
    </w:rPr>
  </w:style>
  <w:style w:type="character" w:styleId="CommentReference">
    <w:name w:val="annotation reference"/>
    <w:basedOn w:val="DefaultParagraphFont"/>
    <w:uiPriority w:val="99"/>
    <w:semiHidden/>
    <w:unhideWhenUsed/>
    <w:rsid w:val="005C0F26"/>
    <w:rPr>
      <w:sz w:val="16"/>
      <w:szCs w:val="16"/>
    </w:rPr>
  </w:style>
  <w:style w:type="paragraph" w:styleId="CommentText">
    <w:name w:val="annotation text"/>
    <w:basedOn w:val="Normal"/>
    <w:link w:val="CommentTextChar"/>
    <w:uiPriority w:val="99"/>
    <w:unhideWhenUsed/>
    <w:rsid w:val="005C0F26"/>
    <w:pPr>
      <w:spacing w:line="240" w:lineRule="auto"/>
    </w:pPr>
    <w:rPr>
      <w:sz w:val="20"/>
      <w:szCs w:val="20"/>
    </w:rPr>
  </w:style>
  <w:style w:type="character" w:customStyle="1" w:styleId="CommentTextChar">
    <w:name w:val="Comment Text Char"/>
    <w:basedOn w:val="DefaultParagraphFont"/>
    <w:link w:val="CommentText"/>
    <w:uiPriority w:val="99"/>
    <w:rsid w:val="005C0F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C0F26"/>
    <w:rPr>
      <w:b/>
      <w:bCs/>
    </w:rPr>
  </w:style>
  <w:style w:type="character" w:customStyle="1" w:styleId="CommentSubjectChar">
    <w:name w:val="Comment Subject Char"/>
    <w:basedOn w:val="CommentTextChar"/>
    <w:link w:val="CommentSubject"/>
    <w:uiPriority w:val="99"/>
    <w:semiHidden/>
    <w:rsid w:val="005C0F26"/>
    <w:rPr>
      <w:rFonts w:ascii="Arial" w:hAnsi="Arial"/>
      <w:b/>
      <w:bCs/>
      <w:sz w:val="20"/>
      <w:szCs w:val="20"/>
    </w:rPr>
  </w:style>
  <w:style w:type="paragraph" w:customStyle="1" w:styleId="XoParagraph">
    <w:name w:val="Xo Paragraph"/>
    <w:basedOn w:val="Normal"/>
    <w:link w:val="XoParagraphChar"/>
    <w:qFormat/>
    <w:rsid w:val="00912008"/>
    <w:rPr>
      <w:rFonts w:eastAsiaTheme="minorHAnsi"/>
      <w:sz w:val="20"/>
      <w:szCs w:val="20"/>
    </w:rPr>
  </w:style>
  <w:style w:type="character" w:customStyle="1" w:styleId="XoParagraphChar">
    <w:name w:val="Xo Paragraph Char"/>
    <w:basedOn w:val="DefaultParagraphFont"/>
    <w:link w:val="XoParagraph"/>
    <w:rsid w:val="00912008"/>
    <w:rPr>
      <w:rFonts w:ascii="Arial" w:eastAsiaTheme="minorHAnsi" w:hAnsi="Arial"/>
      <w:sz w:val="20"/>
      <w:szCs w:val="20"/>
    </w:rPr>
  </w:style>
  <w:style w:type="paragraph" w:customStyle="1" w:styleId="CorrelaSubHeading">
    <w:name w:val="Correla Sub Heading"/>
    <w:basedOn w:val="Normal"/>
    <w:link w:val="CorrelaSubHeadingChar"/>
    <w:qFormat/>
    <w:rsid w:val="000A1610"/>
    <w:pPr>
      <w:spacing w:after="160" w:line="259" w:lineRule="auto"/>
    </w:pPr>
    <w:rPr>
      <w:rFonts w:ascii="Poppins" w:eastAsiaTheme="minorHAnsi" w:hAnsi="Poppins" w:cs="Poppins"/>
      <w:i/>
      <w:iCs/>
      <w:color w:val="2BB573"/>
      <w:sz w:val="24"/>
      <w:szCs w:val="24"/>
      <w:lang w:eastAsia="en-US"/>
    </w:rPr>
  </w:style>
  <w:style w:type="character" w:customStyle="1" w:styleId="CorrelaSubHeadingChar">
    <w:name w:val="Correla Sub Heading Char"/>
    <w:basedOn w:val="DefaultParagraphFont"/>
    <w:link w:val="CorrelaSubHeading"/>
    <w:rsid w:val="000A1610"/>
    <w:rPr>
      <w:rFonts w:ascii="Poppins" w:eastAsiaTheme="minorHAnsi" w:hAnsi="Poppins" w:cs="Poppins"/>
      <w:i/>
      <w:iCs/>
      <w:color w:val="2BB573"/>
      <w:sz w:val="24"/>
      <w:szCs w:val="24"/>
      <w:lang w:eastAsia="en-US"/>
    </w:rPr>
  </w:style>
  <w:style w:type="character" w:customStyle="1" w:styleId="ListParagraphChar">
    <w:name w:val="List Paragraph Char"/>
    <w:aliases w:val="Figure_name Char,Equipment Char,Bullet list Char,List Paragraph1 Char,Numbered Indented Text Char,Bullet 1 Char,List Paragraph Char Char Char Char,List Paragraph Char Char Char1,RFP SUB Points Char,Use Case List Paragraph Char"/>
    <w:link w:val="ListParagraph"/>
    <w:uiPriority w:val="34"/>
    <w:qFormat/>
    <w:rsid w:val="000A1610"/>
    <w:rPr>
      <w:rFonts w:ascii="Arial" w:hAnsi="Arial"/>
    </w:rPr>
  </w:style>
  <w:style w:type="character" w:styleId="FollowedHyperlink">
    <w:name w:val="FollowedHyperlink"/>
    <w:basedOn w:val="DefaultParagraphFont"/>
    <w:uiPriority w:val="99"/>
    <w:semiHidden/>
    <w:unhideWhenUsed/>
    <w:rsid w:val="00A37CDC"/>
    <w:rPr>
      <w:color w:val="D2232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Emma Catton</DisplayName>
        <AccountId>247</AccountId>
        <AccountType/>
      </UserInfo>
      <UserInfo>
        <DisplayName>Nicola Blakey</DisplayName>
        <AccountId>118</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58489C-3AC6-4092-8028-B1876A866A94}">
  <ds:schemaRefs>
    <ds:schemaRef ds:uri="http://schemas.openxmlformats.org/officeDocument/2006/bibliography"/>
  </ds:schemaRefs>
</ds:datastoreItem>
</file>

<file path=customXml/itemProps2.xml><?xml version="1.0" encoding="utf-8"?>
<ds:datastoreItem xmlns:ds="http://schemas.openxmlformats.org/officeDocument/2006/customXml" ds:itemID="{058481C7-37F8-4385-A792-E4CABCE5246A}"/>
</file>

<file path=customXml/itemProps3.xml><?xml version="1.0" encoding="utf-8"?>
<ds:datastoreItem xmlns:ds="http://schemas.openxmlformats.org/officeDocument/2006/customXml" ds:itemID="{DA5FD1E4-E801-45E3-8622-5705A3614C6C}">
  <ds:schemaRefs>
    <ds:schemaRef ds:uri="http://schemas.openxmlformats.org/package/2006/metadata/core-properties"/>
    <ds:schemaRef ds:uri="bf9d48c0-3fb6-4ed7-a7f5-694bb9231734"/>
    <ds:schemaRef ds:uri="http://purl.org/dc/dcmitype/"/>
    <ds:schemaRef ds:uri="http://schemas.microsoft.com/office/2006/documentManagement/types"/>
    <ds:schemaRef ds:uri="http://www.w3.org/XML/1998/namespace"/>
    <ds:schemaRef ds:uri="96c62218-d085-4097-ae9c-d3a1c6eefef6"/>
    <ds:schemaRef ds:uri="http://schemas.microsoft.com/office/infopath/2007/PartnerControls"/>
    <ds:schemaRef ds:uri="http://purl.org/dc/terms/"/>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Grid</dc:creator>
  <cp:keywords/>
  <cp:lastModifiedBy>Rachel Addison</cp:lastModifiedBy>
  <cp:revision>9</cp:revision>
  <dcterms:created xsi:type="dcterms:W3CDTF">2023-01-27T11:43:00Z</dcterms:created>
  <dcterms:modified xsi:type="dcterms:W3CDTF">2023-01-27T11:54:00Z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Order">
    <vt:r8>553700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wner">
    <vt:lpwstr>Unknown</vt:lpwstr>
  </property>
  <property fmtid="{D5CDD505-2E9C-101B-9397-08002B2CF9AE}" pid="9" name="MediaServiceImageTags">
    <vt:lpwstr/>
  </property>
</Properties>
</file>