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rPr>
          <w:b/>
        </w:rPr>
      </w:pPr>
      <w:r>
        <w:rPr>
          <w:b/>
        </w:rPr>
        <w:t>Draft/28 July 2016</w:t>
      </w:r>
      <w:bookmarkStart w:id="0" w:name="_GoBack"/>
      <w:bookmarkEnd w:id="0"/>
    </w:p>
    <w:p>
      <w:pPr>
        <w:pStyle w:val="BodyText"/>
        <w:jc w:val="center"/>
        <w:rPr>
          <w:b/>
        </w:rPr>
      </w:pPr>
      <w:r>
        <w:rPr>
          <w:b/>
        </w:rPr>
        <w:t>DSC SERVICE DOCUMENT</w:t>
      </w:r>
    </w:p>
    <w:p>
      <w:pPr>
        <w:pStyle w:val="BodyText"/>
        <w:jc w:val="center"/>
        <w:rPr>
          <w:b/>
        </w:rPr>
      </w:pPr>
      <w:r>
        <w:rPr>
          <w:b/>
        </w:rPr>
        <w:t>THIRD PARTY SERVICES POLICY</w:t>
      </w:r>
    </w:p>
    <w:p>
      <w:pPr>
        <w:pStyle w:val="BodyText"/>
        <w:rPr>
          <w:b/>
          <w:i/>
        </w:rPr>
      </w:pPr>
      <w:r>
        <w:rPr>
          <w:b/>
          <w:i/>
        </w:rPr>
        <w:t xml:space="preserve">This outline policy is based on the assumption of a mutual </w:t>
      </w:r>
      <w:proofErr w:type="spellStart"/>
      <w:r>
        <w:rPr>
          <w:b/>
          <w:i/>
        </w:rPr>
        <w:t>CDSP</w:t>
      </w:r>
      <w:proofErr w:type="spellEnd"/>
      <w:r>
        <w:rPr>
          <w:b/>
          <w:i/>
        </w:rPr>
        <w:t xml:space="preserve"> model in which </w:t>
      </w:r>
      <w:proofErr w:type="spellStart"/>
      <w:r>
        <w:rPr>
          <w:b/>
          <w:i/>
        </w:rPr>
        <w:t>CDSP</w:t>
      </w:r>
      <w:proofErr w:type="spellEnd"/>
      <w:r>
        <w:rPr>
          <w:b/>
          <w:i/>
        </w:rPr>
        <w:t xml:space="preserve"> is 'not for profit or loss' and that is implemented in the arrangements with Core Customers (</w:t>
      </w:r>
      <w:proofErr w:type="spellStart"/>
      <w:r>
        <w:rPr>
          <w:b/>
          <w:i/>
        </w:rPr>
        <w:t>UNC</w:t>
      </w:r>
      <w:proofErr w:type="spellEnd"/>
      <w:r>
        <w:rPr>
          <w:b/>
          <w:i/>
        </w:rPr>
        <w:t xml:space="preserve"> Parties other than Trader Users).  Core Customers, as 'economic owners' of the </w:t>
      </w:r>
      <w:proofErr w:type="spellStart"/>
      <w:r>
        <w:rPr>
          <w:b/>
          <w:i/>
        </w:rPr>
        <w:t>CDSP</w:t>
      </w:r>
      <w:proofErr w:type="spellEnd"/>
      <w:r>
        <w:rPr>
          <w:b/>
          <w:i/>
        </w:rPr>
        <w:t xml:space="preserve">, bear the risk of </w:t>
      </w:r>
      <w:proofErr w:type="spellStart"/>
      <w:r>
        <w:rPr>
          <w:b/>
          <w:i/>
        </w:rPr>
        <w:t>CDSP</w:t>
      </w:r>
      <w:proofErr w:type="spellEnd"/>
      <w:r>
        <w:rPr>
          <w:b/>
          <w:i/>
        </w:rPr>
        <w:t xml:space="preserve"> losses (including losses arising from third party services) and benefit (through reduction in charges to Core Customers) from the revenues obtained from supply of third party services, </w:t>
      </w:r>
    </w:p>
    <w:p>
      <w:pPr>
        <w:pStyle w:val="BodyText"/>
        <w:rPr>
          <w:b/>
          <w:i/>
        </w:rPr>
      </w:pPr>
      <w:r>
        <w:rPr>
          <w:b/>
          <w:i/>
        </w:rPr>
        <w:t xml:space="preserve">The main purpose of the policy is to protect and balance the interests  of Core Customers in respect of the impact of third party services on core service provision, and in respect of the risk of losses or liabilities in the provision of third party services, as against the financial benefits of such services (through a contribution to </w:t>
      </w:r>
      <w:proofErr w:type="spellStart"/>
      <w:r>
        <w:rPr>
          <w:b/>
          <w:i/>
        </w:rPr>
        <w:t>CDSP</w:t>
      </w:r>
      <w:proofErr w:type="spellEnd"/>
      <w:r>
        <w:rPr>
          <w:b/>
          <w:i/>
        </w:rPr>
        <w:t xml:space="preserve"> fixed costs plus a margin).</w:t>
      </w:r>
    </w:p>
    <w:p>
      <w:pPr>
        <w:pStyle w:val="BodyText"/>
        <w:rPr>
          <w:b/>
          <w:i/>
        </w:rPr>
      </w:pPr>
      <w:r>
        <w:rPr>
          <w:b/>
          <w:i/>
        </w:rPr>
        <w:t>This document is an outline of the policy and will be converted to legal drafting following discussion of the principles set out.</w:t>
      </w:r>
    </w:p>
    <w:p>
      <w:pPr>
        <w:pStyle w:val="BodyText"/>
      </w:pPr>
      <w:r>
        <w:rPr>
          <w:b/>
          <w:i/>
        </w:rPr>
        <w:t xml:space="preserve"> </w:t>
      </w:r>
    </w:p>
    <w:p>
      <w:pPr>
        <w:pStyle w:val="BodyText"/>
      </w:pPr>
      <w:r>
        <w:t>Version: [ ]</w:t>
      </w:r>
    </w:p>
    <w:p>
      <w:pPr>
        <w:pStyle w:val="BodyText"/>
      </w:pPr>
      <w:r>
        <w:t>Effective date: [ ]</w:t>
      </w:r>
    </w:p>
    <w:p>
      <w:pPr>
        <w:pStyle w:val="Heading1"/>
        <w:jc w:val="both"/>
      </w:pPr>
      <w:r>
        <w:t>General</w:t>
      </w:r>
    </w:p>
    <w:p>
      <w:pPr>
        <w:pStyle w:val="Heading2"/>
        <w:jc w:val="both"/>
        <w:rPr>
          <w:b/>
        </w:rPr>
      </w:pPr>
      <w:r>
        <w:rPr>
          <w:b/>
        </w:rPr>
        <w:t>Introduction</w:t>
      </w:r>
    </w:p>
    <w:p>
      <w:pPr>
        <w:pStyle w:val="Heading3"/>
        <w:jc w:val="both"/>
      </w:pPr>
      <w:r>
        <w:t xml:space="preserve">This Document is the Third Party Services Policy referred to in Section </w:t>
      </w:r>
      <w:proofErr w:type="spellStart"/>
      <w:r>
        <w:t>GTD</w:t>
      </w:r>
      <w:proofErr w:type="spellEnd"/>
      <w:r>
        <w:t xml:space="preserve"> Paragraph 3.1.4 and Clause [ ] of the DSC Terms and Conditions and is a DSC Service Document.</w:t>
      </w:r>
    </w:p>
    <w:p>
      <w:pPr>
        <w:pStyle w:val="Heading3"/>
        <w:jc w:val="both"/>
      </w:pPr>
      <w:r>
        <w:t>This Document is an integral part of and is incorporated in the DSC.</w:t>
      </w:r>
    </w:p>
    <w:p>
      <w:pPr>
        <w:pStyle w:val="Heading3"/>
        <w:jc w:val="both"/>
      </w:pPr>
      <w:r>
        <w:t xml:space="preserve">The version of this Document which is in force, and the date from which it is in force, is as stated above. </w:t>
      </w:r>
    </w:p>
    <w:p>
      <w:pPr>
        <w:pStyle w:val="Heading2"/>
        <w:jc w:val="both"/>
        <w:rPr>
          <w:b/>
        </w:rPr>
      </w:pPr>
      <w:r>
        <w:rPr>
          <w:b/>
        </w:rPr>
        <w:t>Interpretation</w:t>
      </w:r>
    </w:p>
    <w:p>
      <w:pPr>
        <w:pStyle w:val="Heading3"/>
        <w:jc w:val="both"/>
      </w:pPr>
      <w:r>
        <w:t>In this Document:</w:t>
      </w:r>
    </w:p>
    <w:p>
      <w:pPr>
        <w:pStyle w:val="Heading4"/>
        <w:jc w:val="both"/>
      </w:pPr>
      <w:r>
        <w:rPr>
          <w:b/>
        </w:rPr>
        <w:t>Uniform Network Code</w:t>
      </w:r>
      <w:r>
        <w:t xml:space="preserve"> or </w:t>
      </w:r>
      <w:proofErr w:type="spellStart"/>
      <w:r>
        <w:rPr>
          <w:b/>
        </w:rPr>
        <w:t>UNC</w:t>
      </w:r>
      <w:proofErr w:type="spellEnd"/>
      <w:r>
        <w:t xml:space="preserve"> means the Uniform Network Code [/];</w:t>
      </w:r>
    </w:p>
    <w:p>
      <w:pPr>
        <w:pStyle w:val="Heading4"/>
        <w:jc w:val="both"/>
      </w:pPr>
      <w:r>
        <w:t>a reference to Section GTB7 is to Section B7 of the General Terms of the Uniform Network Code;</w:t>
      </w:r>
    </w:p>
    <w:p>
      <w:pPr>
        <w:pStyle w:val="Heading4"/>
        <w:jc w:val="both"/>
      </w:pPr>
      <w:r>
        <w:rPr>
          <w:b/>
        </w:rPr>
        <w:t>DSC Terms and Conditions</w:t>
      </w:r>
      <w:r>
        <w:t xml:space="preserve"> means the DSC Terms and Conditions as defined in and for the time being in force pursuant to </w:t>
      </w:r>
      <w:proofErr w:type="spellStart"/>
      <w:r>
        <w:t>TPD</w:t>
      </w:r>
      <w:proofErr w:type="spellEnd"/>
      <w:r>
        <w:t xml:space="preserve"> Section GTB7</w:t>
      </w:r>
    </w:p>
    <w:p>
      <w:pPr>
        <w:pStyle w:val="Heading4"/>
        <w:jc w:val="both"/>
      </w:pPr>
      <w:r>
        <w:t>terms defined in the DSC Terms and Conditions and not otherwise defined in this Document have the meanings given to them in the DSC Terms and Conditions;</w:t>
      </w:r>
    </w:p>
    <w:p>
      <w:pPr>
        <w:pStyle w:val="Heading4"/>
        <w:jc w:val="both"/>
      </w:pPr>
      <w:r>
        <w:lastRenderedPageBreak/>
        <w:t>terms defined in any other DSC Service Document and not otherwise defined in this Document have the meanings given to them in that DSC Service Document;</w:t>
      </w:r>
    </w:p>
    <w:p>
      <w:pPr>
        <w:pStyle w:val="Heading4"/>
        <w:jc w:val="both"/>
      </w:pPr>
      <w:r>
        <w:t xml:space="preserve">the further provisions of the DSC Terms and Conditions as to interpretation apply. </w:t>
      </w:r>
    </w:p>
    <w:p>
      <w:pPr>
        <w:pStyle w:val="Heading2"/>
        <w:jc w:val="both"/>
      </w:pPr>
      <w:r>
        <w:t>In this Document the following terms have the following meanings:</w:t>
      </w:r>
    </w:p>
    <w:p>
      <w:pPr>
        <w:pStyle w:val="Heading2"/>
        <w:numPr>
          <w:ilvl w:val="0"/>
          <w:numId w:val="0"/>
        </w:numPr>
        <w:ind w:left="720"/>
        <w:jc w:val="both"/>
      </w:pPr>
      <w:r>
        <w:rPr>
          <w:b/>
        </w:rPr>
        <w:t>Third Party Services</w:t>
      </w:r>
      <w:r>
        <w:t xml:space="preserve"> means [</w:t>
      </w:r>
      <w:r>
        <w:rPr>
          <w:i/>
        </w:rPr>
        <w:t xml:space="preserve">to cover (a) services provided to any parties who are not Core Customers; and </w:t>
      </w:r>
      <w:commentRangeStart w:id="1"/>
      <w:commentRangeStart w:id="2"/>
      <w:r>
        <w:rPr>
          <w:i/>
        </w:rPr>
        <w:t>(b) services which are not DSC services and are available to Core Customers as third party services</w:t>
      </w:r>
      <w:commentRangeEnd w:id="1"/>
      <w:r>
        <w:rPr>
          <w:rStyle w:val="CommentReference"/>
          <w:bCs w:val="0"/>
        </w:rPr>
        <w:commentReference w:id="1"/>
      </w:r>
      <w:commentRangeEnd w:id="2"/>
      <w:r>
        <w:rPr>
          <w:rStyle w:val="CommentReference"/>
          <w:bCs w:val="0"/>
        </w:rPr>
        <w:commentReference w:id="2"/>
      </w:r>
      <w:r>
        <w:t>];</w:t>
      </w:r>
    </w:p>
    <w:p>
      <w:pPr>
        <w:pStyle w:val="Heading2"/>
        <w:numPr>
          <w:ilvl w:val="0"/>
          <w:numId w:val="0"/>
        </w:numPr>
        <w:ind w:left="720"/>
        <w:jc w:val="both"/>
      </w:pPr>
      <w:r>
        <w:t>References to the Committee are to the Contract Management Committee.</w:t>
      </w:r>
    </w:p>
    <w:p>
      <w:pPr>
        <w:pStyle w:val="Heading2"/>
        <w:jc w:val="both"/>
      </w:pPr>
      <w:r>
        <w:t>In the case of any conflict between the provisions of this Document and any other part of the DSC the provisions of the DSC Terms and Conditions as to priority apply.</w:t>
      </w:r>
    </w:p>
    <w:p>
      <w:pPr>
        <w:pStyle w:val="Heading2"/>
        <w:jc w:val="both"/>
        <w:rPr>
          <w:b/>
        </w:rPr>
      </w:pPr>
      <w:r>
        <w:rPr>
          <w:b/>
        </w:rPr>
        <w:t>Scope and purpose</w:t>
      </w:r>
    </w:p>
    <w:p>
      <w:pPr>
        <w:pStyle w:val="Heading3"/>
        <w:jc w:val="both"/>
      </w:pPr>
      <w:r>
        <w:t>The purpose of this Document is to:</w:t>
      </w:r>
    </w:p>
    <w:p>
      <w:pPr>
        <w:pStyle w:val="Heading4"/>
        <w:jc w:val="both"/>
      </w:pPr>
      <w:r>
        <w:t xml:space="preserve">Define the scope of Third Party Services which are or may be provided by </w:t>
      </w:r>
      <w:proofErr w:type="spellStart"/>
      <w:r>
        <w:t>CDSP</w:t>
      </w:r>
      <w:proofErr w:type="spellEnd"/>
      <w:r>
        <w:t>;</w:t>
      </w:r>
    </w:p>
    <w:p>
      <w:pPr>
        <w:pStyle w:val="Heading4"/>
        <w:jc w:val="both"/>
      </w:pPr>
      <w:r>
        <w:t xml:space="preserve">Define the criteria under which </w:t>
      </w:r>
      <w:proofErr w:type="spellStart"/>
      <w:r>
        <w:t>CDSP</w:t>
      </w:r>
      <w:proofErr w:type="spellEnd"/>
      <w:r>
        <w:t xml:space="preserve"> can offer Third Party Services; and</w:t>
      </w:r>
    </w:p>
    <w:p>
      <w:pPr>
        <w:pStyle w:val="Heading4"/>
        <w:jc w:val="both"/>
      </w:pPr>
      <w:r>
        <w:t xml:space="preserve">Define the approvals required for </w:t>
      </w:r>
      <w:proofErr w:type="spellStart"/>
      <w:r>
        <w:t>CDSP</w:t>
      </w:r>
      <w:proofErr w:type="spellEnd"/>
      <w:r>
        <w:t xml:space="preserve"> to offer Third Party Services.</w:t>
      </w:r>
    </w:p>
    <w:p>
      <w:pPr>
        <w:pStyle w:val="Heading3"/>
        <w:jc w:val="both"/>
      </w:pPr>
      <w:r>
        <w:t>This Document is organised as follows:</w:t>
      </w:r>
    </w:p>
    <w:p>
      <w:pPr>
        <w:pStyle w:val="BodyText3"/>
        <w:jc w:val="both"/>
      </w:pPr>
      <w:r>
        <w:t>[ ]</w:t>
      </w:r>
    </w:p>
    <w:p>
      <w:pPr>
        <w:pStyle w:val="Heading2"/>
        <w:jc w:val="both"/>
        <w:rPr>
          <w:b/>
        </w:rPr>
      </w:pPr>
      <w:r>
        <w:rPr>
          <w:b/>
        </w:rPr>
        <w:t>Amendment</w:t>
      </w:r>
    </w:p>
    <w:p>
      <w:pPr>
        <w:pStyle w:val="Heading3"/>
        <w:numPr>
          <w:ilvl w:val="2"/>
          <w:numId w:val="8"/>
        </w:numPr>
        <w:jc w:val="both"/>
      </w:pPr>
      <w:r>
        <w:t>[</w:t>
      </w:r>
      <w:r>
        <w:rPr>
          <w:i/>
        </w:rPr>
        <w:t>To set out basis of amendment – where relevant by reference to Change Control Procedures document.</w:t>
      </w:r>
      <w:r>
        <w:t>]</w:t>
      </w:r>
    </w:p>
    <w:p>
      <w:pPr>
        <w:pStyle w:val="Heading1"/>
        <w:jc w:val="both"/>
        <w:rPr>
          <w:sz w:val="20"/>
          <w:szCs w:val="20"/>
        </w:rPr>
      </w:pPr>
      <w:commentRangeStart w:id="3"/>
      <w:r>
        <w:rPr>
          <w:sz w:val="20"/>
          <w:szCs w:val="20"/>
        </w:rPr>
        <w:t>Third Party Service Criteria</w:t>
      </w:r>
      <w:commentRangeEnd w:id="3"/>
      <w:r>
        <w:rPr>
          <w:rStyle w:val="CommentReference"/>
          <w:b w:val="0"/>
          <w:bCs w:val="0"/>
          <w:szCs w:val="24"/>
        </w:rPr>
        <w:commentReference w:id="3"/>
      </w:r>
    </w:p>
    <w:p>
      <w:pPr>
        <w:pStyle w:val="Heading2"/>
        <w:jc w:val="both"/>
      </w:pPr>
      <w:proofErr w:type="spellStart"/>
      <w:r>
        <w:t>CDSP</w:t>
      </w:r>
      <w:proofErr w:type="spellEnd"/>
      <w:r>
        <w:t xml:space="preserve"> will be entitled (without prior approval of the Committee) to offer a service to any third party that meets the following criteria:</w:t>
      </w:r>
    </w:p>
    <w:p>
      <w:pPr>
        <w:pStyle w:val="Heading3"/>
      </w:pPr>
      <w:commentRangeStart w:id="4"/>
      <w:r>
        <w:t xml:space="preserve">is within or related to the UK gas or data management business; </w:t>
      </w:r>
    </w:p>
    <w:p>
      <w:pPr>
        <w:pStyle w:val="Heading3"/>
        <w:jc w:val="both"/>
      </w:pPr>
      <w:r>
        <w:t xml:space="preserve">is within </w:t>
      </w:r>
      <w:proofErr w:type="spellStart"/>
      <w:r>
        <w:t>CDSP’s</w:t>
      </w:r>
      <w:proofErr w:type="spellEnd"/>
      <w:r>
        <w:t xml:space="preserve"> skill set; </w:t>
      </w:r>
      <w:commentRangeEnd w:id="4"/>
      <w:r>
        <w:rPr>
          <w:rStyle w:val="CommentReference"/>
        </w:rPr>
        <w:commentReference w:id="4"/>
      </w:r>
    </w:p>
    <w:p>
      <w:pPr>
        <w:pStyle w:val="Heading3"/>
        <w:jc w:val="both"/>
      </w:pPr>
      <w:commentRangeStart w:id="5"/>
      <w:r>
        <w:t>charges for the service will provide a contribution to fixed costs</w:t>
      </w:r>
      <w:commentRangeEnd w:id="5"/>
      <w:r>
        <w:rPr>
          <w:rStyle w:val="CommentReference"/>
        </w:rPr>
        <w:commentReference w:id="5"/>
      </w:r>
      <w:r>
        <w:t>;</w:t>
      </w:r>
    </w:p>
    <w:p>
      <w:pPr>
        <w:pStyle w:val="Heading3"/>
        <w:jc w:val="both"/>
      </w:pPr>
      <w:r>
        <w:t xml:space="preserve">does not pose an unacceptable risk to the delivery of core DSC Services, including because of [use or change of UK Link, use of data, use of </w:t>
      </w:r>
      <w:proofErr w:type="spellStart"/>
      <w:r>
        <w:t>CDSP</w:t>
      </w:r>
      <w:proofErr w:type="spellEnd"/>
      <w:r>
        <w:t xml:space="preserve"> resources]; </w:t>
      </w:r>
    </w:p>
    <w:p>
      <w:pPr>
        <w:pStyle w:val="Heading3"/>
      </w:pPr>
      <w:r>
        <w:t xml:space="preserve">it is a </w:t>
      </w:r>
      <w:proofErr w:type="spellStart"/>
      <w:r>
        <w:t>CDSP</w:t>
      </w:r>
      <w:proofErr w:type="spellEnd"/>
      <w:r>
        <w:t xml:space="preserve"> service (within the meaning of the GT Licence Condition) or </w:t>
      </w:r>
      <w:proofErr w:type="spellStart"/>
      <w:r>
        <w:t>Ofgem</w:t>
      </w:r>
      <w:proofErr w:type="spellEnd"/>
      <w:r>
        <w:t xml:space="preserve"> has, on the application of the </w:t>
      </w:r>
      <w:proofErr w:type="spellStart"/>
      <w:r>
        <w:t>GTs</w:t>
      </w:r>
      <w:proofErr w:type="spellEnd"/>
      <w:r>
        <w:t xml:space="preserve">, consented to the provision of the service; </w:t>
      </w:r>
    </w:p>
    <w:p>
      <w:pPr>
        <w:pStyle w:val="Heading3"/>
      </w:pPr>
      <w:proofErr w:type="spellStart"/>
      <w:r>
        <w:t>CDSP</w:t>
      </w:r>
      <w:proofErr w:type="spellEnd"/>
      <w:r>
        <w:t xml:space="preserve"> is legally entitled to provide the service; </w:t>
      </w:r>
    </w:p>
    <w:p>
      <w:pPr>
        <w:pStyle w:val="Heading3"/>
        <w:jc w:val="both"/>
      </w:pPr>
      <w:r>
        <w:t>the Customer is legally entitled to receive the service;</w:t>
      </w:r>
    </w:p>
    <w:p>
      <w:pPr>
        <w:pStyle w:val="Heading3"/>
        <w:jc w:val="both"/>
      </w:pPr>
      <w:r>
        <w:lastRenderedPageBreak/>
        <w:t>liabilities agreed in relation to the provision of the relevant service will not exceed [150%] of the charges payable for the relevant service.  This does not apply to liabilities which can not be excluded or limited under law and any liabilities which [in the ordinary course of business] would not typically be limited;</w:t>
      </w:r>
    </w:p>
    <w:p>
      <w:pPr>
        <w:pStyle w:val="Heading3"/>
        <w:jc w:val="both"/>
      </w:pPr>
      <w:proofErr w:type="spellStart"/>
      <w:r>
        <w:t>CDSP</w:t>
      </w:r>
      <w:proofErr w:type="spellEnd"/>
      <w:r>
        <w:t xml:space="preserve"> has assessed that it can resource and provide the service without significant risk of such liabilities arising;</w:t>
      </w:r>
    </w:p>
    <w:p>
      <w:pPr>
        <w:pStyle w:val="Heading3"/>
        <w:jc w:val="both"/>
      </w:pPr>
      <w:r>
        <w:t xml:space="preserve">the service does not involve the disclosure of data which is confidential to other customers (unless they have consented to the disclosure); </w:t>
      </w:r>
    </w:p>
    <w:p>
      <w:pPr>
        <w:pStyle w:val="Heading3"/>
        <w:jc w:val="both"/>
      </w:pPr>
      <w:r>
        <w:t>the total aggregate charges payable over the duration of the contract (“</w:t>
      </w:r>
      <w:r>
        <w:rPr>
          <w:b/>
        </w:rPr>
        <w:t>Lifetime Contract Value</w:t>
      </w:r>
      <w:r>
        <w:t xml:space="preserve">”) for the provision of the relevant services will not exceed [£100,000]; </w:t>
      </w:r>
    </w:p>
    <w:p>
      <w:pPr>
        <w:pStyle w:val="Heading3"/>
        <w:jc w:val="both"/>
      </w:pPr>
      <w:r>
        <w:t xml:space="preserve">[total charges under all third party services not more than [/]% of turnover]; </w:t>
      </w:r>
    </w:p>
    <w:p>
      <w:pPr>
        <w:pStyle w:val="Heading3"/>
        <w:jc w:val="both"/>
      </w:pPr>
      <w:r>
        <w:t>the duration of the contract does not exceed [/]; and</w:t>
      </w:r>
    </w:p>
    <w:p>
      <w:pPr>
        <w:pStyle w:val="Heading3"/>
        <w:jc w:val="both"/>
      </w:pPr>
      <w:r>
        <w:t>the Credit Policy is applied to the third party under the contract.</w:t>
      </w:r>
    </w:p>
    <w:p>
      <w:pPr>
        <w:pStyle w:val="Heading2"/>
        <w:jc w:val="both"/>
      </w:pPr>
      <w:r>
        <w:t xml:space="preserve">Provision to be added to set out basis on which </w:t>
      </w:r>
      <w:proofErr w:type="spellStart"/>
      <w:r>
        <w:t>CDSP</w:t>
      </w:r>
      <w:proofErr w:type="spellEnd"/>
      <w:r>
        <w:t xml:space="preserve"> can provide such services if the criteria in paragraph 2.1 are not met but the potential third party service has other benefits to </w:t>
      </w:r>
      <w:proofErr w:type="spellStart"/>
      <w:r>
        <w:t>CDSP</w:t>
      </w:r>
      <w:proofErr w:type="spellEnd"/>
      <w:r>
        <w:t xml:space="preserve"> or the Customers.</w:t>
      </w:r>
    </w:p>
    <w:p>
      <w:pPr>
        <w:pStyle w:val="Heading1"/>
        <w:jc w:val="both"/>
        <w:rPr>
          <w:sz w:val="20"/>
          <w:szCs w:val="20"/>
        </w:rPr>
      </w:pPr>
      <w:r>
        <w:rPr>
          <w:sz w:val="20"/>
          <w:szCs w:val="20"/>
        </w:rPr>
        <w:t>Charging</w:t>
      </w:r>
    </w:p>
    <w:p>
      <w:pPr>
        <w:pStyle w:val="Heading2"/>
      </w:pPr>
      <w:r>
        <w:t>The charging principles for third party services are:</w:t>
      </w:r>
    </w:p>
    <w:p>
      <w:pPr>
        <w:pStyle w:val="Heading4"/>
      </w:pPr>
      <w:r>
        <w:t>the cost allocation principles in the Budget and Charging Methodology are used to identify the cost of the service;</w:t>
      </w:r>
    </w:p>
    <w:p>
      <w:pPr>
        <w:pStyle w:val="Heading4"/>
      </w:pPr>
      <w:r>
        <w:t xml:space="preserve">the service must be provided at a </w:t>
      </w:r>
      <w:commentRangeStart w:id="6"/>
      <w:r>
        <w:t xml:space="preserve">margin </w:t>
      </w:r>
      <w:commentRangeEnd w:id="6"/>
      <w:r>
        <w:rPr>
          <w:rStyle w:val="CommentReference"/>
        </w:rPr>
        <w:commentReference w:id="6"/>
      </w:r>
      <w:r>
        <w:t xml:space="preserve">over those costs.  The margin may vary depending on the contestability of the service and will reflect the </w:t>
      </w:r>
      <w:proofErr w:type="spellStart"/>
      <w:r>
        <w:t>CDSP's</w:t>
      </w:r>
      <w:proofErr w:type="spellEnd"/>
      <w:r>
        <w:t xml:space="preserve"> risk / liability under the contract;</w:t>
      </w:r>
    </w:p>
    <w:p>
      <w:pPr>
        <w:pStyle w:val="Heading4"/>
      </w:pPr>
      <w:r>
        <w:t xml:space="preserve">the third party customer will not be expected to bear a share of any </w:t>
      </w:r>
      <w:proofErr w:type="spellStart"/>
      <w:r>
        <w:t>CDSP</w:t>
      </w:r>
      <w:proofErr w:type="spellEnd"/>
      <w:r>
        <w:t xml:space="preserve"> losses except those arising under the contract.</w:t>
      </w:r>
    </w:p>
    <w:p>
      <w:pPr>
        <w:pStyle w:val="Heading3"/>
        <w:numPr>
          <w:ilvl w:val="0"/>
          <w:numId w:val="0"/>
        </w:numPr>
        <w:ind w:left="720"/>
      </w:pPr>
    </w:p>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ntons" w:date="2016-07-28T17:04:00Z" w:initials="Dentons">
    <w:p>
      <w:pPr>
        <w:pStyle w:val="CommentText"/>
      </w:pPr>
      <w:r>
        <w:rPr>
          <w:rStyle w:val="CommentReference"/>
        </w:rPr>
        <w:annotationRef/>
      </w:r>
      <w:r>
        <w:rPr>
          <w:rStyle w:val="CommentReference"/>
        </w:rPr>
        <w:annotationRef/>
      </w:r>
      <w:r>
        <w:t>An important point for discussion is whether (i) all services provided  to a Core Customer should be provided under the DSC, including any bespoke services, or (ii) services which are not 'DSC services' (</w:t>
      </w:r>
      <w:proofErr w:type="spellStart"/>
      <w:r>
        <w:t>eg</w:t>
      </w:r>
      <w:proofErr w:type="spellEnd"/>
      <w:r>
        <w:t xml:space="preserve"> available to all Customers within a Customer Class) should only be available to Core Customers as Third Party Services.  The approach in (ii) would simplify the classification of services in </w:t>
      </w:r>
      <w:proofErr w:type="spellStart"/>
      <w:r>
        <w:t>UNC</w:t>
      </w:r>
      <w:proofErr w:type="spellEnd"/>
      <w:r>
        <w:t xml:space="preserve"> GTD.</w:t>
      </w:r>
    </w:p>
    <w:p>
      <w:pPr>
        <w:pStyle w:val="CommentText"/>
      </w:pPr>
    </w:p>
  </w:comment>
  <w:comment w:id="2" w:author="Dentons" w:date="2016-07-28T16:45:00Z" w:initials="Dentons">
    <w:p>
      <w:pPr>
        <w:pStyle w:val="CommentText"/>
      </w:pPr>
      <w:r>
        <w:rPr>
          <w:rStyle w:val="CommentReference"/>
        </w:rPr>
        <w:annotationRef/>
      </w:r>
      <w:r>
        <w:t>A separate point is whether the IX service provided to Trader Users (and also to some third parties) should be treated as a Third Party Service, or should be a separate category (based on a prescribed UK Link User Agreement).</w:t>
      </w:r>
    </w:p>
  </w:comment>
  <w:comment w:id="3" w:author="Dentons" w:date="2016-07-28T16:46:00Z" w:initials="Dentons">
    <w:p>
      <w:pPr>
        <w:pStyle w:val="CommentText"/>
      </w:pPr>
      <w:r>
        <w:rPr>
          <w:rStyle w:val="CommentReference"/>
        </w:rPr>
        <w:annotationRef/>
      </w:r>
      <w:r>
        <w:t xml:space="preserve">Note: these are 'business rules' which will be adapted into legal drafting after discussion in the next meeting.  The suggested criteria are for discussion with the industry – not all may be needed.  The discussion is to assess the acceptable level of risk. </w:t>
      </w:r>
    </w:p>
  </w:comment>
  <w:comment w:id="4" w:author="Dentons" w:date="2016-07-28T12:05:00Z" w:initials="Dentons">
    <w:p>
      <w:pPr>
        <w:pStyle w:val="CommentText"/>
      </w:pPr>
      <w:r>
        <w:rPr>
          <w:rStyle w:val="CommentReference"/>
        </w:rPr>
        <w:annotationRef/>
      </w:r>
      <w:r>
        <w:t xml:space="preserve">These are part of </w:t>
      </w:r>
      <w:proofErr w:type="spellStart"/>
      <w:r>
        <w:t>Xoserve's</w:t>
      </w:r>
      <w:proofErr w:type="spellEnd"/>
      <w:r>
        <w:t xml:space="preserve"> existing tests, but probably form part of the meaning of '</w:t>
      </w:r>
      <w:proofErr w:type="spellStart"/>
      <w:r>
        <w:t>CDSP</w:t>
      </w:r>
      <w:proofErr w:type="spellEnd"/>
      <w:r>
        <w:t xml:space="preserve"> services' and so may not need to be included separately. </w:t>
      </w:r>
    </w:p>
  </w:comment>
  <w:comment w:id="5" w:author="Dentons" w:date="2016-07-28T12:05:00Z" w:initials="Dentons">
    <w:p>
      <w:pPr>
        <w:pStyle w:val="CommentText"/>
      </w:pPr>
      <w:r>
        <w:rPr>
          <w:rStyle w:val="CommentReference"/>
        </w:rPr>
        <w:annotationRef/>
      </w:r>
      <w:r>
        <w:t>A separate question is whether a third party service could require any initial incremental funding by core customers (to be recovered, plus margin, from the third party).</w:t>
      </w:r>
    </w:p>
  </w:comment>
  <w:comment w:id="6" w:author="Dentons" w:date="2016-07-28T12:05:00Z" w:initials="Dentons">
    <w:p>
      <w:pPr>
        <w:pStyle w:val="CommentText"/>
      </w:pPr>
      <w:r>
        <w:rPr>
          <w:rStyle w:val="CommentReference"/>
        </w:rPr>
        <w:annotationRef/>
      </w:r>
      <w:r>
        <w:t xml:space="preserve">It is for discussion to what extent transparency can be provided as to the basis on which the margin will (in different cases) be determined, while preserving flexibility for the </w:t>
      </w:r>
      <w:proofErr w:type="spellStart"/>
      <w:r>
        <w:t>CDSP</w:t>
      </w:r>
      <w:proofErr w:type="spellEnd"/>
      <w:r>
        <w:t xml:space="preserve"> in setting and negotiating charges.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r>
      <w:rPr>
        <w:noProof/>
      </w:rPr>
      <w:t>28 July 2016</w:t>
    </w:r>
    <w:r>
      <w:fldChar w:fldCharType="end"/>
    </w:r>
  </w:p>
  <w:p>
    <w:pPr>
      <w:pStyle w:val="Footer"/>
    </w:pPr>
    <w:r>
      <w:fldChar w:fldCharType="begin"/>
    </w:r>
    <w:r>
      <w:instrText xml:space="preserve"> COMMENTS  \* MERGEFORMAT </w:instrText>
    </w:r>
    <w:r>
      <w:fldChar w:fldCharType="separate"/>
    </w:r>
    <w:r>
      <w:t>CWCW/</w:t>
    </w:r>
    <w:proofErr w:type="spellStart"/>
    <w:r>
      <w:t>DBT</w:t>
    </w:r>
    <w:proofErr w:type="spellEnd"/>
    <w:r>
      <w:t>/036091.00001/43903792.01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r>
        <w:rPr>
          <w:sz w:val="16"/>
        </w:rPr>
        <w:t>43903792.01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2176"/>
      <w:docPartObj>
        <w:docPartGallery w:val="Watermarks"/>
        <w:docPartUnique/>
      </w:docPartObj>
    </w:sdtPr>
    <w:sdtContent>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5.45pt;height:194.1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0BB64B0"/>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9A425F6"/>
    <w:multiLevelType w:val="multilevel"/>
    <w:tmpl w:val="E76481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27"/>
      <w:numFmt w:val="lowerLetter"/>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70EC4FFF"/>
    <w:multiLevelType w:val="hybridMultilevel"/>
    <w:tmpl w:val="5384556A"/>
    <w:lvl w:ilvl="0" w:tplc="D6A2BAA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5"/>
  </w:num>
  <w:num w:numId="3">
    <w:abstractNumId w:val="5"/>
  </w:num>
  <w:num w:numId="4">
    <w:abstractNumId w:val="5"/>
  </w:num>
  <w:num w:numId="5">
    <w:abstractNumId w:val="1"/>
  </w:num>
  <w:num w:numId="6">
    <w:abstractNumId w:val="2"/>
  </w:num>
  <w:num w:numId="7">
    <w:abstractNumId w:val="6"/>
  </w:num>
  <w:num w:numId="8">
    <w:abstractNumId w:val="4"/>
  </w:num>
  <w:num w:numId="9">
    <w:abstractNumId w:val="9"/>
  </w:num>
  <w:num w:numId="10">
    <w:abstractNumId w:val="0"/>
  </w:num>
  <w:num w:numId="11">
    <w:abstractNumId w:val="7"/>
  </w:num>
  <w:num w:numId="12">
    <w:abstractNumId w:val="7"/>
  </w:num>
  <w:num w:numId="13">
    <w:abstractNumId w:val="7"/>
  </w:num>
  <w:num w:numId="14">
    <w:abstractNumId w:val="8"/>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activeWritingStyle w:appName="MSWord" w:lang="en-GB" w:vendorID="8" w:dllVersion="513" w:checkStyle="1"/>
  <w:proofState w:spelling="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15"/>
      </w:numPr>
      <w:spacing w:before="240"/>
      <w:outlineLvl w:val="0"/>
    </w:pPr>
    <w:rPr>
      <w:b/>
      <w:bCs/>
      <w:sz w:val="22"/>
      <w:szCs w:val="26"/>
    </w:rPr>
  </w:style>
  <w:style w:type="paragraph" w:styleId="Heading2">
    <w:name w:val="heading 2"/>
    <w:basedOn w:val="BodyText"/>
    <w:next w:val="BodyText2"/>
    <w:qFormat/>
    <w:pPr>
      <w:numPr>
        <w:ilvl w:val="1"/>
        <w:numId w:val="15"/>
      </w:numPr>
      <w:outlineLvl w:val="1"/>
    </w:pPr>
    <w:rPr>
      <w:bCs/>
    </w:rPr>
  </w:style>
  <w:style w:type="paragraph" w:styleId="Heading3">
    <w:name w:val="heading 3"/>
    <w:basedOn w:val="BodyText"/>
    <w:next w:val="BodyText3"/>
    <w:qFormat/>
    <w:pPr>
      <w:numPr>
        <w:ilvl w:val="2"/>
        <w:numId w:val="15"/>
      </w:numPr>
      <w:outlineLvl w:val="2"/>
    </w:pPr>
  </w:style>
  <w:style w:type="paragraph" w:styleId="Heading4">
    <w:name w:val="heading 4"/>
    <w:basedOn w:val="BodyText"/>
    <w:qFormat/>
    <w:pPr>
      <w:numPr>
        <w:ilvl w:val="3"/>
        <w:numId w:val="15"/>
      </w:numPr>
      <w:outlineLvl w:val="3"/>
    </w:pPr>
  </w:style>
  <w:style w:type="paragraph" w:styleId="Heading5">
    <w:name w:val="heading 5"/>
    <w:basedOn w:val="BodyText"/>
    <w:qFormat/>
    <w:pPr>
      <w:numPr>
        <w:ilvl w:val="4"/>
        <w:numId w:val="15"/>
      </w:numPr>
      <w:outlineLvl w:val="4"/>
    </w:pPr>
  </w:style>
  <w:style w:type="paragraph" w:styleId="Heading6">
    <w:name w:val="heading 6"/>
    <w:basedOn w:val="BodyText"/>
    <w:qFormat/>
    <w:pPr>
      <w:numPr>
        <w:ilvl w:val="5"/>
        <w:numId w:val="15"/>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semiHidden/>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ListParagraph">
    <w:name w:val="List Paragraph"/>
    <w:basedOn w:val="Normal"/>
    <w:uiPriority w:val="34"/>
    <w:qFormat/>
    <w:pPr>
      <w:spacing w:after="20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D09A-B619-489D-BA6C-213D7D2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3</Pages>
  <Words>980</Words>
  <Characters>4539</Characters>
  <Application>Microsoft Office Word</Application>
  <DocSecurity>0</DocSecurity>
  <Lines>89</Lines>
  <Paragraphs>62</Paragraphs>
  <ScaleCrop>false</ScaleCrop>
  <HeadingPairs>
    <vt:vector size="2" baseType="variant">
      <vt:variant>
        <vt:lpstr>Title</vt:lpstr>
      </vt:variant>
      <vt:variant>
        <vt:i4>1</vt:i4>
      </vt:variant>
    </vt:vector>
  </HeadingPairs>
  <TitlesOfParts>
    <vt:vector size="1" baseType="lpstr">
      <vt:lpstr>43903792.01</vt:lpstr>
    </vt:vector>
  </TitlesOfParts>
  <Company>Dentons</Company>
  <LinksUpToDate>false</LinksUpToDate>
  <CharactersWithSpaces>5457</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43903792.01</dc:title>
  <dc:creator>Dentons</dc:creator>
  <dc:description>CWCW/DBT/036091.00001/43903792.01</dc:description>
  <cp:lastModifiedBy>Dentons</cp:lastModifiedBy>
  <cp:revision>6</cp:revision>
  <cp:lastPrinted>2016-04-29T09:18:00Z</cp:lastPrinted>
  <dcterms:created xsi:type="dcterms:W3CDTF">2016-07-28T14:48:00Z</dcterms:created>
  <dcterms:modified xsi:type="dcterms:W3CDTF">2016-07-28T16:20:00Z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43903792.01</vt:lpwstr>
  </property>
  <property fmtid="{D5CDD505-2E9C-101B-9397-08002B2CF9AE}" pid="4" name="Version">
    <vt:lpwstr>2.0</vt:lpwstr>
  </property>
  <property fmtid="{D5CDD505-2E9C-101B-9397-08002B2CF9AE}" pid="5" name="OurRef">
    <vt:lpwstr>CWCW/DBT/036091.00001</vt:lpwstr>
  </property>
  <property fmtid="{D5CDD505-2E9C-101B-9397-08002B2CF9AE}" pid="7" name="_NewReviewCycle">
    <vt:lpwstr/>
  </property>
</Properties>
</file>