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Draft: 24 October 2016</w:t>
      </w:r>
    </w:p>
    <w:p>
      <w:pPr>
        <w:pStyle w:val="BodyText"/>
        <w:jc w:val="center"/>
        <w:rPr>
          <w:b/>
          <w:sz w:val="22"/>
          <w:szCs w:val="22"/>
        </w:rPr>
      </w:pPr>
      <w:r>
        <w:rPr>
          <w:b/>
          <w:sz w:val="22"/>
          <w:szCs w:val="22"/>
        </w:rPr>
        <w:t>Table of clauses which reference CDSP Licence Condition (explicitly or implicitly)</w:t>
      </w:r>
    </w:p>
    <w:tbl>
      <w:tblPr>
        <w:tblStyle w:val="TableGrid"/>
        <w:tblW w:w="14176" w:type="dxa"/>
        <w:tblLook w:val="04A0" w:firstRow="1" w:lastRow="0" w:firstColumn="1" w:lastColumn="0" w:noHBand="0" w:noVBand="1"/>
      </w:tblPr>
      <w:tblGrid>
        <w:gridCol w:w="1344"/>
        <w:gridCol w:w="2535"/>
        <w:gridCol w:w="5859"/>
        <w:gridCol w:w="4438"/>
      </w:tblGrid>
      <w:tr>
        <w:trPr>
          <w:tblHeader/>
        </w:trPr>
        <w:tc>
          <w:tcPr>
            <w:tcW w:w="1344" w:type="dxa"/>
            <w:shd w:val="clear" w:color="auto" w:fill="002060"/>
          </w:tcPr>
          <w:p>
            <w:pPr>
              <w:pStyle w:val="BodyText"/>
              <w:spacing w:before="80" w:after="80"/>
              <w:jc w:val="center"/>
              <w:rPr>
                <w:b/>
                <w:bCs/>
                <w:sz w:val="24"/>
              </w:rPr>
            </w:pPr>
            <w:r>
              <w:rPr>
                <w:b/>
                <w:bCs/>
                <w:sz w:val="24"/>
              </w:rPr>
              <w:t>Clause reference</w:t>
            </w:r>
          </w:p>
        </w:tc>
        <w:tc>
          <w:tcPr>
            <w:tcW w:w="2535" w:type="dxa"/>
            <w:shd w:val="clear" w:color="auto" w:fill="002060"/>
          </w:tcPr>
          <w:p>
            <w:pPr>
              <w:pStyle w:val="BodyText"/>
              <w:spacing w:before="80" w:after="80"/>
              <w:jc w:val="center"/>
              <w:rPr>
                <w:b/>
                <w:bCs/>
                <w:sz w:val="24"/>
              </w:rPr>
            </w:pPr>
            <w:r>
              <w:rPr>
                <w:b/>
                <w:bCs/>
                <w:sz w:val="24"/>
              </w:rPr>
              <w:t>Clause subject</w:t>
            </w:r>
          </w:p>
        </w:tc>
        <w:tc>
          <w:tcPr>
            <w:tcW w:w="5859" w:type="dxa"/>
            <w:shd w:val="clear" w:color="auto" w:fill="002060"/>
          </w:tcPr>
          <w:p>
            <w:pPr>
              <w:pStyle w:val="BodyText"/>
              <w:spacing w:before="80" w:after="80"/>
              <w:jc w:val="center"/>
              <w:rPr>
                <w:b/>
                <w:bCs/>
                <w:sz w:val="24"/>
              </w:rPr>
            </w:pPr>
            <w:r>
              <w:rPr>
                <w:b/>
                <w:bCs/>
                <w:sz w:val="24"/>
              </w:rPr>
              <w:t>Clause text</w:t>
            </w:r>
          </w:p>
        </w:tc>
        <w:tc>
          <w:tcPr>
            <w:tcW w:w="4438" w:type="dxa"/>
            <w:shd w:val="clear" w:color="auto" w:fill="002060"/>
          </w:tcPr>
          <w:p>
            <w:pPr>
              <w:pStyle w:val="BodyText"/>
              <w:spacing w:before="80" w:after="80"/>
              <w:jc w:val="right"/>
              <w:rPr>
                <w:b/>
                <w:bCs/>
                <w:sz w:val="24"/>
              </w:rPr>
            </w:pPr>
            <w:r>
              <w:rPr>
                <w:b/>
                <w:bCs/>
                <w:sz w:val="24"/>
              </w:rPr>
              <w:t xml:space="preserve">Required action following release of final version of CDSP Licence Condition </w:t>
            </w:r>
          </w:p>
        </w:tc>
      </w:tr>
      <w:tr>
        <w:tc>
          <w:tcPr>
            <w:tcW w:w="9738" w:type="dxa"/>
            <w:gridSpan w:val="3"/>
            <w:shd w:val="clear" w:color="auto" w:fill="D9D9D9" w:themeFill="background1" w:themeFillShade="D9"/>
          </w:tcPr>
          <w:p>
            <w:pPr>
              <w:pStyle w:val="BodyText"/>
              <w:spacing w:before="80" w:after="80"/>
              <w:rPr>
                <w:rFonts w:cs="Arial"/>
              </w:rPr>
            </w:pPr>
            <w:r>
              <w:rPr>
                <w:b/>
                <w:bCs/>
                <w:sz w:val="24"/>
              </w:rPr>
              <w:t>DSC Agreement</w:t>
            </w:r>
          </w:p>
        </w:tc>
        <w:tc>
          <w:tcPr>
            <w:tcW w:w="4438" w:type="dxa"/>
            <w:shd w:val="clear" w:color="auto" w:fill="D9D9D9" w:themeFill="background1" w:themeFillShade="D9"/>
          </w:tcPr>
          <w:p>
            <w:pPr>
              <w:pStyle w:val="BodyText"/>
              <w:spacing w:before="80" w:after="80"/>
              <w:rPr>
                <w:b/>
                <w:bCs/>
                <w:sz w:val="24"/>
              </w:rPr>
            </w:pPr>
          </w:p>
        </w:tc>
      </w:tr>
      <w:tr>
        <w:tc>
          <w:tcPr>
            <w:tcW w:w="1344" w:type="dxa"/>
          </w:tcPr>
          <w:p>
            <w:pPr>
              <w:pStyle w:val="BodyText"/>
              <w:rPr>
                <w:b/>
              </w:rPr>
            </w:pPr>
            <w:r>
              <w:rPr>
                <w:b/>
              </w:rPr>
              <w:t>Recital A</w:t>
            </w:r>
          </w:p>
        </w:tc>
        <w:tc>
          <w:tcPr>
            <w:tcW w:w="2535" w:type="dxa"/>
          </w:tcPr>
          <w:p>
            <w:pPr>
              <w:pStyle w:val="BodyText"/>
              <w:spacing w:before="80" w:after="80"/>
              <w:rPr>
                <w:bCs/>
              </w:rPr>
            </w:pPr>
            <w:r>
              <w:rPr>
                <w:bCs/>
              </w:rPr>
              <w:t>Recital</w:t>
            </w:r>
          </w:p>
        </w:tc>
        <w:tc>
          <w:tcPr>
            <w:tcW w:w="5859" w:type="dxa"/>
          </w:tcPr>
          <w:p>
            <w:pPr>
              <w:pStyle w:val="BodyText"/>
              <w:spacing w:before="80" w:after="80"/>
              <w:rPr>
                <w:rFonts w:cs="Arial"/>
              </w:rPr>
            </w:pPr>
            <w:r>
              <w:t>[</w:t>
            </w:r>
            <w:r>
              <w:rPr>
                <w:i/>
              </w:rPr>
              <w:t xml:space="preserve">Refer to </w:t>
            </w:r>
            <w:r>
              <w:rPr>
                <w:i/>
                <w:highlight w:val="yellow"/>
              </w:rPr>
              <w:t>CDSP Licence Condition</w:t>
            </w:r>
            <w:r>
              <w:rPr>
                <w:i/>
              </w:rPr>
              <w:t xml:space="preserve"> i.e. new Standard Special Condition A15A of Transporter's Licence, when next version available</w:t>
            </w:r>
            <w:r>
              <w:t>]</w:t>
            </w:r>
          </w:p>
        </w:tc>
        <w:tc>
          <w:tcPr>
            <w:tcW w:w="4438" w:type="dxa"/>
          </w:tcPr>
          <w:p>
            <w:pPr>
              <w:pStyle w:val="BodyText"/>
              <w:spacing w:before="80" w:after="80"/>
            </w:pPr>
            <w:r>
              <w:t>Cross refer to applicable provision(s) of CDSP Licence Condition.</w:t>
            </w:r>
          </w:p>
        </w:tc>
      </w:tr>
      <w:tr>
        <w:tc>
          <w:tcPr>
            <w:tcW w:w="9738" w:type="dxa"/>
            <w:gridSpan w:val="3"/>
            <w:shd w:val="clear" w:color="auto" w:fill="D9D9D9" w:themeFill="background1" w:themeFillShade="D9"/>
          </w:tcPr>
          <w:p>
            <w:pPr>
              <w:pStyle w:val="BodyText"/>
              <w:spacing w:before="80" w:after="80"/>
              <w:rPr>
                <w:rFonts w:cs="Arial"/>
              </w:rPr>
            </w:pPr>
            <w:r>
              <w:rPr>
                <w:b/>
                <w:bCs/>
                <w:sz w:val="24"/>
              </w:rPr>
              <w:t>DSC Terms and Conditions</w:t>
            </w:r>
          </w:p>
        </w:tc>
        <w:tc>
          <w:tcPr>
            <w:tcW w:w="4438" w:type="dxa"/>
            <w:shd w:val="clear" w:color="auto" w:fill="D9D9D9" w:themeFill="background1" w:themeFillShade="D9"/>
          </w:tcPr>
          <w:p>
            <w:pPr>
              <w:pStyle w:val="BodyText"/>
              <w:spacing w:before="80" w:after="80"/>
              <w:rPr>
                <w:b/>
                <w:bCs/>
                <w:sz w:val="24"/>
              </w:rPr>
            </w:pPr>
          </w:p>
        </w:tc>
      </w:tr>
      <w:tr>
        <w:tc>
          <w:tcPr>
            <w:tcW w:w="1344" w:type="dxa"/>
          </w:tcPr>
          <w:p>
            <w:pPr>
              <w:pStyle w:val="BodyText"/>
              <w:rPr>
                <w:b/>
              </w:rPr>
            </w:pPr>
            <w:r>
              <w:rPr>
                <w:b/>
              </w:rPr>
              <w:t>2.2</w:t>
            </w:r>
          </w:p>
        </w:tc>
        <w:tc>
          <w:tcPr>
            <w:tcW w:w="2535" w:type="dxa"/>
          </w:tcPr>
          <w:p>
            <w:pPr>
              <w:pStyle w:val="BodyText"/>
              <w:spacing w:before="80" w:after="80"/>
              <w:rPr>
                <w:bCs/>
              </w:rPr>
            </w:pPr>
            <w:r>
              <w:rPr>
                <w:bCs/>
              </w:rPr>
              <w:t>Definition of CDSP</w:t>
            </w:r>
          </w:p>
        </w:tc>
        <w:tc>
          <w:tcPr>
            <w:tcW w:w="5859" w:type="dxa"/>
          </w:tcPr>
          <w:p>
            <w:pPr>
              <w:pStyle w:val="BodyText"/>
              <w:spacing w:before="80" w:after="80"/>
              <w:rPr>
                <w:rFonts w:cs="Arial"/>
              </w:rPr>
            </w:pPr>
            <w:r>
              <w:rPr>
                <w:rFonts w:cs="Arial"/>
              </w:rPr>
              <w:t xml:space="preserve">CDSP means Xoserve Limited (company number 05046877) whose registered office is at 1-3 Strand, London, WC2N 5EH, being the person appointed by the Transporters pursuant to the </w:t>
            </w:r>
            <w:r>
              <w:rPr>
                <w:rFonts w:cs="Arial"/>
                <w:highlight w:val="yellow"/>
              </w:rPr>
              <w:t>CDSP Licence Condition</w:t>
            </w:r>
            <w:r>
              <w:rPr>
                <w:rFonts w:cs="Arial"/>
              </w:rPr>
              <w:t>;</w:t>
            </w:r>
          </w:p>
        </w:tc>
        <w:tc>
          <w:tcPr>
            <w:tcW w:w="4438" w:type="dxa"/>
          </w:tcPr>
          <w:p>
            <w:pPr>
              <w:pStyle w:val="BodyText"/>
              <w:spacing w:before="80" w:after="80"/>
              <w:rPr>
                <w:rFonts w:cs="Arial"/>
              </w:rPr>
            </w:pPr>
            <w:r>
              <w:rPr>
                <w:rFonts w:cs="Arial"/>
              </w:rPr>
              <w:t>Drafting not expected to change.</w:t>
            </w:r>
          </w:p>
        </w:tc>
      </w:tr>
      <w:tr>
        <w:tc>
          <w:tcPr>
            <w:tcW w:w="1344" w:type="dxa"/>
          </w:tcPr>
          <w:p>
            <w:pPr>
              <w:pStyle w:val="BodyText"/>
              <w:rPr>
                <w:b/>
              </w:rPr>
            </w:pPr>
            <w:r>
              <w:rPr>
                <w:b/>
              </w:rPr>
              <w:t>2.2</w:t>
            </w:r>
          </w:p>
        </w:tc>
        <w:tc>
          <w:tcPr>
            <w:tcW w:w="2535" w:type="dxa"/>
          </w:tcPr>
          <w:p>
            <w:pPr>
              <w:pStyle w:val="BodyText"/>
              <w:spacing w:before="80" w:after="80"/>
              <w:rPr>
                <w:bCs/>
              </w:rPr>
            </w:pPr>
            <w:r>
              <w:rPr>
                <w:bCs/>
              </w:rPr>
              <w:t>Definition of CDSP Licence Condition</w:t>
            </w:r>
          </w:p>
        </w:tc>
        <w:tc>
          <w:tcPr>
            <w:tcW w:w="5859" w:type="dxa"/>
          </w:tcPr>
          <w:p>
            <w:pPr>
              <w:pStyle w:val="BodyText"/>
              <w:spacing w:before="80" w:after="80"/>
              <w:rPr>
                <w:rFonts w:cs="Arial"/>
              </w:rPr>
            </w:pPr>
            <w:r>
              <w:rPr>
                <w:rFonts w:cs="Arial"/>
                <w:highlight w:val="yellow"/>
              </w:rPr>
              <w:t>CDSP Licence Condition</w:t>
            </w:r>
            <w:r>
              <w:rPr>
                <w:rFonts w:cs="Arial"/>
              </w:rPr>
              <w:t xml:space="preserve"> means [Standard Special Condition [A15A] of the Gas Transporter's Licences];</w:t>
            </w:r>
          </w:p>
        </w:tc>
        <w:tc>
          <w:tcPr>
            <w:tcW w:w="4438" w:type="dxa"/>
          </w:tcPr>
          <w:p>
            <w:pPr>
              <w:pStyle w:val="BodyText"/>
              <w:spacing w:before="80" w:after="80"/>
              <w:rPr>
                <w:rFonts w:cs="Arial"/>
                <w:highlight w:val="yellow"/>
              </w:rPr>
            </w:pPr>
            <w:r>
              <w:rPr>
                <w:rFonts w:cs="Arial"/>
              </w:rPr>
              <w:t>Drafting not expected to change.</w:t>
            </w:r>
          </w:p>
        </w:tc>
      </w:tr>
      <w:tr>
        <w:tc>
          <w:tcPr>
            <w:tcW w:w="1344" w:type="dxa"/>
          </w:tcPr>
          <w:p>
            <w:pPr>
              <w:pStyle w:val="BodyText"/>
              <w:rPr>
                <w:b/>
              </w:rPr>
            </w:pPr>
            <w:r>
              <w:rPr>
                <w:b/>
              </w:rPr>
              <w:t>3.8</w:t>
            </w:r>
          </w:p>
        </w:tc>
        <w:tc>
          <w:tcPr>
            <w:tcW w:w="2535" w:type="dxa"/>
          </w:tcPr>
          <w:p>
            <w:pPr>
              <w:pStyle w:val="BodyText"/>
              <w:spacing w:before="80" w:after="80"/>
              <w:rPr>
                <w:bCs/>
              </w:rPr>
            </w:pPr>
            <w:r>
              <w:rPr>
                <w:bCs/>
              </w:rPr>
              <w:t>Key provisions</w:t>
            </w:r>
          </w:p>
        </w:tc>
        <w:tc>
          <w:tcPr>
            <w:tcW w:w="5859" w:type="dxa"/>
          </w:tcPr>
          <w:p>
            <w:pPr>
              <w:spacing w:after="240" w:line="240" w:lineRule="auto"/>
              <w:jc w:val="both"/>
              <w:outlineLvl w:val="1"/>
              <w:rPr>
                <w:rFonts w:cs="Arial"/>
              </w:rPr>
            </w:pPr>
            <w:r>
              <w:rPr>
                <w:rFonts w:cs="Arial"/>
              </w:rPr>
              <w:t xml:space="preserve">The </w:t>
            </w:r>
            <w:proofErr w:type="spellStart"/>
            <w:r>
              <w:rPr>
                <w:rFonts w:cs="Arial"/>
              </w:rPr>
              <w:t>CDSP</w:t>
            </w:r>
            <w:proofErr w:type="spellEnd"/>
            <w:r>
              <w:rPr>
                <w:rFonts w:cs="Arial"/>
              </w:rPr>
              <w:t xml:space="preserve"> shall provide [or otherwise procure] the </w:t>
            </w:r>
            <w:proofErr w:type="spellStart"/>
            <w:r>
              <w:rPr>
                <w:rFonts w:cs="Arial"/>
              </w:rPr>
              <w:t>CDSP</w:t>
            </w:r>
            <w:proofErr w:type="spellEnd"/>
            <w:r>
              <w:rPr>
                <w:rFonts w:cs="Arial"/>
              </w:rPr>
              <w:t xml:space="preserve"> Services effectively to help facilitate the efficient and integrated operation of the gas industry .  </w:t>
            </w:r>
          </w:p>
        </w:tc>
        <w:tc>
          <w:tcPr>
            <w:tcW w:w="4438" w:type="dxa"/>
          </w:tcPr>
          <w:p>
            <w:pPr>
              <w:spacing w:after="240" w:line="240" w:lineRule="auto"/>
              <w:jc w:val="both"/>
              <w:outlineLvl w:val="1"/>
              <w:rPr>
                <w:rFonts w:cs="Arial"/>
              </w:rPr>
            </w:pPr>
            <w:r>
              <w:rPr>
                <w:rFonts w:cs="Arabic Transparent"/>
                <w:szCs w:val="24"/>
              </w:rPr>
              <w:t xml:space="preserve">Confirm clause is still consistent with </w:t>
            </w:r>
            <w:proofErr w:type="spellStart"/>
            <w:r>
              <w:rPr>
                <w:rFonts w:cs="Arabic Transparent"/>
                <w:szCs w:val="24"/>
              </w:rPr>
              <w:t>CDSP</w:t>
            </w:r>
            <w:proofErr w:type="spellEnd"/>
            <w:r>
              <w:rPr>
                <w:rFonts w:cs="Arabic Transparent"/>
                <w:szCs w:val="24"/>
              </w:rPr>
              <w:t xml:space="preserve"> Licence Condition.</w:t>
            </w:r>
            <w:bookmarkStart w:id="0" w:name="_GoBack"/>
            <w:bookmarkEnd w:id="0"/>
          </w:p>
        </w:tc>
      </w:tr>
      <w:tr>
        <w:tc>
          <w:tcPr>
            <w:tcW w:w="1344" w:type="dxa"/>
          </w:tcPr>
          <w:p>
            <w:pPr>
              <w:pStyle w:val="BodyText"/>
              <w:rPr>
                <w:b/>
              </w:rPr>
            </w:pPr>
            <w:r>
              <w:rPr>
                <w:b/>
              </w:rPr>
              <w:t>12.4</w:t>
            </w:r>
          </w:p>
        </w:tc>
        <w:tc>
          <w:tcPr>
            <w:tcW w:w="2535" w:type="dxa"/>
          </w:tcPr>
          <w:p>
            <w:pPr>
              <w:pStyle w:val="BodyText"/>
              <w:spacing w:before="80" w:after="80"/>
              <w:rPr>
                <w:bCs/>
              </w:rPr>
            </w:pPr>
            <w:r>
              <w:rPr>
                <w:bCs/>
              </w:rPr>
              <w:t>Appropriateness of liability provisions</w:t>
            </w:r>
          </w:p>
        </w:tc>
        <w:tc>
          <w:tcPr>
            <w:tcW w:w="5859" w:type="dxa"/>
          </w:tcPr>
          <w:p>
            <w:pPr>
              <w:spacing w:after="240" w:line="240" w:lineRule="auto"/>
              <w:jc w:val="both"/>
              <w:outlineLvl w:val="1"/>
              <w:rPr>
                <w:rFonts w:cs="Arial"/>
              </w:rPr>
            </w:pPr>
            <w:r>
              <w:rPr>
                <w:rFonts w:cs="Arial"/>
              </w:rPr>
              <w:t>(a)</w:t>
            </w:r>
            <w:r>
              <w:rPr>
                <w:rFonts w:cs="Arial"/>
              </w:rPr>
              <w:tab/>
              <w:t xml:space="preserve">It is acknowledged that, pursuant to the </w:t>
            </w:r>
            <w:r>
              <w:rPr>
                <w:rFonts w:cs="Arial"/>
                <w:highlight w:val="yellow"/>
              </w:rPr>
              <w:t>CDSP Licence Condition</w:t>
            </w:r>
            <w:r>
              <w:rPr>
                <w:rFonts w:cs="Arial"/>
              </w:rPr>
              <w:t>, the Uniform Network Code and the Budget and Charging Methodology…</w:t>
            </w:r>
          </w:p>
        </w:tc>
        <w:tc>
          <w:tcPr>
            <w:tcW w:w="4438" w:type="dxa"/>
          </w:tcPr>
          <w:p>
            <w:pPr>
              <w:spacing w:after="240" w:line="240" w:lineRule="auto"/>
              <w:jc w:val="both"/>
              <w:outlineLvl w:val="1"/>
              <w:rPr>
                <w:rFonts w:cs="Arial"/>
              </w:rPr>
            </w:pPr>
            <w:r>
              <w:rPr>
                <w:rFonts w:cs="Arial"/>
              </w:rPr>
              <w:t>Drafting not expected to change.</w:t>
            </w:r>
          </w:p>
        </w:tc>
      </w:tr>
      <w:tr>
        <w:tc>
          <w:tcPr>
            <w:tcW w:w="9738" w:type="dxa"/>
            <w:gridSpan w:val="3"/>
            <w:shd w:val="clear" w:color="auto" w:fill="D9D9D9" w:themeFill="background1" w:themeFillShade="D9"/>
          </w:tcPr>
          <w:p>
            <w:pPr>
              <w:spacing w:after="240" w:line="240" w:lineRule="auto"/>
              <w:jc w:val="both"/>
              <w:outlineLvl w:val="1"/>
              <w:rPr>
                <w:rFonts w:cs="Arial"/>
                <w:lang w:val="en-US"/>
              </w:rPr>
            </w:pPr>
            <w:r>
              <w:rPr>
                <w:b/>
                <w:bCs/>
                <w:sz w:val="24"/>
              </w:rPr>
              <w:t>CDSP Service Description</w:t>
            </w:r>
          </w:p>
        </w:tc>
        <w:tc>
          <w:tcPr>
            <w:tcW w:w="4438" w:type="dxa"/>
            <w:shd w:val="clear" w:color="auto" w:fill="D9D9D9" w:themeFill="background1" w:themeFillShade="D9"/>
          </w:tcPr>
          <w:p>
            <w:pPr>
              <w:spacing w:after="240" w:line="240" w:lineRule="auto"/>
              <w:jc w:val="both"/>
              <w:outlineLvl w:val="1"/>
              <w:rPr>
                <w:b/>
                <w:bCs/>
                <w:sz w:val="24"/>
              </w:rPr>
            </w:pPr>
          </w:p>
        </w:tc>
      </w:tr>
      <w:tr>
        <w:tc>
          <w:tcPr>
            <w:tcW w:w="1344" w:type="dxa"/>
          </w:tcPr>
          <w:p>
            <w:pPr>
              <w:pStyle w:val="BodyText"/>
              <w:rPr>
                <w:b/>
              </w:rPr>
            </w:pPr>
            <w:r>
              <w:rPr>
                <w:b/>
              </w:rPr>
              <w:t>N/A</w:t>
            </w:r>
          </w:p>
        </w:tc>
        <w:tc>
          <w:tcPr>
            <w:tcW w:w="2535" w:type="dxa"/>
          </w:tcPr>
          <w:p>
            <w:pPr>
              <w:pStyle w:val="BodyText"/>
              <w:spacing w:before="80" w:after="80"/>
              <w:rPr>
                <w:bCs/>
              </w:rPr>
            </w:pPr>
            <w:r>
              <w:rPr>
                <w:bCs/>
              </w:rPr>
              <w:t>-</w:t>
            </w:r>
          </w:p>
        </w:tc>
        <w:tc>
          <w:tcPr>
            <w:tcW w:w="5859" w:type="dxa"/>
          </w:tcPr>
          <w:p>
            <w:pPr>
              <w:spacing w:after="240" w:line="240" w:lineRule="auto"/>
              <w:jc w:val="both"/>
              <w:outlineLvl w:val="1"/>
              <w:rPr>
                <w:rFonts w:cs="Arial"/>
                <w:lang w:val="en-US"/>
              </w:rPr>
            </w:pPr>
            <w:r>
              <w:rPr>
                <w:rFonts w:cs="Arial"/>
                <w:lang w:val="en-US"/>
              </w:rPr>
              <w:t>-</w:t>
            </w:r>
          </w:p>
        </w:tc>
        <w:tc>
          <w:tcPr>
            <w:tcW w:w="4438" w:type="dxa"/>
          </w:tcPr>
          <w:p>
            <w:pPr>
              <w:spacing w:after="240" w:line="240" w:lineRule="auto"/>
              <w:jc w:val="both"/>
              <w:outlineLvl w:val="1"/>
              <w:rPr>
                <w:rFonts w:cs="Arial"/>
                <w:lang w:val="en-US"/>
              </w:rPr>
            </w:pPr>
            <w:r>
              <w:rPr>
                <w:rFonts w:cs="Arial"/>
                <w:lang w:val="en-US"/>
              </w:rPr>
              <w:t>-</w:t>
            </w:r>
          </w:p>
        </w:tc>
      </w:tr>
      <w:tr>
        <w:tc>
          <w:tcPr>
            <w:tcW w:w="9738" w:type="dxa"/>
            <w:gridSpan w:val="3"/>
            <w:shd w:val="clear" w:color="auto" w:fill="D9D9D9" w:themeFill="background1" w:themeFillShade="D9"/>
          </w:tcPr>
          <w:p>
            <w:pPr>
              <w:spacing w:after="240" w:line="240" w:lineRule="auto"/>
              <w:jc w:val="both"/>
              <w:outlineLvl w:val="1"/>
              <w:rPr>
                <w:rFonts w:cs="Arial"/>
                <w:lang w:val="en-US"/>
              </w:rPr>
            </w:pPr>
            <w:r>
              <w:rPr>
                <w:b/>
                <w:bCs/>
                <w:sz w:val="24"/>
              </w:rPr>
              <w:lastRenderedPageBreak/>
              <w:t>Budget and Charging Methodology</w:t>
            </w:r>
          </w:p>
        </w:tc>
        <w:tc>
          <w:tcPr>
            <w:tcW w:w="4438" w:type="dxa"/>
            <w:shd w:val="clear" w:color="auto" w:fill="D9D9D9" w:themeFill="background1" w:themeFillShade="D9"/>
          </w:tcPr>
          <w:p>
            <w:pPr>
              <w:spacing w:after="240" w:line="240" w:lineRule="auto"/>
              <w:jc w:val="both"/>
              <w:outlineLvl w:val="1"/>
              <w:rPr>
                <w:b/>
                <w:bCs/>
                <w:sz w:val="24"/>
              </w:rPr>
            </w:pPr>
          </w:p>
        </w:tc>
      </w:tr>
      <w:tr>
        <w:tc>
          <w:tcPr>
            <w:tcW w:w="1344" w:type="dxa"/>
          </w:tcPr>
          <w:p>
            <w:pPr>
              <w:pStyle w:val="BodyText"/>
              <w:rPr>
                <w:b/>
              </w:rPr>
            </w:pPr>
            <w:r>
              <w:rPr>
                <w:b/>
              </w:rPr>
              <w:t>1.5(a)(ii)</w:t>
            </w:r>
          </w:p>
        </w:tc>
        <w:tc>
          <w:tcPr>
            <w:tcW w:w="2535" w:type="dxa"/>
          </w:tcPr>
          <w:p>
            <w:pPr>
              <w:pStyle w:val="BodyText"/>
              <w:spacing w:before="80" w:after="80"/>
              <w:rPr>
                <w:bCs/>
              </w:rPr>
            </w:pPr>
            <w:r>
              <w:rPr>
                <w:bCs/>
              </w:rPr>
              <w:t>Scope and purpose</w:t>
            </w:r>
          </w:p>
        </w:tc>
        <w:tc>
          <w:tcPr>
            <w:tcW w:w="5859" w:type="dxa"/>
          </w:tcPr>
          <w:p>
            <w:pPr>
              <w:spacing w:after="240" w:line="240" w:lineRule="auto"/>
              <w:jc w:val="both"/>
              <w:outlineLvl w:val="1"/>
              <w:rPr>
                <w:rFonts w:cs="Arial"/>
                <w:lang w:val="en-US"/>
              </w:rPr>
            </w:pPr>
            <w:r>
              <w:rPr>
                <w:rFonts w:cs="Arial"/>
                <w:lang w:val="en-US"/>
              </w:rPr>
              <w:t xml:space="preserve">This Document sets out the basis on which the CDSP Budget may be appealed pursuant to the </w:t>
            </w:r>
            <w:r>
              <w:rPr>
                <w:rFonts w:cs="Arial"/>
                <w:highlight w:val="yellow"/>
                <w:lang w:val="en-US"/>
              </w:rPr>
              <w:t>CDSP Licence Condition;</w:t>
            </w:r>
          </w:p>
        </w:tc>
        <w:tc>
          <w:tcPr>
            <w:tcW w:w="4438" w:type="dxa"/>
          </w:tcPr>
          <w:p>
            <w:pPr>
              <w:spacing w:after="240" w:line="240" w:lineRule="auto"/>
              <w:jc w:val="both"/>
              <w:outlineLvl w:val="1"/>
              <w:rPr>
                <w:rFonts w:cs="Arial"/>
                <w:lang w:val="en-US"/>
              </w:rPr>
            </w:pPr>
            <w:r>
              <w:rPr>
                <w:rFonts w:cs="Arial"/>
              </w:rPr>
              <w:t>Not expected to change.</w:t>
            </w:r>
          </w:p>
        </w:tc>
      </w:tr>
      <w:tr>
        <w:tc>
          <w:tcPr>
            <w:tcW w:w="1344" w:type="dxa"/>
          </w:tcPr>
          <w:p>
            <w:pPr>
              <w:pStyle w:val="BodyText"/>
              <w:rPr>
                <w:b/>
              </w:rPr>
            </w:pPr>
            <w:r>
              <w:rPr>
                <w:b/>
              </w:rPr>
              <w:t>4.7.1</w:t>
            </w:r>
          </w:p>
        </w:tc>
        <w:tc>
          <w:tcPr>
            <w:tcW w:w="2535" w:type="dxa"/>
          </w:tcPr>
          <w:p>
            <w:pPr>
              <w:pStyle w:val="BodyText"/>
              <w:spacing w:before="80" w:after="80"/>
              <w:rPr>
                <w:bCs/>
              </w:rPr>
            </w:pPr>
            <w:r>
              <w:rPr>
                <w:bCs/>
              </w:rPr>
              <w:t>Budget appeal</w:t>
            </w:r>
          </w:p>
        </w:tc>
        <w:tc>
          <w:tcPr>
            <w:tcW w:w="5859" w:type="dxa"/>
          </w:tcPr>
          <w:p>
            <w:pPr>
              <w:spacing w:after="240" w:line="240" w:lineRule="auto"/>
              <w:jc w:val="both"/>
              <w:outlineLvl w:val="1"/>
              <w:rPr>
                <w:rFonts w:cs="Arabic Transparent"/>
                <w:szCs w:val="24"/>
              </w:rPr>
            </w:pPr>
            <w:r>
              <w:rPr>
                <w:rFonts w:cs="Arabic Transparent"/>
                <w:szCs w:val="24"/>
              </w:rPr>
              <w:t xml:space="preserve">A Customer may (subject to and in accordance with this paragraph 4.7) appeal the CDSP Budget for the Charging Year on the grounds that the CDSP Budget is not fit for purpose for the CDSP to fulfil the obligation to provide Services consistent with paragraph 7(b) of the </w:t>
            </w:r>
            <w:r>
              <w:rPr>
                <w:rFonts w:cs="Arabic Transparent"/>
                <w:szCs w:val="24"/>
                <w:highlight w:val="yellow"/>
              </w:rPr>
              <w:t>CDSP Licence Condition</w:t>
            </w:r>
            <w:r>
              <w:rPr>
                <w:rFonts w:cs="Arabic Transparent"/>
                <w:szCs w:val="24"/>
              </w:rPr>
              <w:t>.</w:t>
            </w:r>
          </w:p>
        </w:tc>
        <w:tc>
          <w:tcPr>
            <w:tcW w:w="4438" w:type="dxa"/>
          </w:tcPr>
          <w:p>
            <w:pPr>
              <w:spacing w:after="240" w:line="240" w:lineRule="auto"/>
              <w:jc w:val="both"/>
              <w:outlineLvl w:val="1"/>
              <w:rPr>
                <w:rFonts w:cs="Arabic Transparent"/>
                <w:szCs w:val="24"/>
              </w:rPr>
            </w:pPr>
            <w:r>
              <w:t>Check cross-reference to CDSP Licence Condition is correct.</w:t>
            </w:r>
          </w:p>
        </w:tc>
      </w:tr>
      <w:tr>
        <w:tc>
          <w:tcPr>
            <w:tcW w:w="1344" w:type="dxa"/>
          </w:tcPr>
          <w:p>
            <w:pPr>
              <w:pStyle w:val="BodyText"/>
              <w:rPr>
                <w:b/>
              </w:rPr>
            </w:pPr>
            <w:r>
              <w:rPr>
                <w:b/>
              </w:rPr>
              <w:t>4.7.12</w:t>
            </w:r>
          </w:p>
        </w:tc>
        <w:tc>
          <w:tcPr>
            <w:tcW w:w="2535" w:type="dxa"/>
          </w:tcPr>
          <w:p>
            <w:pPr>
              <w:pStyle w:val="BodyText"/>
              <w:spacing w:before="80" w:after="80"/>
              <w:rPr>
                <w:bCs/>
              </w:rPr>
            </w:pPr>
            <w:r>
              <w:rPr>
                <w:bCs/>
              </w:rPr>
              <w:t>Budget appeal</w:t>
            </w:r>
          </w:p>
        </w:tc>
        <w:tc>
          <w:tcPr>
            <w:tcW w:w="5859" w:type="dxa"/>
          </w:tcPr>
          <w:p>
            <w:pPr>
              <w:spacing w:after="240" w:line="240" w:lineRule="auto"/>
              <w:jc w:val="both"/>
              <w:outlineLvl w:val="1"/>
              <w:rPr>
                <w:rFonts w:cs="Arabic Transparent"/>
                <w:szCs w:val="24"/>
              </w:rPr>
            </w:pPr>
            <w:r>
              <w:rPr>
                <w:rFonts w:cs="Arabic Transparent"/>
                <w:szCs w:val="24"/>
              </w:rPr>
              <w:t xml:space="preserve">The appeal will be decided by the Authority's direction to the Transporters as provided in paragraph 11 of the </w:t>
            </w:r>
            <w:r>
              <w:rPr>
                <w:rFonts w:cs="Arabic Transparent"/>
                <w:szCs w:val="24"/>
                <w:highlight w:val="yellow"/>
              </w:rPr>
              <w:t>CDSP Licence Condition</w:t>
            </w:r>
          </w:p>
        </w:tc>
        <w:tc>
          <w:tcPr>
            <w:tcW w:w="4438" w:type="dxa"/>
          </w:tcPr>
          <w:p>
            <w:pPr>
              <w:spacing w:after="240" w:line="240" w:lineRule="auto"/>
              <w:jc w:val="both"/>
              <w:outlineLvl w:val="1"/>
              <w:rPr>
                <w:rFonts w:cs="Arabic Transparent"/>
                <w:szCs w:val="24"/>
              </w:rPr>
            </w:pPr>
            <w:r>
              <w:t>Check cross-reference to CDSP Licence Condition is correct.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UK Link Manual Framework Document</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N/A</w:t>
            </w:r>
          </w:p>
        </w:tc>
        <w:tc>
          <w:tcPr>
            <w:tcW w:w="2535" w:type="dxa"/>
          </w:tcPr>
          <w:p>
            <w:pPr>
              <w:pStyle w:val="BodyText"/>
              <w:spacing w:before="80" w:after="80"/>
              <w:rPr>
                <w:bCs/>
              </w:rPr>
            </w:pPr>
            <w:r>
              <w:rPr>
                <w:bCs/>
              </w:rPr>
              <w:t>-</w:t>
            </w:r>
          </w:p>
        </w:tc>
        <w:tc>
          <w:tcPr>
            <w:tcW w:w="5859" w:type="dxa"/>
          </w:tcPr>
          <w:p>
            <w:pPr>
              <w:spacing w:after="240" w:line="240" w:lineRule="auto"/>
              <w:jc w:val="both"/>
              <w:outlineLvl w:val="1"/>
              <w:rPr>
                <w:rFonts w:cs="Arabic Transparent"/>
                <w:szCs w:val="24"/>
              </w:rPr>
            </w:pP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UK Link Terms and Conditions</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N/A</w:t>
            </w:r>
          </w:p>
        </w:tc>
        <w:tc>
          <w:tcPr>
            <w:tcW w:w="2535" w:type="dxa"/>
          </w:tcPr>
          <w:p>
            <w:pPr>
              <w:pStyle w:val="BodyText"/>
              <w:spacing w:before="80" w:after="80"/>
              <w:rPr>
                <w:bCs/>
              </w:rPr>
            </w:pPr>
            <w:r>
              <w:rPr>
                <w:bCs/>
              </w:rPr>
              <w:t>-</w:t>
            </w:r>
          </w:p>
        </w:tc>
        <w:tc>
          <w:tcPr>
            <w:tcW w:w="5859" w:type="dxa"/>
          </w:tcPr>
          <w:p>
            <w:pPr>
              <w:spacing w:after="240" w:line="240" w:lineRule="auto"/>
              <w:jc w:val="both"/>
              <w:outlineLvl w:val="1"/>
              <w:rPr>
                <w:rFonts w:cs="Arabic Transparent"/>
                <w:szCs w:val="24"/>
              </w:rPr>
            </w:pP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Change Management Procedures</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N/A</w:t>
            </w:r>
          </w:p>
        </w:tc>
        <w:tc>
          <w:tcPr>
            <w:tcW w:w="2535" w:type="dxa"/>
          </w:tcPr>
          <w:p>
            <w:pPr>
              <w:pStyle w:val="BodyText"/>
              <w:spacing w:before="80" w:after="80"/>
              <w:rPr>
                <w:bCs/>
              </w:rPr>
            </w:pPr>
            <w:r>
              <w:rPr>
                <w:bCs/>
              </w:rPr>
              <w:t>-</w:t>
            </w:r>
          </w:p>
        </w:tc>
        <w:tc>
          <w:tcPr>
            <w:tcW w:w="5859" w:type="dxa"/>
          </w:tcPr>
          <w:p>
            <w:pPr>
              <w:spacing w:after="240" w:line="240" w:lineRule="auto"/>
              <w:jc w:val="both"/>
              <w:outlineLvl w:val="1"/>
              <w:rPr>
                <w:rFonts w:cs="Arabic Transparent"/>
                <w:szCs w:val="24"/>
              </w:rPr>
            </w:pP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Contract Management Arrangements</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N/A</w:t>
            </w:r>
          </w:p>
        </w:tc>
        <w:tc>
          <w:tcPr>
            <w:tcW w:w="2535" w:type="dxa"/>
          </w:tcPr>
          <w:p>
            <w:pPr>
              <w:pStyle w:val="BodyText"/>
              <w:spacing w:before="80" w:after="80"/>
              <w:rPr>
                <w:bCs/>
              </w:rPr>
            </w:pPr>
            <w:r>
              <w:rPr>
                <w:bCs/>
              </w:rPr>
              <w:t>-</w:t>
            </w:r>
          </w:p>
        </w:tc>
        <w:tc>
          <w:tcPr>
            <w:tcW w:w="5859" w:type="dxa"/>
          </w:tcPr>
          <w:p>
            <w:pPr>
              <w:spacing w:after="240" w:line="240" w:lineRule="auto"/>
              <w:jc w:val="both"/>
              <w:outlineLvl w:val="1"/>
              <w:rPr>
                <w:rFonts w:cs="Arabic Transparent"/>
                <w:szCs w:val="24"/>
              </w:rPr>
            </w:pP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lastRenderedPageBreak/>
              <w:t>Third Party and Additional Services Policy</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N/A</w:t>
            </w:r>
          </w:p>
        </w:tc>
        <w:tc>
          <w:tcPr>
            <w:tcW w:w="2535" w:type="dxa"/>
          </w:tcPr>
          <w:p>
            <w:pPr>
              <w:pStyle w:val="BodyText"/>
              <w:spacing w:before="80" w:after="80"/>
              <w:rPr>
                <w:bCs/>
              </w:rPr>
            </w:pPr>
            <w:r>
              <w:rPr>
                <w:bCs/>
              </w:rPr>
              <w:t>-</w:t>
            </w:r>
          </w:p>
        </w:tc>
        <w:tc>
          <w:tcPr>
            <w:tcW w:w="5859" w:type="dxa"/>
          </w:tcPr>
          <w:p>
            <w:pPr>
              <w:spacing w:after="240" w:line="240" w:lineRule="auto"/>
              <w:jc w:val="both"/>
              <w:outlineLvl w:val="1"/>
              <w:rPr>
                <w:rFonts w:cs="Arabic Transparent"/>
                <w:szCs w:val="24"/>
              </w:rPr>
            </w:pP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Transitional Arrangements Document</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1.6.1</w:t>
            </w:r>
          </w:p>
        </w:tc>
        <w:tc>
          <w:tcPr>
            <w:tcW w:w="2535" w:type="dxa"/>
          </w:tcPr>
          <w:p>
            <w:pPr>
              <w:pStyle w:val="BodyText"/>
              <w:spacing w:before="80" w:after="80"/>
              <w:rPr>
                <w:bCs/>
              </w:rPr>
            </w:pPr>
            <w:r>
              <w:rPr>
                <w:bCs/>
              </w:rPr>
              <w:t>Further background</w:t>
            </w:r>
          </w:p>
        </w:tc>
        <w:tc>
          <w:tcPr>
            <w:tcW w:w="5859" w:type="dxa"/>
          </w:tcPr>
          <w:p>
            <w:pPr>
              <w:spacing w:after="240" w:line="240" w:lineRule="auto"/>
              <w:jc w:val="both"/>
              <w:outlineLvl w:val="1"/>
              <w:rPr>
                <w:rFonts w:cs="Arabic Transparent"/>
                <w:szCs w:val="24"/>
              </w:rPr>
            </w:pPr>
            <w:r>
              <w:rPr>
                <w:rFonts w:cs="Arabic Transparent"/>
                <w:szCs w:val="24"/>
              </w:rPr>
              <w:t xml:space="preserve">The Transporters have, for the purposes of the </w:t>
            </w:r>
            <w:r>
              <w:rPr>
                <w:rFonts w:cs="Arabic Transparent"/>
                <w:szCs w:val="24"/>
                <w:highlight w:val="yellow"/>
              </w:rPr>
              <w:t>CDSP Licence Condition</w:t>
            </w:r>
            <w:r>
              <w:rPr>
                <w:rFonts w:cs="Arabic Transparent"/>
                <w:szCs w:val="24"/>
              </w:rPr>
              <w:t>, appointed Xoserve as the central data services provider</w:t>
            </w:r>
          </w:p>
        </w:tc>
        <w:tc>
          <w:tcPr>
            <w:tcW w:w="4438" w:type="dxa"/>
          </w:tcPr>
          <w:p>
            <w:pPr>
              <w:spacing w:after="240" w:line="240" w:lineRule="auto"/>
              <w:jc w:val="both"/>
              <w:outlineLvl w:val="1"/>
              <w:rPr>
                <w:rFonts w:cs="Arabic Transparent"/>
                <w:szCs w:val="24"/>
              </w:rPr>
            </w:pPr>
            <w:r>
              <w:rPr>
                <w:rFonts w:cs="Arial"/>
              </w:rPr>
              <w:t>Drafting not expected to change.</w:t>
            </w:r>
          </w:p>
        </w:tc>
      </w:tr>
      <w:tr>
        <w:tc>
          <w:tcPr>
            <w:tcW w:w="1344" w:type="dxa"/>
          </w:tcPr>
          <w:p>
            <w:pPr>
              <w:pStyle w:val="BodyText"/>
              <w:rPr>
                <w:b/>
              </w:rPr>
            </w:pPr>
            <w:r>
              <w:rPr>
                <w:b/>
              </w:rPr>
              <w:t>4.1.3</w:t>
            </w:r>
          </w:p>
        </w:tc>
        <w:tc>
          <w:tcPr>
            <w:tcW w:w="2535" w:type="dxa"/>
          </w:tcPr>
          <w:p>
            <w:pPr>
              <w:pStyle w:val="BodyText"/>
              <w:spacing w:before="80" w:after="80"/>
              <w:rPr>
                <w:bCs/>
              </w:rPr>
            </w:pPr>
            <w:r>
              <w:rPr>
                <w:bCs/>
              </w:rPr>
              <w:t>Execution of DSC Agreement</w:t>
            </w:r>
          </w:p>
        </w:tc>
        <w:tc>
          <w:tcPr>
            <w:tcW w:w="5859" w:type="dxa"/>
          </w:tcPr>
          <w:p>
            <w:pPr>
              <w:spacing w:after="240" w:line="240" w:lineRule="auto"/>
              <w:jc w:val="both"/>
              <w:outlineLvl w:val="1"/>
              <w:rPr>
                <w:rFonts w:cs="Arabic Transparent"/>
                <w:szCs w:val="24"/>
              </w:rPr>
            </w:pPr>
            <w:r>
              <w:rPr>
                <w:rFonts w:cs="Arabic Transparent"/>
                <w:szCs w:val="24"/>
              </w:rPr>
              <w:t xml:space="preserve">The CDSP will prepare, send to each UNC Party an explanation of, and implement arrangements, to be approved (for the purposes of their compliance with the </w:t>
            </w:r>
            <w:r>
              <w:rPr>
                <w:rFonts w:cs="Arabic Transparent"/>
                <w:szCs w:val="24"/>
                <w:highlight w:val="yellow"/>
              </w:rPr>
              <w:t>CDSP Licence Condition</w:t>
            </w:r>
            <w:r>
              <w:rPr>
                <w:rFonts w:cs="Arabic Transparent"/>
                <w:szCs w:val="24"/>
              </w:rPr>
              <w:t>) by the Transporters, for execution of the DSC Agreement by each UNC Party…</w:t>
            </w:r>
          </w:p>
        </w:tc>
        <w:tc>
          <w:tcPr>
            <w:tcW w:w="4438" w:type="dxa"/>
          </w:tcPr>
          <w:p>
            <w:pPr>
              <w:spacing w:after="240" w:line="240" w:lineRule="auto"/>
              <w:jc w:val="both"/>
              <w:outlineLvl w:val="1"/>
              <w:rPr>
                <w:rFonts w:cs="Arabic Transparent"/>
                <w:szCs w:val="24"/>
              </w:rPr>
            </w:pPr>
            <w:r>
              <w:rPr>
                <w:rFonts w:cs="Arabic Transparent"/>
                <w:szCs w:val="24"/>
              </w:rPr>
              <w:t>Drafting not expected to change.</w:t>
            </w:r>
          </w:p>
        </w:tc>
      </w:tr>
      <w:tr>
        <w:tc>
          <w:tcPr>
            <w:tcW w:w="1344" w:type="dxa"/>
          </w:tcPr>
          <w:p>
            <w:pPr>
              <w:pStyle w:val="BodyText"/>
              <w:rPr>
                <w:b/>
              </w:rPr>
            </w:pPr>
            <w:r>
              <w:rPr>
                <w:b/>
              </w:rPr>
              <w:t>6.1.4</w:t>
            </w:r>
          </w:p>
        </w:tc>
        <w:tc>
          <w:tcPr>
            <w:tcW w:w="2535" w:type="dxa"/>
          </w:tcPr>
          <w:p>
            <w:pPr>
              <w:pStyle w:val="BodyText"/>
              <w:spacing w:before="80" w:after="80"/>
              <w:rPr>
                <w:bCs/>
              </w:rPr>
            </w:pPr>
            <w:r>
              <w:rPr>
                <w:bCs/>
              </w:rPr>
              <w:t>Xoserve declaration and payment of shareholder distribution</w:t>
            </w:r>
          </w:p>
        </w:tc>
        <w:tc>
          <w:tcPr>
            <w:tcW w:w="5859" w:type="dxa"/>
          </w:tcPr>
          <w:p>
            <w:pPr>
              <w:spacing w:after="240" w:line="240" w:lineRule="auto"/>
              <w:jc w:val="both"/>
              <w:outlineLvl w:val="1"/>
              <w:rPr>
                <w:rFonts w:cs="Arabic Transparent"/>
                <w:szCs w:val="24"/>
              </w:rPr>
            </w:pPr>
            <w:r>
              <w:rPr>
                <w:rFonts w:cs="Arabic Transparent"/>
                <w:szCs w:val="24"/>
              </w:rPr>
              <w:t xml:space="preserve">It is noted that Xoserve the CDSP may (as referred to in paragraph 7(b) of the </w:t>
            </w:r>
            <w:r>
              <w:rPr>
                <w:rFonts w:cs="Arabic Transparent"/>
                <w:szCs w:val="24"/>
                <w:highlight w:val="yellow"/>
              </w:rPr>
              <w:t>CDSP Licence Condition</w:t>
            </w:r>
            <w:r>
              <w:rPr>
                <w:rFonts w:cs="Arabic Transparent"/>
                <w:szCs w:val="24"/>
              </w:rPr>
              <w:t>) declare and pay a distribution to its shareholders in respect of the period ending immediately before the Implementation Date.</w:t>
            </w:r>
          </w:p>
        </w:tc>
        <w:tc>
          <w:tcPr>
            <w:tcW w:w="4438" w:type="dxa"/>
          </w:tcPr>
          <w:p>
            <w:pPr>
              <w:spacing w:after="240" w:line="240" w:lineRule="auto"/>
              <w:jc w:val="both"/>
              <w:outlineLvl w:val="1"/>
              <w:rPr>
                <w:rFonts w:cs="Arabic Transparent"/>
                <w:szCs w:val="24"/>
              </w:rPr>
            </w:pPr>
            <w:r>
              <w:t>Check cross-reference to CDSP Licence Condition is correct.</w:t>
            </w: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Credit Policy</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N/A</w:t>
            </w:r>
          </w:p>
        </w:tc>
        <w:tc>
          <w:tcPr>
            <w:tcW w:w="2535" w:type="dxa"/>
          </w:tcPr>
          <w:p>
            <w:pPr>
              <w:pStyle w:val="BodyText"/>
              <w:spacing w:before="80" w:after="80"/>
              <w:rPr>
                <w:bCs/>
              </w:rPr>
            </w:pPr>
          </w:p>
        </w:tc>
        <w:tc>
          <w:tcPr>
            <w:tcW w:w="5859" w:type="dxa"/>
          </w:tcPr>
          <w:p>
            <w:pPr>
              <w:spacing w:after="240" w:line="240" w:lineRule="auto"/>
              <w:jc w:val="both"/>
              <w:outlineLvl w:val="1"/>
              <w:rPr>
                <w:rFonts w:cs="Arabic Transparent"/>
                <w:szCs w:val="24"/>
              </w:rPr>
            </w:pPr>
          </w:p>
        </w:tc>
        <w:tc>
          <w:tcPr>
            <w:tcW w:w="4438" w:type="dxa"/>
          </w:tcPr>
          <w:p>
            <w:pPr>
              <w:spacing w:after="240" w:line="240" w:lineRule="auto"/>
              <w:jc w:val="both"/>
              <w:outlineLvl w:val="1"/>
              <w:rPr>
                <w:rFonts w:cs="Arabic Transparent"/>
                <w:szCs w:val="24"/>
              </w:rPr>
            </w:pPr>
          </w:p>
        </w:tc>
      </w:tr>
      <w:tr>
        <w:tc>
          <w:tcPr>
            <w:tcW w:w="9738" w:type="dxa"/>
            <w:gridSpan w:val="3"/>
            <w:shd w:val="clear" w:color="auto" w:fill="D9D9D9" w:themeFill="background1" w:themeFillShade="D9"/>
          </w:tcPr>
          <w:p>
            <w:pPr>
              <w:spacing w:after="240" w:line="240" w:lineRule="auto"/>
              <w:jc w:val="both"/>
              <w:outlineLvl w:val="1"/>
              <w:rPr>
                <w:rFonts w:cs="Arabic Transparent"/>
                <w:sz w:val="24"/>
                <w:szCs w:val="24"/>
              </w:rPr>
            </w:pPr>
            <w:r>
              <w:rPr>
                <w:b/>
                <w:sz w:val="24"/>
              </w:rPr>
              <w:t>GTD</w:t>
            </w:r>
          </w:p>
        </w:tc>
        <w:tc>
          <w:tcPr>
            <w:tcW w:w="4438" w:type="dxa"/>
            <w:shd w:val="clear" w:color="auto" w:fill="D9D9D9" w:themeFill="background1" w:themeFillShade="D9"/>
          </w:tcPr>
          <w:p>
            <w:pPr>
              <w:spacing w:after="240" w:line="240" w:lineRule="auto"/>
              <w:jc w:val="both"/>
              <w:outlineLvl w:val="1"/>
              <w:rPr>
                <w:b/>
                <w:sz w:val="24"/>
              </w:rPr>
            </w:pPr>
          </w:p>
        </w:tc>
      </w:tr>
      <w:tr>
        <w:tc>
          <w:tcPr>
            <w:tcW w:w="1344" w:type="dxa"/>
          </w:tcPr>
          <w:p>
            <w:pPr>
              <w:pStyle w:val="BodyText"/>
              <w:rPr>
                <w:b/>
              </w:rPr>
            </w:pPr>
            <w:r>
              <w:rPr>
                <w:b/>
              </w:rPr>
              <w:t>1.1.2</w:t>
            </w:r>
          </w:p>
        </w:tc>
        <w:tc>
          <w:tcPr>
            <w:tcW w:w="2535" w:type="dxa"/>
          </w:tcPr>
          <w:p>
            <w:pPr>
              <w:pStyle w:val="BodyText"/>
              <w:spacing w:before="80" w:after="80"/>
              <w:rPr>
                <w:bCs/>
              </w:rPr>
            </w:pPr>
            <w:r>
              <w:rPr>
                <w:bCs/>
              </w:rPr>
              <w:t>Introduction</w:t>
            </w:r>
          </w:p>
        </w:tc>
        <w:tc>
          <w:tcPr>
            <w:tcW w:w="5859" w:type="dxa"/>
          </w:tcPr>
          <w:p>
            <w:pPr>
              <w:spacing w:after="240" w:line="240" w:lineRule="auto"/>
              <w:jc w:val="both"/>
              <w:outlineLvl w:val="1"/>
              <w:rPr>
                <w:rFonts w:cs="Arabic Transparent"/>
                <w:szCs w:val="24"/>
              </w:rPr>
            </w:pPr>
            <w:r>
              <w:rPr>
                <w:rFonts w:cs="Arabic Transparent"/>
                <w:szCs w:val="24"/>
              </w:rPr>
              <w:t xml:space="preserve">This Section D includes the provisions required to be included in the Code pursuant to the </w:t>
            </w:r>
            <w:r>
              <w:rPr>
                <w:rFonts w:cs="Arabic Transparent"/>
                <w:szCs w:val="24"/>
                <w:highlight w:val="yellow"/>
              </w:rPr>
              <w:t>CDSP Licence Condition.</w:t>
            </w:r>
          </w:p>
        </w:tc>
        <w:tc>
          <w:tcPr>
            <w:tcW w:w="4438" w:type="dxa"/>
          </w:tcPr>
          <w:p>
            <w:pPr>
              <w:spacing w:after="240" w:line="240" w:lineRule="auto"/>
              <w:jc w:val="both"/>
              <w:outlineLvl w:val="1"/>
              <w:rPr>
                <w:rFonts w:cs="Arabic Transparent"/>
                <w:szCs w:val="24"/>
              </w:rPr>
            </w:pPr>
            <w:r>
              <w:rPr>
                <w:rFonts w:cs="Arabic Transparent"/>
                <w:szCs w:val="24"/>
              </w:rPr>
              <w:t>Drafting not expected to change.</w:t>
            </w:r>
          </w:p>
        </w:tc>
      </w:tr>
      <w:tr>
        <w:tc>
          <w:tcPr>
            <w:tcW w:w="1344" w:type="dxa"/>
          </w:tcPr>
          <w:p>
            <w:pPr>
              <w:pStyle w:val="BodyText"/>
              <w:rPr>
                <w:b/>
              </w:rPr>
            </w:pPr>
            <w:r>
              <w:rPr>
                <w:b/>
              </w:rPr>
              <w:t>1.1.4</w:t>
            </w:r>
          </w:p>
        </w:tc>
        <w:tc>
          <w:tcPr>
            <w:tcW w:w="2535" w:type="dxa"/>
          </w:tcPr>
          <w:p>
            <w:pPr>
              <w:pStyle w:val="BodyText"/>
              <w:spacing w:before="80" w:after="80"/>
              <w:rPr>
                <w:bCs/>
              </w:rPr>
            </w:pPr>
            <w:r>
              <w:rPr>
                <w:bCs/>
              </w:rPr>
              <w:t>Introduction</w:t>
            </w:r>
          </w:p>
        </w:tc>
        <w:tc>
          <w:tcPr>
            <w:tcW w:w="5859" w:type="dxa"/>
          </w:tcPr>
          <w:p>
            <w:pPr>
              <w:spacing w:after="240" w:line="240" w:lineRule="auto"/>
              <w:jc w:val="both"/>
              <w:outlineLvl w:val="1"/>
              <w:rPr>
                <w:rFonts w:cs="Arabic Transparent"/>
                <w:szCs w:val="24"/>
              </w:rPr>
            </w:pPr>
            <w:r>
              <w:rPr>
                <w:rFonts w:cs="Arabic Transparent"/>
                <w:szCs w:val="24"/>
              </w:rPr>
              <w:t xml:space="preserve">It is recognised that this Section D and the DSC are based on the assumption that (as provided in paragraph 7(b) of the </w:t>
            </w:r>
            <w:r>
              <w:rPr>
                <w:rFonts w:cs="Arabic Transparent"/>
                <w:szCs w:val="24"/>
                <w:highlight w:val="yellow"/>
              </w:rPr>
              <w:lastRenderedPageBreak/>
              <w:t>CDSP Licence Condition</w:t>
            </w:r>
            <w:r>
              <w:rPr>
                <w:rFonts w:cs="Arabic Transparent"/>
                <w:szCs w:val="24"/>
              </w:rPr>
              <w:t>, and reflected in paragraph 1.4.6) the CDSP will not return a profit through its share capital; and that if (as contemplated by  paragraph 7(b)) the Authority were to consent to the CDSP doing so, it would be necessary to modify this Section D and amend the DSC to take account of the change in nature of the CDSP.</w:t>
            </w:r>
          </w:p>
        </w:tc>
        <w:tc>
          <w:tcPr>
            <w:tcW w:w="4438" w:type="dxa"/>
          </w:tcPr>
          <w:p>
            <w:pPr>
              <w:spacing w:after="240" w:line="240" w:lineRule="auto"/>
              <w:jc w:val="both"/>
              <w:outlineLvl w:val="1"/>
              <w:rPr>
                <w:rFonts w:cs="Arabic Transparent"/>
                <w:szCs w:val="24"/>
              </w:rPr>
            </w:pPr>
            <w:r>
              <w:rPr>
                <w:rFonts w:cs="Arabic Transparent"/>
                <w:szCs w:val="24"/>
              </w:rPr>
              <w:lastRenderedPageBreak/>
              <w:t xml:space="preserve">Check cross-references to CDSP Licence </w:t>
            </w:r>
            <w:r>
              <w:rPr>
                <w:rFonts w:cs="Arabic Transparent"/>
                <w:szCs w:val="24"/>
              </w:rPr>
              <w:lastRenderedPageBreak/>
              <w:t>Condition are correct.</w:t>
            </w:r>
          </w:p>
        </w:tc>
      </w:tr>
      <w:tr>
        <w:tc>
          <w:tcPr>
            <w:tcW w:w="1344" w:type="dxa"/>
          </w:tcPr>
          <w:p>
            <w:pPr>
              <w:pStyle w:val="BodyText"/>
              <w:rPr>
                <w:b/>
              </w:rPr>
            </w:pPr>
            <w:r>
              <w:rPr>
                <w:b/>
              </w:rPr>
              <w:lastRenderedPageBreak/>
              <w:t>1.2.1</w:t>
            </w:r>
          </w:p>
        </w:tc>
        <w:tc>
          <w:tcPr>
            <w:tcW w:w="2535" w:type="dxa"/>
          </w:tcPr>
          <w:p>
            <w:pPr>
              <w:pStyle w:val="BodyText"/>
              <w:spacing w:before="80" w:after="80"/>
              <w:rPr>
                <w:bCs/>
              </w:rPr>
            </w:pPr>
            <w:r>
              <w:rPr>
                <w:bCs/>
              </w:rPr>
              <w:t>Definition of CDSP</w:t>
            </w:r>
          </w:p>
        </w:tc>
        <w:tc>
          <w:tcPr>
            <w:tcW w:w="5859" w:type="dxa"/>
          </w:tcPr>
          <w:p>
            <w:pPr>
              <w:spacing w:after="240" w:line="240" w:lineRule="auto"/>
              <w:jc w:val="both"/>
              <w:outlineLvl w:val="1"/>
              <w:rPr>
                <w:rFonts w:cs="Arabic Transparent"/>
                <w:szCs w:val="24"/>
              </w:rPr>
            </w:pPr>
            <w:r>
              <w:rPr>
                <w:rFonts w:cs="Arabic Transparent"/>
                <w:szCs w:val="24"/>
              </w:rPr>
              <w:t xml:space="preserve">the "Central Data Services Provider" or "CDSP" is the person for the time being appointed by the Transporters as [Central Data Services Provider] pursuant to the </w:t>
            </w:r>
            <w:r>
              <w:rPr>
                <w:rFonts w:cs="Arabic Transparent"/>
                <w:szCs w:val="24"/>
                <w:highlight w:val="yellow"/>
              </w:rPr>
              <w:t>CDSP Licence Condition</w:t>
            </w:r>
          </w:p>
        </w:tc>
        <w:tc>
          <w:tcPr>
            <w:tcW w:w="4438" w:type="dxa"/>
          </w:tcPr>
          <w:p>
            <w:pPr>
              <w:spacing w:after="240" w:line="240" w:lineRule="auto"/>
              <w:jc w:val="both"/>
              <w:outlineLvl w:val="1"/>
              <w:rPr>
                <w:rFonts w:cs="Arabic Transparent"/>
                <w:szCs w:val="24"/>
              </w:rPr>
            </w:pPr>
            <w:r>
              <w:rPr>
                <w:rFonts w:cs="Arabic Transparent"/>
                <w:szCs w:val="24"/>
              </w:rPr>
              <w:t>Drafting not expected to change.</w:t>
            </w:r>
          </w:p>
        </w:tc>
      </w:tr>
      <w:tr>
        <w:tc>
          <w:tcPr>
            <w:tcW w:w="1344" w:type="dxa"/>
          </w:tcPr>
          <w:p>
            <w:pPr>
              <w:pStyle w:val="BodyText"/>
              <w:rPr>
                <w:b/>
              </w:rPr>
            </w:pPr>
            <w:r>
              <w:rPr>
                <w:b/>
              </w:rPr>
              <w:t>1.2.1</w:t>
            </w:r>
          </w:p>
        </w:tc>
        <w:tc>
          <w:tcPr>
            <w:tcW w:w="2535" w:type="dxa"/>
          </w:tcPr>
          <w:p>
            <w:pPr>
              <w:pStyle w:val="BodyText"/>
              <w:spacing w:before="80" w:after="80"/>
              <w:rPr>
                <w:bCs/>
              </w:rPr>
            </w:pPr>
            <w:r>
              <w:rPr>
                <w:bCs/>
              </w:rPr>
              <w:t>Definition of CDSP Licence Condition</w:t>
            </w:r>
          </w:p>
        </w:tc>
        <w:tc>
          <w:tcPr>
            <w:tcW w:w="5859" w:type="dxa"/>
          </w:tcPr>
          <w:p>
            <w:pPr>
              <w:spacing w:after="240" w:line="240" w:lineRule="auto"/>
              <w:jc w:val="both"/>
              <w:outlineLvl w:val="1"/>
              <w:rPr>
                <w:rFonts w:cs="Arabic Transparent"/>
                <w:szCs w:val="24"/>
              </w:rPr>
            </w:pPr>
            <w:r>
              <w:rPr>
                <w:rFonts w:cs="Arabic Transparent"/>
                <w:szCs w:val="24"/>
              </w:rPr>
              <w:t>the "</w:t>
            </w:r>
            <w:r>
              <w:rPr>
                <w:rFonts w:cs="Arabic Transparent"/>
                <w:szCs w:val="24"/>
                <w:highlight w:val="yellow"/>
              </w:rPr>
              <w:t>CDSP Licence Condition</w:t>
            </w:r>
            <w:r>
              <w:rPr>
                <w:rFonts w:cs="Arabic Transparent"/>
                <w:szCs w:val="24"/>
              </w:rPr>
              <w:t>" is [Standard Special Licence Condition A15A] of Gas Transporter's Licences</w:t>
            </w:r>
          </w:p>
        </w:tc>
        <w:tc>
          <w:tcPr>
            <w:tcW w:w="4438" w:type="dxa"/>
          </w:tcPr>
          <w:p>
            <w:pPr>
              <w:spacing w:after="240" w:line="240" w:lineRule="auto"/>
              <w:jc w:val="both"/>
              <w:outlineLvl w:val="1"/>
              <w:rPr>
                <w:rFonts w:cs="Arabic Transparent"/>
                <w:szCs w:val="24"/>
              </w:rPr>
            </w:pPr>
            <w:r>
              <w:rPr>
                <w:rFonts w:cs="Arabic Transparent"/>
                <w:szCs w:val="24"/>
              </w:rPr>
              <w:t>Drafting not expected to change.</w:t>
            </w:r>
          </w:p>
        </w:tc>
      </w:tr>
      <w:tr>
        <w:tc>
          <w:tcPr>
            <w:tcW w:w="1344" w:type="dxa"/>
          </w:tcPr>
          <w:p>
            <w:pPr>
              <w:pStyle w:val="BodyText"/>
              <w:rPr>
                <w:b/>
              </w:rPr>
            </w:pPr>
            <w:r>
              <w:rPr>
                <w:b/>
              </w:rPr>
              <w:t>1.2.2(a)</w:t>
            </w:r>
          </w:p>
        </w:tc>
        <w:tc>
          <w:tcPr>
            <w:tcW w:w="2535" w:type="dxa"/>
          </w:tcPr>
          <w:p>
            <w:pPr>
              <w:pStyle w:val="BodyText"/>
              <w:spacing w:before="80" w:after="80"/>
              <w:rPr>
                <w:bCs/>
              </w:rPr>
            </w:pPr>
            <w:r>
              <w:rPr>
                <w:bCs/>
              </w:rPr>
              <w:t>DSC Objectives</w:t>
            </w:r>
          </w:p>
        </w:tc>
        <w:tc>
          <w:tcPr>
            <w:tcW w:w="5859" w:type="dxa"/>
          </w:tcPr>
          <w:p>
            <w:pPr>
              <w:spacing w:after="240" w:line="240" w:lineRule="auto"/>
              <w:jc w:val="both"/>
              <w:outlineLvl w:val="1"/>
              <w:rPr>
                <w:rFonts w:cs="Arabic Transparent"/>
                <w:szCs w:val="24"/>
              </w:rPr>
            </w:pPr>
            <w:r>
              <w:rPr>
                <w:rFonts w:cs="Arabic Transparent"/>
                <w:szCs w:val="24"/>
              </w:rPr>
              <w:t>The DSC Objectives are:</w:t>
            </w:r>
          </w:p>
          <w:p>
            <w:pPr>
              <w:numPr>
                <w:ilvl w:val="3"/>
                <w:numId w:val="8"/>
              </w:numPr>
              <w:spacing w:after="240" w:line="240" w:lineRule="auto"/>
              <w:jc w:val="both"/>
              <w:outlineLvl w:val="1"/>
              <w:rPr>
                <w:rFonts w:cs="Arabic Transparent"/>
                <w:szCs w:val="24"/>
              </w:rPr>
            </w:pPr>
            <w:r>
              <w:rPr>
                <w:rFonts w:cs="Arabic Transparent"/>
                <w:szCs w:val="24"/>
              </w:rPr>
              <w:t xml:space="preserve">compliance with the requirements of the </w:t>
            </w:r>
            <w:r>
              <w:rPr>
                <w:rFonts w:cs="Arabic Transparent"/>
                <w:szCs w:val="24"/>
                <w:highlight w:val="yellow"/>
              </w:rPr>
              <w:t>CDSP Licence Condition</w:t>
            </w:r>
            <w:r>
              <w:rPr>
                <w:rFonts w:cs="Arabic Transparent"/>
                <w:szCs w:val="24"/>
              </w:rPr>
              <w:t>, including (without limitation):</w:t>
            </w:r>
          </w:p>
          <w:p>
            <w:pPr>
              <w:numPr>
                <w:ilvl w:val="4"/>
                <w:numId w:val="8"/>
              </w:numPr>
              <w:spacing w:after="240" w:line="240" w:lineRule="auto"/>
              <w:jc w:val="both"/>
              <w:outlineLvl w:val="1"/>
              <w:rPr>
                <w:rFonts w:cs="Arabic Transparent"/>
                <w:szCs w:val="24"/>
              </w:rPr>
            </w:pPr>
            <w:r>
              <w:rPr>
                <w:rFonts w:cs="Arabic Transparent"/>
                <w:szCs w:val="24"/>
              </w:rPr>
              <w:t>that the CDSP should provide services effectively to help facilitate the efficient and integrated operation of the gas industry; and</w:t>
            </w:r>
          </w:p>
          <w:p>
            <w:pPr>
              <w:numPr>
                <w:ilvl w:val="4"/>
                <w:numId w:val="8"/>
              </w:numPr>
              <w:spacing w:after="240" w:line="240" w:lineRule="auto"/>
              <w:jc w:val="both"/>
              <w:outlineLvl w:val="1"/>
              <w:rPr>
                <w:rFonts w:cs="Arabic Transparent"/>
                <w:szCs w:val="24"/>
              </w:rPr>
            </w:pPr>
            <w:r>
              <w:rPr>
                <w:rFonts w:cs="Arabic Transparent"/>
                <w:szCs w:val="24"/>
              </w:rPr>
              <w:t xml:space="preserve">so far as concerns CDSP Charges, compliance with the charging methodology objective in paragraph 8(e) of the </w:t>
            </w:r>
            <w:r>
              <w:rPr>
                <w:rFonts w:cs="Arabic Transparent"/>
                <w:szCs w:val="24"/>
                <w:highlight w:val="yellow"/>
              </w:rPr>
              <w:t>CDSP Licence Condition</w:t>
            </w:r>
            <w:r>
              <w:rPr>
                <w:rFonts w:cs="Arabic Transparent"/>
                <w:szCs w:val="24"/>
              </w:rPr>
              <w:t>; and</w:t>
            </w:r>
          </w:p>
          <w:p>
            <w:pPr>
              <w:spacing w:after="240" w:line="240" w:lineRule="auto"/>
              <w:ind w:left="720"/>
              <w:jc w:val="both"/>
              <w:outlineLvl w:val="1"/>
              <w:rPr>
                <w:rFonts w:cs="Arabic Transparent"/>
                <w:szCs w:val="24"/>
              </w:rPr>
            </w:pPr>
          </w:p>
        </w:tc>
        <w:tc>
          <w:tcPr>
            <w:tcW w:w="4438" w:type="dxa"/>
          </w:tcPr>
          <w:p>
            <w:pPr>
              <w:spacing w:after="240" w:line="240" w:lineRule="auto"/>
              <w:jc w:val="both"/>
              <w:outlineLvl w:val="1"/>
              <w:rPr>
                <w:rFonts w:cs="Arabic Transparent"/>
                <w:szCs w:val="24"/>
              </w:rPr>
            </w:pPr>
            <w:r>
              <w:rPr>
                <w:rFonts w:cs="Arabic Transparent"/>
                <w:szCs w:val="24"/>
              </w:rPr>
              <w:lastRenderedPageBreak/>
              <w:t>Confirm clause is still consistent with CDSP Licence Condition.</w:t>
            </w:r>
          </w:p>
          <w:p>
            <w:pPr>
              <w:spacing w:after="240" w:line="240" w:lineRule="auto"/>
              <w:jc w:val="both"/>
              <w:outlineLvl w:val="1"/>
              <w:rPr>
                <w:rFonts w:cs="Arabic Transparent"/>
                <w:szCs w:val="24"/>
              </w:rPr>
            </w:pPr>
            <w:r>
              <w:rPr>
                <w:rFonts w:cs="Arabic Transparent"/>
                <w:szCs w:val="24"/>
              </w:rPr>
              <w:t>Check cross-reference to CDSP Licence Condition is correct.</w:t>
            </w:r>
          </w:p>
        </w:tc>
      </w:tr>
      <w:tr>
        <w:tc>
          <w:tcPr>
            <w:tcW w:w="1344" w:type="dxa"/>
          </w:tcPr>
          <w:p>
            <w:pPr>
              <w:pStyle w:val="BodyText"/>
              <w:rPr>
                <w:b/>
              </w:rPr>
            </w:pPr>
            <w:r>
              <w:rPr>
                <w:b/>
              </w:rPr>
              <w:lastRenderedPageBreak/>
              <w:t>1.3.3</w:t>
            </w:r>
          </w:p>
        </w:tc>
        <w:tc>
          <w:tcPr>
            <w:tcW w:w="2535" w:type="dxa"/>
          </w:tcPr>
          <w:p>
            <w:pPr>
              <w:pStyle w:val="BodyText"/>
              <w:spacing w:before="80" w:after="80"/>
              <w:rPr>
                <w:bCs/>
              </w:rPr>
            </w:pPr>
            <w:r>
              <w:rPr>
                <w:bCs/>
              </w:rPr>
              <w:t>CDSP Services</w:t>
            </w:r>
          </w:p>
        </w:tc>
        <w:tc>
          <w:tcPr>
            <w:tcW w:w="5859" w:type="dxa"/>
          </w:tcPr>
          <w:p>
            <w:pPr>
              <w:spacing w:after="240" w:line="240" w:lineRule="auto"/>
              <w:jc w:val="both"/>
              <w:outlineLvl w:val="1"/>
              <w:rPr>
                <w:rFonts w:cs="Arabic Transparent"/>
                <w:szCs w:val="24"/>
              </w:rPr>
            </w:pPr>
            <w:r>
              <w:rPr>
                <w:rFonts w:cs="Arabic Transparent"/>
                <w:szCs w:val="24"/>
              </w:rPr>
              <w:t xml:space="preserve">If the Authority consents (under paragraph 7(b) of the </w:t>
            </w:r>
            <w:r>
              <w:rPr>
                <w:rFonts w:cs="Arabic Transparent"/>
                <w:szCs w:val="24"/>
                <w:highlight w:val="yellow"/>
              </w:rPr>
              <w:t>CDSP Licence Condition</w:t>
            </w:r>
            <w:r>
              <w:rPr>
                <w:rFonts w:cs="Arabic Transparent"/>
                <w:szCs w:val="24"/>
              </w:rPr>
              <w:t>) to the CDSP providing a service beyond what is provided in paragraph 1.3.1, and such service is provided to Core Customer(s) under the DSC, such service shall be treated as being a CDSP Service.</w:t>
            </w:r>
          </w:p>
        </w:tc>
        <w:tc>
          <w:tcPr>
            <w:tcW w:w="4438" w:type="dxa"/>
          </w:tcPr>
          <w:p>
            <w:pPr>
              <w:spacing w:after="240" w:line="240" w:lineRule="auto"/>
              <w:jc w:val="both"/>
              <w:outlineLvl w:val="1"/>
              <w:rPr>
                <w:rFonts w:cs="Arabic Transparent"/>
                <w:szCs w:val="24"/>
              </w:rPr>
            </w:pPr>
            <w:r>
              <w:rPr>
                <w:rFonts w:cs="Arabic Transparent"/>
                <w:szCs w:val="24"/>
              </w:rPr>
              <w:t>Confirm clause is still consistent with CDSP Licence Condition.</w:t>
            </w:r>
          </w:p>
          <w:p>
            <w:pPr>
              <w:spacing w:after="240" w:line="240" w:lineRule="auto"/>
              <w:jc w:val="both"/>
              <w:outlineLvl w:val="1"/>
              <w:rPr>
                <w:rFonts w:cs="Arabic Transparent"/>
                <w:szCs w:val="24"/>
              </w:rPr>
            </w:pPr>
            <w:r>
              <w:rPr>
                <w:rFonts w:cs="Arabic Transparent"/>
                <w:szCs w:val="24"/>
              </w:rPr>
              <w:t>Check cross-reference to CDSP Licence Condition is correct.</w:t>
            </w:r>
          </w:p>
        </w:tc>
      </w:tr>
      <w:tr>
        <w:tc>
          <w:tcPr>
            <w:tcW w:w="1344" w:type="dxa"/>
          </w:tcPr>
          <w:p>
            <w:pPr>
              <w:pStyle w:val="BodyText"/>
              <w:rPr>
                <w:b/>
              </w:rPr>
            </w:pPr>
            <w:r>
              <w:rPr>
                <w:b/>
              </w:rPr>
              <w:t>1.3.4</w:t>
            </w:r>
          </w:p>
        </w:tc>
        <w:tc>
          <w:tcPr>
            <w:tcW w:w="2535" w:type="dxa"/>
          </w:tcPr>
          <w:p>
            <w:pPr>
              <w:pStyle w:val="BodyText"/>
              <w:spacing w:before="80" w:after="80"/>
              <w:rPr>
                <w:bCs/>
              </w:rPr>
            </w:pPr>
            <w:r>
              <w:rPr>
                <w:bCs/>
              </w:rPr>
              <w:t>CDSP Services</w:t>
            </w:r>
          </w:p>
        </w:tc>
        <w:tc>
          <w:tcPr>
            <w:tcW w:w="5859" w:type="dxa"/>
          </w:tcPr>
          <w:p>
            <w:pPr>
              <w:spacing w:after="240" w:line="240" w:lineRule="auto"/>
              <w:jc w:val="both"/>
              <w:outlineLvl w:val="1"/>
              <w:rPr>
                <w:rFonts w:cs="Arabic Transparent"/>
                <w:szCs w:val="24"/>
              </w:rPr>
            </w:pPr>
            <w:r>
              <w:rPr>
                <w:rFonts w:cs="Arabic Transparent"/>
                <w:szCs w:val="24"/>
              </w:rPr>
              <w:t xml:space="preserve">If a question arises as to whether a service being or proposed to be provided by the CDSP qualifies as a CDSP Service under paragraph 1.3.1(b), at the request of any Transporter the CDSP and the Transporters will consult the Authority on such question; and if (following such consultation) the Transporters are not satisfied that the service does so qualify, , the CDSP in consultation with the Transporters shall take such steps as are necessary to cease or not to commence the provision of such service unless the Authority consents to such provision under paragraph 7(b) of the </w:t>
            </w:r>
            <w:r>
              <w:rPr>
                <w:rFonts w:cs="Arabic Transparent"/>
                <w:szCs w:val="24"/>
                <w:highlight w:val="yellow"/>
              </w:rPr>
              <w:t>CDSP Licence Condition</w:t>
            </w:r>
            <w:r>
              <w:rPr>
                <w:rFonts w:cs="Arabic Transparent"/>
                <w:szCs w:val="24"/>
              </w:rPr>
              <w:t>; and nothing done by the CDSP pursuant to this paragraph 1.3.4 shall be a breach of the DSC.</w:t>
            </w:r>
          </w:p>
        </w:tc>
        <w:tc>
          <w:tcPr>
            <w:tcW w:w="4438" w:type="dxa"/>
          </w:tcPr>
          <w:p>
            <w:pPr>
              <w:spacing w:after="240" w:line="240" w:lineRule="auto"/>
              <w:jc w:val="both"/>
              <w:outlineLvl w:val="1"/>
              <w:rPr>
                <w:rFonts w:cs="Arabic Transparent"/>
                <w:szCs w:val="24"/>
              </w:rPr>
            </w:pPr>
            <w:r>
              <w:rPr>
                <w:rFonts w:cs="Arabic Transparent"/>
                <w:szCs w:val="24"/>
              </w:rPr>
              <w:t>Confirm clause is still consistent with CDSP Licence Condition.</w:t>
            </w:r>
          </w:p>
          <w:p>
            <w:pPr>
              <w:spacing w:after="240" w:line="240" w:lineRule="auto"/>
              <w:jc w:val="both"/>
              <w:outlineLvl w:val="1"/>
              <w:rPr>
                <w:rFonts w:cs="Arabic Transparent"/>
                <w:szCs w:val="24"/>
              </w:rPr>
            </w:pPr>
            <w:r>
              <w:rPr>
                <w:rFonts w:cs="Arabic Transparent"/>
                <w:szCs w:val="24"/>
              </w:rPr>
              <w:t>Check cross-reference to CDSP Licence Condition is correct.</w:t>
            </w:r>
          </w:p>
        </w:tc>
      </w:tr>
      <w:tr>
        <w:tc>
          <w:tcPr>
            <w:tcW w:w="1344" w:type="dxa"/>
          </w:tcPr>
          <w:p>
            <w:pPr>
              <w:pStyle w:val="BodyText"/>
              <w:rPr>
                <w:b/>
              </w:rPr>
            </w:pPr>
            <w:r>
              <w:rPr>
                <w:b/>
              </w:rPr>
              <w:t>1.4.2</w:t>
            </w:r>
          </w:p>
        </w:tc>
        <w:tc>
          <w:tcPr>
            <w:tcW w:w="2535" w:type="dxa"/>
          </w:tcPr>
          <w:p>
            <w:pPr>
              <w:pStyle w:val="BodyText"/>
              <w:spacing w:before="80" w:after="80"/>
              <w:rPr>
                <w:bCs/>
              </w:rPr>
            </w:pPr>
            <w:r>
              <w:rPr>
                <w:bCs/>
              </w:rPr>
              <w:t>Agreement to engage CDSP</w:t>
            </w:r>
          </w:p>
        </w:tc>
        <w:tc>
          <w:tcPr>
            <w:tcW w:w="5859" w:type="dxa"/>
          </w:tcPr>
          <w:p>
            <w:pPr>
              <w:spacing w:after="240" w:line="240" w:lineRule="auto"/>
              <w:jc w:val="both"/>
              <w:outlineLvl w:val="1"/>
              <w:rPr>
                <w:rFonts w:cs="Arabic Transparent"/>
                <w:szCs w:val="24"/>
              </w:rPr>
            </w:pPr>
            <w:r>
              <w:rPr>
                <w:rFonts w:cs="Arabic Transparent"/>
                <w:szCs w:val="24"/>
              </w:rPr>
              <w:t>Accordingly the Parties shall, and each Party undertakes that it will:</w:t>
            </w:r>
          </w:p>
          <w:p>
            <w:pPr>
              <w:spacing w:after="240" w:line="240" w:lineRule="auto"/>
              <w:jc w:val="both"/>
              <w:outlineLvl w:val="1"/>
              <w:rPr>
                <w:rFonts w:cs="Arabic Transparent"/>
                <w:szCs w:val="24"/>
              </w:rPr>
            </w:pPr>
            <w:r>
              <w:rPr>
                <w:rFonts w:cs="Arabic Transparent"/>
                <w:szCs w:val="24"/>
              </w:rPr>
              <w:t>(a)</w:t>
            </w:r>
            <w:r>
              <w:rPr>
                <w:rFonts w:cs="Arabic Transparent"/>
                <w:szCs w:val="24"/>
              </w:rPr>
              <w:tab/>
              <w:t>use the Code Services;</w:t>
            </w:r>
          </w:p>
          <w:p>
            <w:pPr>
              <w:spacing w:after="240" w:line="240" w:lineRule="auto"/>
              <w:jc w:val="both"/>
              <w:outlineLvl w:val="1"/>
              <w:rPr>
                <w:rFonts w:cs="Arabic Transparent"/>
                <w:szCs w:val="24"/>
              </w:rPr>
            </w:pPr>
            <w:r>
              <w:rPr>
                <w:rFonts w:cs="Arabic Transparent"/>
                <w:szCs w:val="24"/>
              </w:rPr>
              <w:t>(b)</w:t>
            </w:r>
            <w:r>
              <w:rPr>
                <w:rFonts w:cs="Arabic Transparent"/>
                <w:szCs w:val="24"/>
              </w:rPr>
              <w:tab/>
              <w:t>engage the CDSP to perform and carry out the Code Services;</w:t>
            </w:r>
          </w:p>
          <w:p>
            <w:pPr>
              <w:spacing w:after="240" w:line="240" w:lineRule="auto"/>
              <w:jc w:val="both"/>
              <w:outlineLvl w:val="1"/>
              <w:rPr>
                <w:rFonts w:cs="Arabic Transparent"/>
                <w:szCs w:val="24"/>
              </w:rPr>
            </w:pPr>
            <w:r>
              <w:rPr>
                <w:rFonts w:cs="Arabic Transparent"/>
                <w:szCs w:val="24"/>
              </w:rPr>
              <w:t>(c)</w:t>
            </w:r>
            <w:r>
              <w:rPr>
                <w:rFonts w:cs="Arabic Transparent"/>
                <w:szCs w:val="24"/>
              </w:rPr>
              <w:tab/>
              <w:t>for that purpose, enter into and comply with the DSC; and</w:t>
            </w:r>
          </w:p>
          <w:p>
            <w:pPr>
              <w:spacing w:after="240" w:line="240" w:lineRule="auto"/>
              <w:jc w:val="both"/>
              <w:outlineLvl w:val="1"/>
              <w:rPr>
                <w:rFonts w:cs="Arabic Transparent"/>
                <w:szCs w:val="24"/>
              </w:rPr>
            </w:pPr>
            <w:r>
              <w:rPr>
                <w:rFonts w:cs="Arabic Transparent"/>
                <w:szCs w:val="24"/>
              </w:rPr>
              <w:t>(d)</w:t>
            </w:r>
            <w:r>
              <w:rPr>
                <w:rFonts w:cs="Arabic Transparent"/>
                <w:szCs w:val="24"/>
              </w:rPr>
              <w:tab/>
              <w:t xml:space="preserve">without limitation of its obligation to comply with the </w:t>
            </w:r>
            <w:r>
              <w:rPr>
                <w:rFonts w:cs="Arabic Transparent"/>
                <w:szCs w:val="24"/>
              </w:rPr>
              <w:lastRenderedPageBreak/>
              <w:t>DSC, pay CDSP Charges as applicable to each Party in accordance with the DSC and the CDSP's Annual Charging Statement.</w:t>
            </w:r>
          </w:p>
        </w:tc>
        <w:tc>
          <w:tcPr>
            <w:tcW w:w="4438" w:type="dxa"/>
          </w:tcPr>
          <w:p>
            <w:pPr>
              <w:spacing w:after="240" w:line="240" w:lineRule="auto"/>
              <w:jc w:val="both"/>
              <w:outlineLvl w:val="1"/>
              <w:rPr>
                <w:rFonts w:cs="Arabic Transparent"/>
                <w:szCs w:val="24"/>
              </w:rPr>
            </w:pPr>
            <w:r>
              <w:rPr>
                <w:rFonts w:cs="Arabic Transparent"/>
                <w:szCs w:val="24"/>
              </w:rPr>
              <w:lastRenderedPageBreak/>
              <w:t>Confirm clause is still consistent with CDSP Licence Condition (currently condition 6(a), (b) and (c)).</w:t>
            </w:r>
          </w:p>
          <w:p>
            <w:pPr>
              <w:spacing w:after="240" w:line="240" w:lineRule="auto"/>
              <w:jc w:val="both"/>
              <w:outlineLvl w:val="1"/>
              <w:rPr>
                <w:rFonts w:cs="Arabic Transparent"/>
                <w:szCs w:val="24"/>
              </w:rPr>
            </w:pPr>
          </w:p>
        </w:tc>
      </w:tr>
      <w:tr>
        <w:tc>
          <w:tcPr>
            <w:tcW w:w="1344" w:type="dxa"/>
          </w:tcPr>
          <w:p>
            <w:pPr>
              <w:pStyle w:val="BodyText"/>
              <w:rPr>
                <w:b/>
              </w:rPr>
            </w:pPr>
            <w:r>
              <w:rPr>
                <w:b/>
              </w:rPr>
              <w:lastRenderedPageBreak/>
              <w:t>1.4.4</w:t>
            </w:r>
          </w:p>
        </w:tc>
        <w:tc>
          <w:tcPr>
            <w:tcW w:w="2535" w:type="dxa"/>
          </w:tcPr>
          <w:p>
            <w:pPr>
              <w:pStyle w:val="BodyText"/>
              <w:spacing w:before="80" w:after="80"/>
              <w:rPr>
                <w:bCs/>
              </w:rPr>
            </w:pPr>
            <w:r>
              <w:rPr>
                <w:bCs/>
              </w:rPr>
              <w:t>Control and govern the CDSP on an economic and efficient basis</w:t>
            </w:r>
          </w:p>
        </w:tc>
        <w:tc>
          <w:tcPr>
            <w:tcW w:w="5859" w:type="dxa"/>
          </w:tcPr>
          <w:p>
            <w:pPr>
              <w:spacing w:after="240" w:line="240" w:lineRule="auto"/>
              <w:jc w:val="both"/>
              <w:outlineLvl w:val="1"/>
              <w:rPr>
                <w:rFonts w:cs="Arabic Transparent"/>
                <w:szCs w:val="24"/>
              </w:rPr>
            </w:pPr>
            <w:r>
              <w:rPr>
                <w:rFonts w:cs="Arabic Transparent"/>
                <w:szCs w:val="24"/>
              </w:rPr>
              <w:t>Each Party undertakes that it will act and exercise its rights and powers in relation to the CDSP (including [its powers under the CDSP Articles of Association and] its rights and powers under the DSC) so as jointly to control and govern the CDSP on an economic and efficient basis</w:t>
            </w:r>
          </w:p>
        </w:tc>
        <w:tc>
          <w:tcPr>
            <w:tcW w:w="4438" w:type="dxa"/>
          </w:tcPr>
          <w:p>
            <w:pPr>
              <w:spacing w:after="240" w:line="240" w:lineRule="auto"/>
              <w:jc w:val="both"/>
              <w:outlineLvl w:val="1"/>
              <w:rPr>
                <w:rFonts w:cs="Arabic Transparent"/>
                <w:szCs w:val="24"/>
              </w:rPr>
            </w:pPr>
            <w:r>
              <w:rPr>
                <w:rFonts w:cs="Arabic Transparent"/>
                <w:szCs w:val="24"/>
              </w:rPr>
              <w:t>Confirm clause is still consistent with CDSP Licence Condition (currently condition 6(c)).</w:t>
            </w:r>
          </w:p>
          <w:p>
            <w:pPr>
              <w:spacing w:after="240" w:line="240" w:lineRule="auto"/>
              <w:jc w:val="both"/>
              <w:outlineLvl w:val="1"/>
              <w:rPr>
                <w:rFonts w:cs="Arabic Transparent"/>
                <w:szCs w:val="24"/>
              </w:rPr>
            </w:pPr>
          </w:p>
        </w:tc>
      </w:tr>
      <w:tr>
        <w:tc>
          <w:tcPr>
            <w:tcW w:w="1344" w:type="dxa"/>
          </w:tcPr>
          <w:p>
            <w:pPr>
              <w:pStyle w:val="BodyText"/>
              <w:rPr>
                <w:b/>
              </w:rPr>
            </w:pPr>
            <w:r>
              <w:rPr>
                <w:b/>
              </w:rPr>
              <w:t>1.4.5</w:t>
            </w:r>
          </w:p>
        </w:tc>
        <w:tc>
          <w:tcPr>
            <w:tcW w:w="2535" w:type="dxa"/>
          </w:tcPr>
          <w:p>
            <w:pPr>
              <w:pStyle w:val="BodyText"/>
              <w:spacing w:before="80" w:after="80"/>
              <w:rPr>
                <w:bCs/>
              </w:rPr>
            </w:pPr>
            <w:r>
              <w:rPr>
                <w:bCs/>
              </w:rPr>
              <w:t>Appeal CDSP Budget</w:t>
            </w:r>
          </w:p>
        </w:tc>
        <w:tc>
          <w:tcPr>
            <w:tcW w:w="5859" w:type="dxa"/>
          </w:tcPr>
          <w:p>
            <w:pPr>
              <w:spacing w:after="240" w:line="240" w:lineRule="auto"/>
              <w:jc w:val="both"/>
              <w:outlineLvl w:val="1"/>
              <w:rPr>
                <w:rFonts w:cs="Arabic Transparent"/>
                <w:szCs w:val="24"/>
              </w:rPr>
            </w:pPr>
            <w:r>
              <w:rPr>
                <w:rFonts w:cs="Arabic Transparent"/>
                <w:szCs w:val="24"/>
              </w:rPr>
              <w:t xml:space="preserve">A Party may appeal the CDSP Budget for a CDSP Year by notice in writing to the Authority in accordance with and subject to the process set out in the Budget and Charging Methodology provided for in paragraph 3.3 [(and the relevant provisions of the Budget and Charging Methodology are deemed incorporated into the Code for the purposes of the </w:t>
            </w:r>
            <w:r>
              <w:rPr>
                <w:rFonts w:cs="Arabic Transparent"/>
                <w:szCs w:val="24"/>
                <w:highlight w:val="yellow"/>
              </w:rPr>
              <w:t>CDSP Licence Condition</w:t>
            </w: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Confirm clause is still consistent with CDSP Licence Condition (currently condition 8(d)).</w:t>
            </w:r>
          </w:p>
        </w:tc>
      </w:tr>
      <w:tr>
        <w:tc>
          <w:tcPr>
            <w:tcW w:w="1344" w:type="dxa"/>
          </w:tcPr>
          <w:p>
            <w:pPr>
              <w:pStyle w:val="BodyText"/>
              <w:rPr>
                <w:b/>
              </w:rPr>
            </w:pPr>
            <w:r>
              <w:rPr>
                <w:b/>
              </w:rPr>
              <w:t>1.4.6</w:t>
            </w:r>
          </w:p>
        </w:tc>
        <w:tc>
          <w:tcPr>
            <w:tcW w:w="2535" w:type="dxa"/>
          </w:tcPr>
          <w:p>
            <w:pPr>
              <w:pStyle w:val="BodyText"/>
              <w:spacing w:before="80" w:after="80"/>
              <w:rPr>
                <w:bCs/>
              </w:rPr>
            </w:pPr>
            <w:r>
              <w:rPr>
                <w:bCs/>
              </w:rPr>
              <w:t>Status of CDSP</w:t>
            </w:r>
          </w:p>
        </w:tc>
        <w:tc>
          <w:tcPr>
            <w:tcW w:w="5859" w:type="dxa"/>
          </w:tcPr>
          <w:p>
            <w:pPr>
              <w:spacing w:after="240" w:line="240" w:lineRule="auto"/>
              <w:jc w:val="both"/>
              <w:outlineLvl w:val="1"/>
              <w:rPr>
                <w:rFonts w:cs="Arabic Transparent"/>
                <w:szCs w:val="24"/>
              </w:rPr>
            </w:pPr>
            <w:r>
              <w:rPr>
                <w:rFonts w:cs="Arabic Transparent"/>
                <w:szCs w:val="24"/>
              </w:rPr>
              <w:t>The Parties agree and acknowledge that:</w:t>
            </w:r>
          </w:p>
          <w:p>
            <w:pPr>
              <w:spacing w:after="240" w:line="240" w:lineRule="auto"/>
              <w:jc w:val="both"/>
              <w:outlineLvl w:val="1"/>
              <w:rPr>
                <w:rFonts w:cs="Arabic Transparent"/>
                <w:szCs w:val="24"/>
              </w:rPr>
            </w:pPr>
            <w:r>
              <w:rPr>
                <w:rFonts w:cs="Arabic Transparent"/>
                <w:szCs w:val="24"/>
              </w:rPr>
              <w:t>(a)</w:t>
            </w:r>
            <w:r>
              <w:rPr>
                <w:rFonts w:cs="Arabic Transparent"/>
                <w:szCs w:val="24"/>
              </w:rPr>
              <w:tab/>
              <w:t>the CDSP will not declare dividends or distributions (of income or capital) to its shareholders;</w:t>
            </w:r>
          </w:p>
          <w:p>
            <w:pPr>
              <w:spacing w:after="240" w:line="240" w:lineRule="auto"/>
              <w:jc w:val="both"/>
              <w:outlineLvl w:val="1"/>
              <w:rPr>
                <w:rFonts w:cs="Arabic Transparent"/>
                <w:szCs w:val="24"/>
              </w:rPr>
            </w:pPr>
            <w:r>
              <w:rPr>
                <w:rFonts w:cs="Arabic Transparent"/>
                <w:szCs w:val="24"/>
              </w:rPr>
              <w:t>(b)</w:t>
            </w:r>
            <w:r>
              <w:rPr>
                <w:rFonts w:cs="Arabic Transparent"/>
                <w:szCs w:val="24"/>
              </w:rPr>
              <w:tab/>
              <w:t>the shareholders of the CDSP have no obligations in respect of the funding of the CDSP;</w:t>
            </w:r>
          </w:p>
          <w:p>
            <w:pPr>
              <w:spacing w:after="240" w:line="240" w:lineRule="auto"/>
              <w:jc w:val="both"/>
              <w:outlineLvl w:val="1"/>
              <w:rPr>
                <w:rFonts w:cs="Arabic Transparent"/>
                <w:szCs w:val="24"/>
              </w:rPr>
            </w:pPr>
            <w:r>
              <w:rPr>
                <w:rFonts w:cs="Arabic Transparent"/>
                <w:szCs w:val="24"/>
              </w:rPr>
              <w:t>(c)</w:t>
            </w:r>
            <w:r>
              <w:rPr>
                <w:rFonts w:cs="Arabic Transparent"/>
                <w:szCs w:val="24"/>
              </w:rPr>
              <w:tab/>
              <w:t xml:space="preserve">the objective of the CDSP is to operate without making a net surplus (other than a margin to provide working capital) or net loss in any CDSP Year (and while some over or under-recovery of CDSP Costs in any one year is likely to occur, the provisions of the Budget and Charging Methodology ensure that such over or under-recovery is corrected in subsequent </w:t>
            </w:r>
            <w:r>
              <w:rPr>
                <w:rFonts w:cs="Arabic Transparent"/>
                <w:szCs w:val="24"/>
              </w:rPr>
              <w:lastRenderedPageBreak/>
              <w:t>years);</w:t>
            </w:r>
          </w:p>
          <w:p>
            <w:pPr>
              <w:spacing w:after="240" w:line="240" w:lineRule="auto"/>
              <w:jc w:val="both"/>
              <w:outlineLvl w:val="1"/>
              <w:rPr>
                <w:rFonts w:cs="Arabic Transparent"/>
                <w:szCs w:val="24"/>
              </w:rPr>
            </w:pPr>
            <w:r>
              <w:rPr>
                <w:rFonts w:cs="Arabic Transparent"/>
                <w:szCs w:val="24"/>
              </w:rPr>
              <w:t>(d)</w:t>
            </w:r>
            <w:r>
              <w:rPr>
                <w:rFonts w:cs="Arabic Transparent"/>
                <w:szCs w:val="24"/>
              </w:rPr>
              <w:tab/>
              <w:t>accordingly (in accordance with the further provisions of this Section D):</w:t>
            </w:r>
          </w:p>
          <w:p>
            <w:pPr>
              <w:spacing w:after="240" w:line="240" w:lineRule="auto"/>
              <w:jc w:val="both"/>
              <w:outlineLvl w:val="1"/>
              <w:rPr>
                <w:rFonts w:cs="Arabic Transparent"/>
                <w:szCs w:val="24"/>
              </w:rPr>
            </w:pPr>
            <w:r>
              <w:rPr>
                <w:rFonts w:cs="Arabic Transparent"/>
                <w:szCs w:val="24"/>
              </w:rPr>
              <w:t>(i)</w:t>
            </w:r>
            <w:r>
              <w:rPr>
                <w:rFonts w:cs="Arabic Transparent"/>
                <w:szCs w:val="24"/>
              </w:rPr>
              <w:tab/>
              <w:t>the CDSP Services are provided 'at cost' to Core Customers (save as to the margin referred to in paragraph (c)); and</w:t>
            </w:r>
          </w:p>
          <w:p>
            <w:pPr>
              <w:spacing w:after="240" w:line="240" w:lineRule="auto"/>
              <w:jc w:val="both"/>
              <w:outlineLvl w:val="1"/>
              <w:rPr>
                <w:rFonts w:cs="Arabic Transparent"/>
                <w:szCs w:val="24"/>
              </w:rPr>
            </w:pPr>
            <w:r>
              <w:rPr>
                <w:rFonts w:cs="Arabic Transparent"/>
                <w:szCs w:val="24"/>
              </w:rPr>
              <w:t>(ii)</w:t>
            </w:r>
            <w:r>
              <w:rPr>
                <w:rFonts w:cs="Arabic Transparent"/>
                <w:szCs w:val="24"/>
              </w:rPr>
              <w:tab/>
              <w:t>all CDSP Costs (to the extent not recovered from third parties) are to be recovered from Core Customers.</w:t>
            </w:r>
          </w:p>
        </w:tc>
        <w:tc>
          <w:tcPr>
            <w:tcW w:w="4438" w:type="dxa"/>
          </w:tcPr>
          <w:p>
            <w:pPr>
              <w:spacing w:after="240" w:line="240" w:lineRule="auto"/>
              <w:jc w:val="both"/>
              <w:outlineLvl w:val="1"/>
              <w:rPr>
                <w:rFonts w:cs="Arabic Transparent"/>
                <w:szCs w:val="24"/>
              </w:rPr>
            </w:pPr>
            <w:r>
              <w:rPr>
                <w:rFonts w:cs="Arabic Transparent"/>
                <w:szCs w:val="24"/>
              </w:rPr>
              <w:lastRenderedPageBreak/>
              <w:t>Confirm clause is still consistent with CDSP Licence Condition (currently condition 7(b)).</w:t>
            </w:r>
          </w:p>
        </w:tc>
      </w:tr>
      <w:tr>
        <w:tc>
          <w:tcPr>
            <w:tcW w:w="1344" w:type="dxa"/>
          </w:tcPr>
          <w:p>
            <w:pPr>
              <w:pStyle w:val="BodyText"/>
              <w:rPr>
                <w:b/>
              </w:rPr>
            </w:pPr>
            <w:r>
              <w:rPr>
                <w:b/>
              </w:rPr>
              <w:lastRenderedPageBreak/>
              <w:t>1.5.1(a)</w:t>
            </w:r>
          </w:p>
        </w:tc>
        <w:tc>
          <w:tcPr>
            <w:tcW w:w="2535" w:type="dxa"/>
          </w:tcPr>
          <w:p>
            <w:pPr>
              <w:pStyle w:val="BodyText"/>
              <w:spacing w:before="80" w:after="80"/>
              <w:rPr>
                <w:bCs/>
              </w:rPr>
            </w:pPr>
            <w:r>
              <w:rPr>
                <w:bCs/>
              </w:rPr>
              <w:t>Definition of Relevant Licence Provisions</w:t>
            </w:r>
          </w:p>
        </w:tc>
        <w:tc>
          <w:tcPr>
            <w:tcW w:w="5859" w:type="dxa"/>
          </w:tcPr>
          <w:p>
            <w:pPr>
              <w:spacing w:after="240" w:line="240" w:lineRule="auto"/>
              <w:jc w:val="both"/>
              <w:outlineLvl w:val="1"/>
              <w:rPr>
                <w:rFonts w:cs="Arabic Transparent"/>
                <w:szCs w:val="24"/>
              </w:rPr>
            </w:pPr>
            <w:r>
              <w:rPr>
                <w:rFonts w:cs="Arabic Transparent"/>
                <w:szCs w:val="24"/>
              </w:rPr>
              <w:t xml:space="preserve">For the purposes of this paragraph 1.5 "Relevant Licence Provisions" are the </w:t>
            </w:r>
            <w:r>
              <w:rPr>
                <w:rFonts w:cs="Arabic Transparent"/>
                <w:szCs w:val="24"/>
                <w:highlight w:val="yellow"/>
              </w:rPr>
              <w:t>CDSP Licence Condition</w:t>
            </w: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t>Drafting not expected to change.</w:t>
            </w:r>
          </w:p>
        </w:tc>
      </w:tr>
      <w:tr>
        <w:tc>
          <w:tcPr>
            <w:tcW w:w="1344" w:type="dxa"/>
          </w:tcPr>
          <w:p>
            <w:pPr>
              <w:pStyle w:val="BodyText"/>
              <w:rPr>
                <w:b/>
              </w:rPr>
            </w:pPr>
            <w:r>
              <w:rPr>
                <w:b/>
              </w:rPr>
              <w:t>3.1.3(d)</w:t>
            </w:r>
          </w:p>
        </w:tc>
        <w:tc>
          <w:tcPr>
            <w:tcW w:w="2535" w:type="dxa"/>
          </w:tcPr>
          <w:p>
            <w:pPr>
              <w:pStyle w:val="BodyText"/>
              <w:spacing w:before="80" w:after="80"/>
              <w:rPr>
                <w:bCs/>
              </w:rPr>
            </w:pPr>
            <w:r>
              <w:rPr>
                <w:bCs/>
              </w:rPr>
              <w:t>DSC Terms and Conditions</w:t>
            </w:r>
          </w:p>
        </w:tc>
        <w:tc>
          <w:tcPr>
            <w:tcW w:w="5859" w:type="dxa"/>
          </w:tcPr>
          <w:p>
            <w:pPr>
              <w:spacing w:after="240" w:line="240" w:lineRule="auto"/>
              <w:jc w:val="both"/>
              <w:outlineLvl w:val="1"/>
              <w:rPr>
                <w:rFonts w:cs="Arabic Transparent"/>
                <w:szCs w:val="24"/>
              </w:rPr>
            </w:pPr>
            <w:r>
              <w:rPr>
                <w:rFonts w:cs="Arabic Transparent"/>
                <w:szCs w:val="24"/>
              </w:rPr>
              <w:t>The DSC Terms and Conditions:</w:t>
            </w:r>
          </w:p>
          <w:p>
            <w:pPr>
              <w:spacing w:after="240" w:line="240" w:lineRule="auto"/>
              <w:jc w:val="both"/>
              <w:outlineLvl w:val="1"/>
              <w:rPr>
                <w:rFonts w:cs="Arabic Transparent"/>
                <w:szCs w:val="24"/>
              </w:rPr>
            </w:pPr>
            <w:r>
              <w:rPr>
                <w:rFonts w:cs="Arabic Transparent"/>
                <w:szCs w:val="24"/>
              </w:rPr>
              <w:t>(d)</w:t>
            </w:r>
            <w:r>
              <w:rPr>
                <w:rFonts w:cs="Arabic Transparent"/>
                <w:szCs w:val="24"/>
              </w:rPr>
              <w:tab/>
              <w:t>provide for require the CDSP to provide [or otherwise procure] CDSP Services effectively to help facilitate the efficient and integrated operation of the gas industry;</w:t>
            </w:r>
          </w:p>
        </w:tc>
        <w:tc>
          <w:tcPr>
            <w:tcW w:w="4438" w:type="dxa"/>
          </w:tcPr>
          <w:p>
            <w:pPr>
              <w:spacing w:after="240" w:line="240" w:lineRule="auto"/>
              <w:jc w:val="both"/>
              <w:outlineLvl w:val="1"/>
              <w:rPr>
                <w:rFonts w:cs="Arabic Transparent"/>
                <w:szCs w:val="24"/>
              </w:rPr>
            </w:pPr>
            <w:r>
              <w:rPr>
                <w:rFonts w:cs="Arabic Transparent"/>
                <w:szCs w:val="24"/>
              </w:rPr>
              <w:t>Confirm clause is still consistent with CDSP Licence Condition (currently condition 8(b)).</w:t>
            </w:r>
          </w:p>
        </w:tc>
      </w:tr>
      <w:tr>
        <w:tc>
          <w:tcPr>
            <w:tcW w:w="1344" w:type="dxa"/>
          </w:tcPr>
          <w:p>
            <w:pPr>
              <w:pStyle w:val="BodyText"/>
              <w:rPr>
                <w:b/>
              </w:rPr>
            </w:pPr>
            <w:r>
              <w:rPr>
                <w:b/>
              </w:rPr>
              <w:t>3.3.1(b)</w:t>
            </w:r>
          </w:p>
        </w:tc>
        <w:tc>
          <w:tcPr>
            <w:tcW w:w="2535" w:type="dxa"/>
          </w:tcPr>
          <w:p>
            <w:pPr>
              <w:pStyle w:val="BodyText"/>
              <w:spacing w:before="80" w:after="80"/>
              <w:rPr>
                <w:bCs/>
              </w:rPr>
            </w:pPr>
            <w:r>
              <w:rPr>
                <w:bCs/>
              </w:rPr>
              <w:t>Budget and Charging Methodology</w:t>
            </w:r>
          </w:p>
        </w:tc>
        <w:tc>
          <w:tcPr>
            <w:tcW w:w="5859" w:type="dxa"/>
          </w:tcPr>
          <w:p>
            <w:pPr>
              <w:spacing w:after="240" w:line="240" w:lineRule="auto"/>
              <w:jc w:val="both"/>
              <w:outlineLvl w:val="1"/>
              <w:rPr>
                <w:rFonts w:cs="Arabic Transparent"/>
                <w:szCs w:val="24"/>
              </w:rPr>
            </w:pPr>
            <w:r>
              <w:rPr>
                <w:rFonts w:cs="Arabic Transparent"/>
                <w:szCs w:val="24"/>
              </w:rPr>
              <w:t xml:space="preserve">The Budget and Charging Methodology shall provide for the basis for an appeal to the Authority in respect of the CDSP Budget as provided in the </w:t>
            </w:r>
            <w:r>
              <w:rPr>
                <w:rFonts w:cs="Arabic Transparent"/>
                <w:szCs w:val="24"/>
                <w:highlight w:val="yellow"/>
              </w:rPr>
              <w:t>CDSP Licence Condition</w:t>
            </w:r>
            <w:r>
              <w:rPr>
                <w:rFonts w:cs="Arabic Transparent"/>
                <w:szCs w:val="24"/>
              </w:rPr>
              <w:t xml:space="preserve"> and the implementation of the Authority's decision</w:t>
            </w:r>
          </w:p>
        </w:tc>
        <w:tc>
          <w:tcPr>
            <w:tcW w:w="4438" w:type="dxa"/>
          </w:tcPr>
          <w:p>
            <w:pPr>
              <w:spacing w:after="240" w:line="240" w:lineRule="auto"/>
              <w:jc w:val="both"/>
              <w:outlineLvl w:val="1"/>
              <w:rPr>
                <w:rFonts w:cs="Arabic Transparent"/>
                <w:szCs w:val="24"/>
              </w:rPr>
            </w:pPr>
            <w:r>
              <w:rPr>
                <w:rFonts w:cs="Arabic Transparent"/>
                <w:szCs w:val="24"/>
              </w:rPr>
              <w:t>Confirm clause is still consistent with CDSP Licence Condition (currently condition 8(b)).</w:t>
            </w:r>
          </w:p>
        </w:tc>
      </w:tr>
      <w:tr>
        <w:tc>
          <w:tcPr>
            <w:tcW w:w="1344" w:type="dxa"/>
          </w:tcPr>
          <w:p>
            <w:pPr>
              <w:pStyle w:val="BodyText"/>
              <w:rPr>
                <w:b/>
              </w:rPr>
            </w:pPr>
            <w:r>
              <w:rPr>
                <w:b/>
              </w:rPr>
              <w:t>3.3.2</w:t>
            </w:r>
          </w:p>
        </w:tc>
        <w:tc>
          <w:tcPr>
            <w:tcW w:w="2535" w:type="dxa"/>
          </w:tcPr>
          <w:p>
            <w:pPr>
              <w:pStyle w:val="BodyText"/>
              <w:spacing w:before="80" w:after="80"/>
              <w:rPr>
                <w:bCs/>
              </w:rPr>
            </w:pPr>
            <w:r>
              <w:rPr>
                <w:bCs/>
              </w:rPr>
              <w:t>Budget and Charging Methodology</w:t>
            </w:r>
          </w:p>
        </w:tc>
        <w:tc>
          <w:tcPr>
            <w:tcW w:w="5859" w:type="dxa"/>
          </w:tcPr>
          <w:p>
            <w:pPr>
              <w:spacing w:after="240" w:line="240" w:lineRule="auto"/>
              <w:jc w:val="both"/>
              <w:outlineLvl w:val="1"/>
              <w:rPr>
                <w:rFonts w:cs="Arabic Transparent"/>
                <w:szCs w:val="24"/>
              </w:rPr>
            </w:pPr>
            <w:r>
              <w:rPr>
                <w:rFonts w:cs="Arabic Transparent"/>
                <w:szCs w:val="24"/>
              </w:rPr>
              <w:t>The Budget and Charging Methodology shall provide for:</w:t>
            </w:r>
          </w:p>
          <w:p>
            <w:pPr>
              <w:spacing w:after="240" w:line="240" w:lineRule="auto"/>
              <w:jc w:val="both"/>
              <w:outlineLvl w:val="1"/>
              <w:rPr>
                <w:rFonts w:cs="Arabic Transparent"/>
                <w:szCs w:val="24"/>
              </w:rPr>
            </w:pPr>
            <w:r>
              <w:rPr>
                <w:rFonts w:cs="Arabic Transparent"/>
                <w:szCs w:val="24"/>
              </w:rPr>
              <w:t>(a)</w:t>
            </w:r>
            <w:r>
              <w:rPr>
                <w:rFonts w:cs="Arabic Transparent"/>
                <w:szCs w:val="24"/>
              </w:rPr>
              <w:tab/>
              <w:t>…</w:t>
            </w:r>
          </w:p>
          <w:p>
            <w:pPr>
              <w:spacing w:after="240" w:line="240" w:lineRule="auto"/>
              <w:jc w:val="both"/>
              <w:outlineLvl w:val="1"/>
              <w:rPr>
                <w:rFonts w:cs="Arabic Transparent"/>
                <w:szCs w:val="24"/>
              </w:rPr>
            </w:pPr>
            <w:r>
              <w:rPr>
                <w:rFonts w:cs="Arabic Transparent"/>
                <w:szCs w:val="24"/>
              </w:rPr>
              <w:t>(b)</w:t>
            </w:r>
            <w:r>
              <w:rPr>
                <w:rFonts w:cs="Arabic Transparent"/>
                <w:szCs w:val="24"/>
              </w:rPr>
              <w:tab/>
              <w:t xml:space="preserve">the Budget and Charging Methodology [and Annual Charging Statement] to facilitate the charging methodology </w:t>
            </w:r>
            <w:r>
              <w:rPr>
                <w:rFonts w:cs="Arabic Transparent"/>
                <w:szCs w:val="24"/>
              </w:rPr>
              <w:lastRenderedPageBreak/>
              <w:t xml:space="preserve">objective set out in the </w:t>
            </w:r>
            <w:r>
              <w:rPr>
                <w:rFonts w:cs="Arabic Transparent"/>
                <w:szCs w:val="24"/>
                <w:highlight w:val="yellow"/>
              </w:rPr>
              <w:t>CDSP Licence Condition</w:t>
            </w:r>
            <w:r>
              <w:rPr>
                <w:rFonts w:cs="Arabic Transparent"/>
                <w:szCs w:val="24"/>
              </w:rPr>
              <w:t>;</w:t>
            </w:r>
          </w:p>
          <w:p>
            <w:pPr>
              <w:spacing w:after="240" w:line="240" w:lineRule="auto"/>
              <w:jc w:val="both"/>
              <w:outlineLvl w:val="1"/>
              <w:rPr>
                <w:rFonts w:cs="Arabic Transparent"/>
                <w:szCs w:val="24"/>
              </w:rPr>
            </w:pPr>
            <w:r>
              <w:rPr>
                <w:rFonts w:cs="Arabic Transparent"/>
                <w:szCs w:val="24"/>
              </w:rPr>
              <w:t>(c)</w:t>
            </w:r>
            <w:r>
              <w:rPr>
                <w:rFonts w:cs="Arabic Transparent"/>
                <w:szCs w:val="24"/>
              </w:rPr>
              <w:tab/>
              <w:t xml:space="preserve">the further matters required under the </w:t>
            </w:r>
            <w:r>
              <w:rPr>
                <w:rFonts w:cs="Arabic Transparent"/>
                <w:szCs w:val="24"/>
                <w:highlight w:val="yellow"/>
              </w:rPr>
              <w:t>CDSP Licence Condition</w:t>
            </w:r>
            <w:r>
              <w:rPr>
                <w:rFonts w:cs="Arabic Transparent"/>
                <w:szCs w:val="24"/>
              </w:rPr>
              <w:t>.</w:t>
            </w:r>
          </w:p>
        </w:tc>
        <w:tc>
          <w:tcPr>
            <w:tcW w:w="4438" w:type="dxa"/>
          </w:tcPr>
          <w:p>
            <w:pPr>
              <w:spacing w:after="240" w:line="240" w:lineRule="auto"/>
              <w:jc w:val="both"/>
              <w:outlineLvl w:val="1"/>
              <w:rPr>
                <w:rFonts w:cs="Arabic Transparent"/>
                <w:szCs w:val="24"/>
              </w:rPr>
            </w:pPr>
            <w:r>
              <w:rPr>
                <w:rFonts w:cs="Arabic Transparent"/>
                <w:szCs w:val="24"/>
              </w:rPr>
              <w:lastRenderedPageBreak/>
              <w:t>Confirm clause is still consistent with CDSP Licence Condition (currently condition 8 (d) and (e)).</w:t>
            </w:r>
          </w:p>
        </w:tc>
      </w:tr>
    </w:tbl>
    <w:p>
      <w:pPr>
        <w:pStyle w:val="BodyText"/>
      </w:pPr>
    </w:p>
    <w:sectPr>
      <w:headerReference w:type="default" r:id="rId12"/>
      <w:footerReference w:type="default" r:id="rId13"/>
      <w:footerReference w:type="first" r:id="rId14"/>
      <w:pgSz w:w="16840" w:h="11907" w:orient="landscape" w:code="9"/>
      <w:pgMar w:top="1440" w:right="1440" w:bottom="1440" w:left="1440" w:header="720" w:footer="720" w:gutter="0"/>
      <w:paperSrc w:first="259" w:other="259"/>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fldSimple w:instr=" COMMENTS  \* MERGEFORMAT ">
      <w:r>
        <w:t>LOF/DBT/036091.00001/45007475.01</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45007475.01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32720"/>
      <w:docPartObj>
        <w:docPartGallery w:val="Watermarks"/>
        <w:docPartUnique/>
      </w:docPartObj>
    </w:sdtPr>
    <w:sdtContent>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79873" type="#_x0000_t136" style="position:absolute;margin-left:0;margin-top:0;width:485.45pt;height:194.1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A2B"/>
    <w:multiLevelType w:val="hybridMultilevel"/>
    <w:tmpl w:val="0E0AF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51FB0"/>
    <w:multiLevelType w:val="hybridMultilevel"/>
    <w:tmpl w:val="DAE65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4">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5">
    <w:nsid w:val="154948D2"/>
    <w:multiLevelType w:val="hybridMultilevel"/>
    <w:tmpl w:val="B9B4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C0726"/>
    <w:multiLevelType w:val="hybridMultilevel"/>
    <w:tmpl w:val="0972D36E"/>
    <w:lvl w:ilvl="0" w:tplc="4554F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A425F6"/>
    <w:multiLevelType w:val="multilevel"/>
    <w:tmpl w:val="9FF4D8D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8">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9">
    <w:nsid w:val="2D4A1FC4"/>
    <w:multiLevelType w:val="hybridMultilevel"/>
    <w:tmpl w:val="D1A896A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DEF711C"/>
    <w:multiLevelType w:val="hybridMultilevel"/>
    <w:tmpl w:val="E51AB99C"/>
    <w:lvl w:ilvl="0" w:tplc="799AA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86CE1"/>
    <w:multiLevelType w:val="hybridMultilevel"/>
    <w:tmpl w:val="815A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8D60DB2"/>
    <w:multiLevelType w:val="hybridMultilevel"/>
    <w:tmpl w:val="1BEE0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0570A6"/>
    <w:multiLevelType w:val="hybridMultilevel"/>
    <w:tmpl w:val="AE56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897F85"/>
    <w:multiLevelType w:val="hybridMultilevel"/>
    <w:tmpl w:val="B64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17">
    <w:nsid w:val="71065352"/>
    <w:multiLevelType w:val="hybridMultilevel"/>
    <w:tmpl w:val="6BA04C42"/>
    <w:lvl w:ilvl="0" w:tplc="EB5E36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74BE7F43"/>
    <w:multiLevelType w:val="hybridMultilevel"/>
    <w:tmpl w:val="4336CE3A"/>
    <w:lvl w:ilvl="0" w:tplc="59B614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251D37"/>
    <w:multiLevelType w:val="hybridMultilevel"/>
    <w:tmpl w:val="1040C8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3"/>
  </w:num>
  <w:num w:numId="6">
    <w:abstractNumId w:val="4"/>
  </w:num>
  <w:num w:numId="7">
    <w:abstractNumId w:val="12"/>
  </w:num>
  <w:num w:numId="8">
    <w:abstractNumId w:val="7"/>
  </w:num>
  <w:num w:numId="9">
    <w:abstractNumId w:val="18"/>
  </w:num>
  <w:num w:numId="10">
    <w:abstractNumId w:val="2"/>
  </w:num>
  <w:num w:numId="11">
    <w:abstractNumId w:val="16"/>
  </w:num>
  <w:num w:numId="12">
    <w:abstractNumId w:val="16"/>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abstractNumId w:val="13"/>
  </w:num>
  <w:num w:numId="32">
    <w:abstractNumId w:val="0"/>
  </w:num>
  <w:num w:numId="33">
    <w:abstractNumId w:val="15"/>
  </w:num>
  <w:num w:numId="34">
    <w:abstractNumId w:val="14"/>
  </w:num>
  <w:num w:numId="35">
    <w:abstractNumId w:val="11"/>
  </w:num>
  <w:num w:numId="36">
    <w:abstractNumId w:val="20"/>
  </w:num>
  <w:num w:numId="37">
    <w:abstractNumId w:val="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41">
    <w:abstractNumId w:val="7"/>
  </w:num>
  <w:num w:numId="42">
    <w:abstractNumId w:val="7"/>
  </w:num>
  <w:num w:numId="43">
    <w:abstractNumId w:val="7"/>
  </w:num>
  <w:num w:numId="44">
    <w:abstractNumId w:val="9"/>
  </w:num>
  <w:num w:numId="45">
    <w:abstractNumId w:val="7"/>
  </w:num>
  <w:num w:numId="46">
    <w:abstractNumId w:val="7"/>
  </w:num>
  <w:num w:numId="47">
    <w:abstractNumId w:val="7"/>
  </w:num>
  <w:num w:numId="48">
    <w:abstractNumId w:val="17"/>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79874"/>
    <o:shapelayout v:ext="edit">
      <o:idmap v:ext="edit" data="78"/>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London  (One Fleet Place)"/>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lang w:eastAsia="en-US"/>
    </w:rPr>
  </w:style>
  <w:style w:type="paragraph" w:styleId="Heading1">
    <w:name w:val="heading 1"/>
    <w:aliases w:val="Heading,Section Heading,h1,2,level 1,level1,Nadpis 1,A MAJOR/BOLD,Schedheading,Heading 1(Report Only),h1 chapter heading,H1,Attribute Heading 1,Roman 14 B Heading,Roman 14 B Heading1,Roman 14 B Heading2,Roman 14 B Heading11,new page/chapter,Pa"/>
    <w:basedOn w:val="BodyText"/>
    <w:next w:val="BodyText1"/>
    <w:qFormat/>
    <w:pPr>
      <w:keepNext/>
      <w:numPr>
        <w:numId w:val="8"/>
      </w:numPr>
      <w:spacing w:before="240"/>
      <w:outlineLvl w:val="0"/>
    </w:pPr>
    <w:rPr>
      <w:b/>
      <w:sz w:val="22"/>
    </w:rPr>
  </w:style>
  <w:style w:type="paragraph" w:styleId="Heading2">
    <w:name w:val="heading 2"/>
    <w:aliases w:val="Section,KJL:1st Level,Major,PARA2,h 3,Numbered - 2,Reset numbering,S Heading,S Heading 2,h2,Heading Two,(1.1,1.2,1.3 etc),Prophead 2,RFP Heading 2,Activity,l2,H2,level 2,level2,sub-sect,21,sub-sect1,22,sub-sect2,23,sub-sect3,24,sub-sect4,25,m"/>
    <w:basedOn w:val="BodyText"/>
    <w:next w:val="BodyText2"/>
    <w:qFormat/>
    <w:pPr>
      <w:keepNext/>
      <w:numPr>
        <w:ilvl w:val="1"/>
        <w:numId w:val="8"/>
      </w:numPr>
      <w:outlineLvl w:val="1"/>
    </w:p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BodyText"/>
    <w:next w:val="BodyText3"/>
    <w:qFormat/>
    <w:pPr>
      <w:numPr>
        <w:ilvl w:val="2"/>
        <w:numId w:val="8"/>
      </w:numPr>
      <w:outlineLvl w:val="2"/>
    </w:p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BodyText"/>
    <w:link w:val="Heading4Char"/>
    <w:qFormat/>
    <w:pPr>
      <w:numPr>
        <w:ilvl w:val="3"/>
        <w:numId w:val="8"/>
      </w:numPr>
      <w:outlineLvl w:val="3"/>
    </w:pPr>
  </w:style>
  <w:style w:type="paragraph" w:styleId="Heading5">
    <w:name w:val="heading 5"/>
    <w:aliases w:val="Level 3 - i,Heading 5(unused),Level 3 - (i),Third Level Heading,h5,H5,Subheading,Lev 5,Response Type,Response Type1,Response Type2,Response Type3,Response Type4,Response Type5,Response Type6,Response Type7,Appendix A to X,Heading 5*,FMH1,ARC 5"/>
    <w:basedOn w:val="BodyText"/>
    <w:qFormat/>
    <w:pPr>
      <w:numPr>
        <w:ilvl w:val="4"/>
        <w:numId w:val="8"/>
      </w:numPr>
      <w:outlineLvl w:val="4"/>
    </w:pPr>
  </w:style>
  <w:style w:type="paragraph" w:styleId="Heading6">
    <w:name w:val="heading 6"/>
    <w:aliases w:val="H6,Heading 6(unused),Legal Level 1.,L1 PIP,Lev 6,Heading 6  Appendix Y &amp; Z,sub-dash,sd,5,Normal diagram,ITT t6,PA Appendix,H6 DO NOT USE,bullet2,Blank 2,h6,H61,H62,H63,H64,H65,H66,H67,H68,H69,H610,H611,H612,H613,H614,H615,H616,H617,H618,H619,6"/>
    <w:basedOn w:val="BodyText"/>
    <w:qFormat/>
    <w:pPr>
      <w:numPr>
        <w:ilvl w:val="5"/>
        <w:numId w:val="8"/>
      </w:numPr>
      <w:outlineLvl w:val="5"/>
    </w:pPr>
  </w:style>
  <w:style w:type="paragraph" w:styleId="Heading7">
    <w:name w:val="heading 7"/>
    <w:basedOn w:val="BodyText"/>
    <w:next w:val="Normal"/>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single" w:sz="8" w:space="2" w:color="739600"/>
        <w:left w:val="single" w:sz="8" w:space="4" w:color="739600"/>
        <w:bottom w:val="single" w:sz="8" w:space="2" w:color="739600"/>
        <w:right w:val="single" w:sz="8" w:space="4" w:color="739600"/>
      </w:pBdr>
      <w:spacing w:after="240"/>
      <w:ind w:left="709"/>
    </w:pPr>
    <w:rPr>
      <w:color w:val="201C3E"/>
      <w:sz w:val="16"/>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TextChar">
    <w:name w:val="Comment Text Char"/>
    <w:basedOn w:val="DefaultParagraphFont"/>
    <w:link w:val="CommentText"/>
    <w:semiHidden/>
    <w:rPr>
      <w:rFonts w:ascii="Arial" w:hAnsi="Arial"/>
      <w:lang w:eastAsia="en-US"/>
    </w:rPr>
  </w:style>
  <w:style w:type="character" w:customStyle="1" w:styleId="CommentSubjectChar">
    <w:name w:val="Comment Subject Char"/>
    <w:basedOn w:val="CommentTextChar"/>
    <w:link w:val="CommentSubject"/>
    <w:rPr>
      <w:rFonts w:ascii="Arial" w:hAnsi="Arial"/>
      <w:lang w:eastAsia="en-US"/>
    </w:rPr>
  </w:style>
  <w:style w:type="character" w:customStyle="1" w:styleId="BodyTextChar">
    <w:name w:val="Body Text Char"/>
    <w:basedOn w:val="DefaultParagraphFont"/>
    <w:link w:val="BodyText"/>
    <w:semiHidden/>
    <w:rPr>
      <w:rFonts w:ascii="Arial" w:hAnsi="Arial"/>
      <w:lang w:eastAsia="en-US"/>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basedOn w:val="DefaultParagraphFont"/>
    <w:link w:val="Heading4"/>
    <w:rPr>
      <w:rFonts w:ascii="Arial" w:hAnsi="Arial"/>
      <w:lang w:eastAsia="en-US"/>
    </w:rPr>
  </w:style>
  <w:style w:type="character" w:customStyle="1" w:styleId="FootnoteTextChar">
    <w:name w:val="Footnote Text Char"/>
    <w:basedOn w:val="DefaultParagraphFont"/>
    <w:link w:val="FootnoteText"/>
    <w:uiPriority w:val="99"/>
    <w:semiHidden/>
    <w:rPr>
      <w:rFonts w:ascii="Arial" w:hAnsi="Arial"/>
      <w:sz w:val="18"/>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lang w:eastAsia="en-US"/>
    </w:rPr>
  </w:style>
  <w:style w:type="paragraph" w:styleId="Heading1">
    <w:name w:val="heading 1"/>
    <w:aliases w:val="Heading,Section Heading,h1,2,level 1,level1,Nadpis 1,A MAJOR/BOLD,Schedheading,Heading 1(Report Only),h1 chapter heading,H1,Attribute Heading 1,Roman 14 B Heading,Roman 14 B Heading1,Roman 14 B Heading2,Roman 14 B Heading11,new page/chapter,Pa"/>
    <w:basedOn w:val="BodyText"/>
    <w:next w:val="BodyText1"/>
    <w:qFormat/>
    <w:pPr>
      <w:keepNext/>
      <w:numPr>
        <w:numId w:val="8"/>
      </w:numPr>
      <w:spacing w:before="240"/>
      <w:outlineLvl w:val="0"/>
    </w:pPr>
    <w:rPr>
      <w:b/>
      <w:sz w:val="22"/>
    </w:rPr>
  </w:style>
  <w:style w:type="paragraph" w:styleId="Heading2">
    <w:name w:val="heading 2"/>
    <w:aliases w:val="Section,KJL:1st Level,Major,PARA2,h 3,Numbered - 2,Reset numbering,S Heading,S Heading 2,h2,Heading Two,(1.1,1.2,1.3 etc),Prophead 2,RFP Heading 2,Activity,l2,H2,level 2,level2,sub-sect,21,sub-sect1,22,sub-sect2,23,sub-sect3,24,sub-sect4,25,m"/>
    <w:basedOn w:val="BodyText"/>
    <w:next w:val="BodyText2"/>
    <w:qFormat/>
    <w:pPr>
      <w:keepNext/>
      <w:numPr>
        <w:ilvl w:val="1"/>
        <w:numId w:val="8"/>
      </w:numPr>
      <w:outlineLvl w:val="1"/>
    </w:p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BodyText"/>
    <w:next w:val="BodyText3"/>
    <w:qFormat/>
    <w:pPr>
      <w:numPr>
        <w:ilvl w:val="2"/>
        <w:numId w:val="8"/>
      </w:numPr>
      <w:outlineLvl w:val="2"/>
    </w:p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BodyText"/>
    <w:link w:val="Heading4Char"/>
    <w:qFormat/>
    <w:pPr>
      <w:numPr>
        <w:ilvl w:val="3"/>
        <w:numId w:val="8"/>
      </w:numPr>
      <w:outlineLvl w:val="3"/>
    </w:pPr>
  </w:style>
  <w:style w:type="paragraph" w:styleId="Heading5">
    <w:name w:val="heading 5"/>
    <w:aliases w:val="Level 3 - i,Heading 5(unused),Level 3 - (i),Third Level Heading,h5,H5,Subheading,Lev 5,Response Type,Response Type1,Response Type2,Response Type3,Response Type4,Response Type5,Response Type6,Response Type7,Appendix A to X,Heading 5*,FMH1,ARC 5"/>
    <w:basedOn w:val="BodyText"/>
    <w:qFormat/>
    <w:pPr>
      <w:numPr>
        <w:ilvl w:val="4"/>
        <w:numId w:val="8"/>
      </w:numPr>
      <w:outlineLvl w:val="4"/>
    </w:pPr>
  </w:style>
  <w:style w:type="paragraph" w:styleId="Heading6">
    <w:name w:val="heading 6"/>
    <w:aliases w:val="H6,Heading 6(unused),Legal Level 1.,L1 PIP,Lev 6,Heading 6  Appendix Y &amp; Z,sub-dash,sd,5,Normal diagram,ITT t6,PA Appendix,H6 DO NOT USE,bullet2,Blank 2,h6,H61,H62,H63,H64,H65,H66,H67,H68,H69,H610,H611,H612,H613,H614,H615,H616,H617,H618,H619,6"/>
    <w:basedOn w:val="BodyText"/>
    <w:qFormat/>
    <w:pPr>
      <w:numPr>
        <w:ilvl w:val="5"/>
        <w:numId w:val="8"/>
      </w:numPr>
      <w:outlineLvl w:val="5"/>
    </w:pPr>
  </w:style>
  <w:style w:type="paragraph" w:styleId="Heading7">
    <w:name w:val="heading 7"/>
    <w:basedOn w:val="BodyText"/>
    <w:next w:val="Normal"/>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single" w:sz="8" w:space="2" w:color="739600"/>
        <w:left w:val="single" w:sz="8" w:space="4" w:color="739600"/>
        <w:bottom w:val="single" w:sz="8" w:space="2" w:color="739600"/>
        <w:right w:val="single" w:sz="8" w:space="4" w:color="739600"/>
      </w:pBdr>
      <w:spacing w:after="240"/>
      <w:ind w:left="709"/>
    </w:pPr>
    <w:rPr>
      <w:color w:val="201C3E"/>
      <w:sz w:val="16"/>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TextChar">
    <w:name w:val="Comment Text Char"/>
    <w:basedOn w:val="DefaultParagraphFont"/>
    <w:link w:val="CommentText"/>
    <w:semiHidden/>
    <w:rPr>
      <w:rFonts w:ascii="Arial" w:hAnsi="Arial"/>
      <w:lang w:eastAsia="en-US"/>
    </w:rPr>
  </w:style>
  <w:style w:type="character" w:customStyle="1" w:styleId="CommentSubjectChar">
    <w:name w:val="Comment Subject Char"/>
    <w:basedOn w:val="CommentTextChar"/>
    <w:link w:val="CommentSubject"/>
    <w:rPr>
      <w:rFonts w:ascii="Arial" w:hAnsi="Arial"/>
      <w:lang w:eastAsia="en-US"/>
    </w:rPr>
  </w:style>
  <w:style w:type="character" w:customStyle="1" w:styleId="BodyTextChar">
    <w:name w:val="Body Text Char"/>
    <w:basedOn w:val="DefaultParagraphFont"/>
    <w:link w:val="BodyText"/>
    <w:semiHidden/>
    <w:rPr>
      <w:rFonts w:ascii="Arial" w:hAnsi="Arial"/>
      <w:lang w:eastAsia="en-US"/>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basedOn w:val="DefaultParagraphFont"/>
    <w:link w:val="Heading4"/>
    <w:rPr>
      <w:rFonts w:ascii="Arial" w:hAnsi="Arial"/>
      <w:lang w:eastAsia="en-US"/>
    </w:rPr>
  </w:style>
  <w:style w:type="character" w:customStyle="1" w:styleId="FootnoteTextChar">
    <w:name w:val="Footnote Text Char"/>
    <w:basedOn w:val="DefaultParagraphFont"/>
    <w:link w:val="FootnoteText"/>
    <w:uiPriority w:val="99"/>
    <w:semiHidden/>
    <w:rPr>
      <w:rFonts w:ascii="Arial" w:hAnsi="Arial"/>
      <w:sz w:val="18"/>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6753">
      <w:bodyDiv w:val="1"/>
      <w:marLeft w:val="0"/>
      <w:marRight w:val="0"/>
      <w:marTop w:val="0"/>
      <w:marBottom w:val="0"/>
      <w:divBdr>
        <w:top w:val="none" w:sz="0" w:space="0" w:color="auto"/>
        <w:left w:val="none" w:sz="0" w:space="0" w:color="auto"/>
        <w:bottom w:val="none" w:sz="0" w:space="0" w:color="auto"/>
        <w:right w:val="none" w:sz="0" w:space="0" w:color="auto"/>
      </w:divBdr>
      <w:divsChild>
        <w:div w:id="738023097">
          <w:marLeft w:val="0"/>
          <w:marRight w:val="0"/>
          <w:marTop w:val="0"/>
          <w:marBottom w:val="0"/>
          <w:divBdr>
            <w:top w:val="none" w:sz="0" w:space="0" w:color="auto"/>
            <w:left w:val="none" w:sz="0" w:space="0" w:color="auto"/>
            <w:bottom w:val="none" w:sz="0" w:space="0" w:color="auto"/>
            <w:right w:val="none" w:sz="0" w:space="0" w:color="auto"/>
          </w:divBdr>
          <w:divsChild>
            <w:div w:id="530653407">
              <w:marLeft w:val="0"/>
              <w:marRight w:val="0"/>
              <w:marTop w:val="0"/>
              <w:marBottom w:val="0"/>
              <w:divBdr>
                <w:top w:val="none" w:sz="0" w:space="0" w:color="auto"/>
                <w:left w:val="none" w:sz="0" w:space="0" w:color="auto"/>
                <w:bottom w:val="none" w:sz="0" w:space="0" w:color="auto"/>
                <w:right w:val="none" w:sz="0" w:space="0" w:color="auto"/>
              </w:divBdr>
              <w:divsChild>
                <w:div w:id="1317798916">
                  <w:marLeft w:val="0"/>
                  <w:marRight w:val="0"/>
                  <w:marTop w:val="0"/>
                  <w:marBottom w:val="0"/>
                  <w:divBdr>
                    <w:top w:val="none" w:sz="0" w:space="0" w:color="auto"/>
                    <w:left w:val="none" w:sz="0" w:space="0" w:color="auto"/>
                    <w:bottom w:val="none" w:sz="0" w:space="0" w:color="auto"/>
                    <w:right w:val="none" w:sz="0" w:space="0" w:color="auto"/>
                  </w:divBdr>
                  <w:divsChild>
                    <w:div w:id="1207447821">
                      <w:marLeft w:val="0"/>
                      <w:marRight w:val="0"/>
                      <w:marTop w:val="0"/>
                      <w:marBottom w:val="0"/>
                      <w:divBdr>
                        <w:top w:val="none" w:sz="0" w:space="0" w:color="auto"/>
                        <w:left w:val="none" w:sz="0" w:space="0" w:color="auto"/>
                        <w:bottom w:val="none" w:sz="0" w:space="0" w:color="auto"/>
                        <w:right w:val="none" w:sz="0" w:space="0" w:color="auto"/>
                      </w:divBdr>
                      <w:divsChild>
                        <w:div w:id="17101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SNRDConfig\Templates\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2013-04-15T23:00:00+00:00</Applicable_x0020_Start_x0020_Date>
    <Code xmlns="95665b0c-7cec-46fb-8393-d29d3f44c759">UNC</Code>
    <Organisation xmlns="eecedeb9-13b3-4e62-b003-046c92e1668a">Choose an Organisation</Organisation>
    <Mod_x0020_No xmlns="95665b0c-7cec-46fb-8393-d29d3f44c759">432</Mod_x0020_No>
    <Applicable_x0020_Duration xmlns="eecedeb9-13b3-4e62-b003-046c92e1668a">-</Applicable_x0020_Duration>
    <_Status xmlns="http://schemas.microsoft.com/sharepoint/v3/fields">Draft</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alysis" ma:contentTypeID="0x010100224D7ED41386EF40B8EE6E522BAA77810051100355F3DBF246822712871CBFBF32" ma:contentTypeVersion="24" ma:contentTypeDescription="This is used to create spreadsheets" ma:contentTypeScope="" ma:versionID="9021d321171de0d8bad26cc7d0707f9e">
  <xsd:schema xmlns:xsd="http://www.w3.org/2001/XMLSchema" xmlns:p="http://schemas.microsoft.com/office/2006/metadata/properties" xmlns:ns2="eecedeb9-13b3-4e62-b003-046c92e1668a" xmlns:ns3="http://schemas.microsoft.com/sharepoint/v3/fields" xmlns:ns4="95665b0c-7cec-46fb-8393-d29d3f44c759" targetNamespace="http://schemas.microsoft.com/office/2006/metadata/properties" ma:root="true" ma:fieldsID="4683fbc5aa7707f3d113dc6dd14f491d" ns2:_="" ns3:_="" ns4:_="">
    <xsd:import namespace="eecedeb9-13b3-4e62-b003-046c92e1668a"/>
    <xsd:import namespace="http://schemas.microsoft.com/sharepoint/v3/fields"/>
    <xsd:import namespace="95665b0c-7cec-46fb-8393-d29d3f44c759"/>
    <xsd:element name="properties">
      <xsd:complexType>
        <xsd:sequence>
          <xsd:element name="documentManagement">
            <xsd:complexType>
              <xsd:all>
                <xsd:element ref="ns2:Applicable_x0020_Start_x0020_Date" minOccurs="0"/>
                <xsd:element ref="ns2:Applicable_x0020_Duration" minOccurs="0"/>
                <xsd:element ref="ns3:_Status"/>
                <xsd:element ref="ns2:Organisation" minOccurs="0"/>
                <xsd:element ref="ns4:Code"/>
                <xsd:element ref="ns4:Mod_x0020_No"/>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Applicable_x0020_Start_x0020_Date" ma:index="2" nillable="true" ma:displayName="Applicable Start Date" ma:default="[today]" ma:description="The Starting Date for the work - format is DD/MM/YYYY" ma:format="DateOnly" ma:internalName="Applicable_x0020_Start_x0020_Date" ma:readOnly="false">
      <xsd:simpleType>
        <xsd:restriction base="dms:DateTime"/>
      </xsd:simpleType>
    </xsd:element>
    <xsd:element name="Applicable_x0020_Duration" ma:index="3" nillable="true" ma:displayName="Applicable Duration" ma:default="-" ma:description="For how long is this document applicable, from the Applicable Start Date?" ma:format="Dropdown" ma:internalName="Applicable_x0020_Duration" ma:readOnly="false">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Organisation" ma:index="5"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Classification" ma:index="14"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ma:displayName="Status" ma:default="Draft" ma:description="Choose the appropriate status from the drop-down" ma:format="Dropdown" ma:internalName="_Status" ma:readOnly="false">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95665b0c-7cec-46fb-8393-d29d3f44c759" elementFormDefault="qualified">
    <xsd:import namespace="http://schemas.microsoft.com/office/2006/documentManagement/types"/>
    <xsd:element name="Code" ma:index="11" ma:displayName="Code" ma:default="Choose a Code" ma:description="Choose the relevant Code or Agreement" ma:format="Dropdown" ma:internalName="Code" ma:readOnly="false">
      <xsd:simpleType>
        <xsd:restriction base="dms:Choice">
          <xsd:enumeration value="Choose a Code"/>
          <xsd:enumeration value="BSC"/>
          <xsd:enumeration value="CM"/>
          <xsd:enumeration value="CUSC"/>
          <xsd:enumeration value="DCUSA"/>
          <xsd:enumeration value="Dist Code"/>
          <xsd:enumeration value="Grid Code"/>
          <xsd:enumeration value="IGT Codes"/>
          <xsd:enumeration value="MRA"/>
          <xsd:enumeration value="Network Code"/>
          <xsd:enumeration value="SPAA"/>
          <xsd:enumeration value="STC"/>
          <xsd:enumeration value="UNC"/>
        </xsd:restriction>
      </xsd:simpleType>
    </xsd:element>
    <xsd:element name="Mod_x0020_No" ma:index="12" ma:displayName="Mod No" ma:decimals="0" ma:default="" ma:description="Enter the Reference Number as a numeral without any letters.  If the document does not relate to a specific mod (i.e. general Panel paper) please specify 000." ma:internalName="Mod_x0020_No"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2E8B-0999-4E60-B7AB-B55431571E9D}">
  <ds:schemaRefs>
    <ds:schemaRef ds:uri="http://schemas.microsoft.com/office/2006/documentManagement/types"/>
    <ds:schemaRef ds:uri="http://schemas.microsoft.com/sharepoint/v3/field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eecedeb9-13b3-4e62-b003-046c92e1668a"/>
    <ds:schemaRef ds:uri="95665b0c-7cec-46fb-8393-d29d3f44c759"/>
    <ds:schemaRef ds:uri="http://purl.org/dc/dcmitype/"/>
  </ds:schemaRefs>
</ds:datastoreItem>
</file>

<file path=customXml/itemProps2.xml><?xml version="1.0" encoding="utf-8"?>
<ds:datastoreItem xmlns:ds="http://schemas.openxmlformats.org/officeDocument/2006/customXml" ds:itemID="{6C3B8967-3274-4606-95C8-2C1BB3A721EC}">
  <ds:schemaRefs>
    <ds:schemaRef ds:uri="http://schemas.microsoft.com/sharepoint/v3/contenttype/forms"/>
  </ds:schemaRefs>
</ds:datastoreItem>
</file>

<file path=customXml/itemProps3.xml><?xml version="1.0" encoding="utf-8"?>
<ds:datastoreItem xmlns:ds="http://schemas.openxmlformats.org/officeDocument/2006/customXml" ds:itemID="{BE27EFB5-2B12-4725-8335-32D939917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95665b0c-7cec-46fb-8393-d29d3f44c7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349154-53CE-4DB0-9B11-FC212095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8</Pages>
  <Words>1588</Words>
  <Characters>8503</Characters>
  <Application>Microsoft Office Word</Application>
  <DocSecurity>0</DocSecurity>
  <Lines>154</Lines>
  <Paragraphs>78</Paragraphs>
  <ScaleCrop>false</ScaleCrop>
  <HeadingPairs>
    <vt:vector size="2" baseType="variant">
      <vt:variant>
        <vt:lpstr>Title</vt:lpstr>
      </vt:variant>
      <vt:variant>
        <vt:i4>1</vt:i4>
      </vt:variant>
    </vt:vector>
  </HeadingPairs>
  <TitlesOfParts>
    <vt:vector size="1" baseType="lpstr">
      <vt:lpstr>45007475.01</vt:lpstr>
    </vt:vector>
  </TitlesOfParts>
  <Company>SNR Denton</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45007475.01</dc:title>
  <dc:subject/>
  <dc:creator>SNR Denton</dc:creator>
  <cp:keywords/>
  <dc:description>LOF/DBT/036091.00001/45007475.01</dc:description>
  <cp:lastModifiedBy>Dentons</cp:lastModifiedBy>
  <cp:revision>11</cp:revision>
  <cp:lastPrinted>2016-10-19T14:42:00Z</cp:lastPrinted>
  <dcterms:created xsi:type="dcterms:W3CDTF">2016-10-18T14:44:00Z</dcterms:created>
  <dcterms:modified xsi:type="dcterms:W3CDTF">2016-10-26T16:28:00Z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45007475.01</vt:lpwstr>
  </property>
  <property fmtid="{D5CDD505-2E9C-101B-9397-08002B2CF9AE}" pid="4" name="Version">
    <vt:lpwstr>2.0</vt:lpwstr>
  </property>
  <property fmtid="{D5CDD505-2E9C-101B-9397-08002B2CF9AE}" pid="5" name="LetterRef">
    <vt:lpwstr>JHL/53191.00087/9583640.03</vt:lpwstr>
  </property>
  <property fmtid="{D5CDD505-2E9C-101B-9397-08002B2CF9AE}" pid="6" name="OurRef">
    <vt:lpwstr>LOF/DBT/036091.00001</vt:lpwstr>
  </property>
  <property fmtid="{D5CDD505-2E9C-101B-9397-08002B2CF9AE}" pid="7" name="ContentTypeId">
    <vt:lpwstr>0x010100224D7ED41386EF40B8EE6E522BAA77810051100355F3DBF246822712871CBFBF32</vt:lpwstr>
  </property>
</Properties>
</file>