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878" w:rsidRDefault="006D4878" w:rsidP="006D4878">
      <w:bookmarkStart w:id="0" w:name="_GoBack"/>
      <w:bookmarkEnd w:id="0"/>
    </w:p>
    <w:p w:rsidR="006D4878" w:rsidRDefault="006D4878" w:rsidP="006D4878"/>
    <w:p w:rsidR="006D4878" w:rsidRDefault="006D4878" w:rsidP="006D4878"/>
    <w:p w:rsidR="006D4878" w:rsidRDefault="006D4878" w:rsidP="006D4878"/>
    <w:p w:rsidR="006D4878" w:rsidRDefault="006D4878" w:rsidP="006D4878"/>
    <w:p w:rsidR="006D4878" w:rsidRDefault="006D4878" w:rsidP="006D4878"/>
    <w:p w:rsidR="006D4878" w:rsidRDefault="006D4878" w:rsidP="006D4878"/>
    <w:p w:rsidR="006D4878" w:rsidRDefault="006D4878" w:rsidP="006D4878"/>
    <w:p w:rsidR="007B5760" w:rsidRDefault="001D6EE5" w:rsidP="007B5760">
      <w:pPr>
        <w:pStyle w:val="Heading2"/>
        <w:numPr>
          <w:ilvl w:val="0"/>
          <w:numId w:val="0"/>
        </w:numPr>
        <w:ind w:left="720"/>
        <w:jc w:val="center"/>
        <w:rPr>
          <w:sz w:val="28"/>
          <w:szCs w:val="28"/>
        </w:rPr>
      </w:pPr>
      <w:r>
        <w:rPr>
          <w:sz w:val="28"/>
          <w:szCs w:val="28"/>
        </w:rPr>
        <w:t>Modification 0593 Workgroup</w:t>
      </w:r>
      <w:r w:rsidR="007B5760">
        <w:rPr>
          <w:sz w:val="28"/>
          <w:szCs w:val="28"/>
        </w:rPr>
        <w:t>-</w:t>
      </w:r>
      <w:r>
        <w:rPr>
          <w:sz w:val="28"/>
          <w:szCs w:val="28"/>
        </w:rPr>
        <w:t xml:space="preserve"> </w:t>
      </w:r>
      <w:r w:rsidR="006D4878" w:rsidRPr="00263349">
        <w:rPr>
          <w:sz w:val="28"/>
          <w:szCs w:val="28"/>
        </w:rPr>
        <w:t>Privacy Impact Assessment</w:t>
      </w:r>
      <w:r w:rsidR="005874A4">
        <w:rPr>
          <w:sz w:val="28"/>
          <w:szCs w:val="28"/>
        </w:rPr>
        <w:t xml:space="preserve"> </w:t>
      </w:r>
    </w:p>
    <w:p w:rsidR="007B5760" w:rsidRDefault="007B5760" w:rsidP="007B5760">
      <w:pPr>
        <w:pStyle w:val="Heading2"/>
        <w:numPr>
          <w:ilvl w:val="0"/>
          <w:numId w:val="0"/>
        </w:numPr>
        <w:ind w:left="720"/>
        <w:jc w:val="center"/>
        <w:rPr>
          <w:sz w:val="28"/>
          <w:szCs w:val="28"/>
        </w:rPr>
      </w:pPr>
    </w:p>
    <w:p w:rsidR="006D4878" w:rsidRDefault="005874A4" w:rsidP="007B5760">
      <w:pPr>
        <w:pStyle w:val="Heading2"/>
        <w:numPr>
          <w:ilvl w:val="0"/>
          <w:numId w:val="0"/>
        </w:numPr>
        <w:ind w:left="720"/>
        <w:jc w:val="center"/>
        <w:rPr>
          <w:sz w:val="28"/>
          <w:szCs w:val="28"/>
        </w:rPr>
      </w:pPr>
      <w:r>
        <w:rPr>
          <w:sz w:val="28"/>
          <w:szCs w:val="28"/>
        </w:rPr>
        <w:t xml:space="preserve">Appendix to Modification 0593 </w:t>
      </w:r>
      <w:r w:rsidR="007B5760">
        <w:rPr>
          <w:sz w:val="28"/>
          <w:szCs w:val="28"/>
        </w:rPr>
        <w:t xml:space="preserve">Work Group Report </w:t>
      </w:r>
      <w:r>
        <w:rPr>
          <w:sz w:val="28"/>
          <w:szCs w:val="28"/>
        </w:rPr>
        <w:t>– Provision of access to domestic C</w:t>
      </w:r>
      <w:r w:rsidR="00F87F15">
        <w:rPr>
          <w:sz w:val="28"/>
          <w:szCs w:val="28"/>
        </w:rPr>
        <w:t>onsumer data for Price Compariso</w:t>
      </w:r>
      <w:r>
        <w:rPr>
          <w:sz w:val="28"/>
          <w:szCs w:val="28"/>
        </w:rPr>
        <w:t>n Websites and third Party Intermediaries</w:t>
      </w:r>
    </w:p>
    <w:p w:rsidR="006041A6" w:rsidRPr="0057780F" w:rsidRDefault="006041A6" w:rsidP="0057780F">
      <w:pPr>
        <w:pStyle w:val="BodyText2"/>
      </w:pPr>
    </w:p>
    <w:p w:rsidR="006D4878" w:rsidRPr="00555E44" w:rsidRDefault="006D4878" w:rsidP="00057CE3">
      <w:pPr>
        <w:pStyle w:val="Heading2"/>
        <w:numPr>
          <w:ilvl w:val="0"/>
          <w:numId w:val="0"/>
        </w:numPr>
        <w:ind w:left="720"/>
        <w:jc w:val="center"/>
        <w:rPr>
          <w:sz w:val="28"/>
          <w:szCs w:val="28"/>
          <w:highlight w:val="yellow"/>
        </w:rPr>
      </w:pPr>
      <w:r w:rsidRPr="006B10A9">
        <w:rPr>
          <w:sz w:val="28"/>
          <w:szCs w:val="28"/>
          <w:highlight w:val="yellow"/>
        </w:rPr>
        <w:t>[</w:t>
      </w:r>
      <w:r w:rsidR="008A0A37">
        <w:rPr>
          <w:sz w:val="28"/>
          <w:szCs w:val="28"/>
          <w:highlight w:val="yellow"/>
        </w:rPr>
        <w:t>2</w:t>
      </w:r>
      <w:r w:rsidR="00057CE3">
        <w:rPr>
          <w:sz w:val="28"/>
          <w:szCs w:val="28"/>
          <w:highlight w:val="yellow"/>
        </w:rPr>
        <w:t>2</w:t>
      </w:r>
      <w:r w:rsidR="008A0A37">
        <w:rPr>
          <w:sz w:val="28"/>
          <w:szCs w:val="28"/>
          <w:highlight w:val="yellow"/>
        </w:rPr>
        <w:t>/0</w:t>
      </w:r>
      <w:r w:rsidR="00057CE3">
        <w:rPr>
          <w:sz w:val="28"/>
          <w:szCs w:val="28"/>
          <w:highlight w:val="yellow"/>
        </w:rPr>
        <w:t>6</w:t>
      </w:r>
      <w:r w:rsidR="008A0A37">
        <w:rPr>
          <w:sz w:val="28"/>
          <w:szCs w:val="28"/>
          <w:highlight w:val="yellow"/>
        </w:rPr>
        <w:t>/17</w:t>
      </w:r>
      <w:r w:rsidRPr="006B10A9">
        <w:rPr>
          <w:sz w:val="28"/>
          <w:szCs w:val="28"/>
          <w:highlight w:val="yellow"/>
        </w:rPr>
        <w:t>]</w:t>
      </w:r>
    </w:p>
    <w:p w:rsidR="006D4878" w:rsidRDefault="006D4878" w:rsidP="006D4878"/>
    <w:p w:rsidR="006D4878" w:rsidRDefault="006D4878" w:rsidP="006D4878">
      <w:pPr>
        <w:jc w:val="center"/>
        <w:rPr>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5220"/>
      </w:tblGrid>
      <w:tr w:rsidR="00A562BE" w:rsidRPr="00B339F6" w:rsidTr="008A0A37">
        <w:tc>
          <w:tcPr>
            <w:tcW w:w="4140" w:type="dxa"/>
            <w:shd w:val="clear" w:color="auto" w:fill="auto"/>
            <w:vAlign w:val="center"/>
          </w:tcPr>
          <w:p w:rsidR="00A562BE" w:rsidRPr="00B339F6" w:rsidRDefault="00A562BE" w:rsidP="00A562BE">
            <w:pPr>
              <w:pStyle w:val="Title"/>
              <w:rPr>
                <w:rFonts w:ascii="Arial" w:hAnsi="Arial" w:cs="Arial"/>
                <w:b w:val="0"/>
                <w:sz w:val="20"/>
                <w:szCs w:val="20"/>
              </w:rPr>
            </w:pPr>
            <w:r w:rsidRPr="00B339F6">
              <w:rPr>
                <w:rFonts w:ascii="Arial" w:hAnsi="Arial" w:cs="Arial"/>
                <w:b w:val="0"/>
                <w:sz w:val="20"/>
                <w:szCs w:val="20"/>
              </w:rPr>
              <w:t>Document Author</w:t>
            </w:r>
          </w:p>
        </w:tc>
        <w:tc>
          <w:tcPr>
            <w:tcW w:w="5220" w:type="dxa"/>
            <w:shd w:val="clear" w:color="auto" w:fill="auto"/>
            <w:vAlign w:val="center"/>
          </w:tcPr>
          <w:p w:rsidR="00A562BE" w:rsidRPr="00B339F6" w:rsidRDefault="00B977E7" w:rsidP="00A562BE">
            <w:pPr>
              <w:pStyle w:val="Title"/>
              <w:rPr>
                <w:rFonts w:ascii="Arial" w:hAnsi="Arial" w:cs="Arial"/>
                <w:sz w:val="20"/>
                <w:szCs w:val="20"/>
              </w:rPr>
            </w:pPr>
            <w:r>
              <w:rPr>
                <w:rFonts w:ascii="Arial" w:hAnsi="Arial" w:cs="Arial"/>
                <w:sz w:val="20"/>
                <w:szCs w:val="20"/>
              </w:rPr>
              <w:t xml:space="preserve">UNC </w:t>
            </w:r>
            <w:r w:rsidR="005874A4">
              <w:rPr>
                <w:rFonts w:ascii="Arial" w:hAnsi="Arial" w:cs="Arial"/>
                <w:sz w:val="20"/>
                <w:szCs w:val="20"/>
              </w:rPr>
              <w:t xml:space="preserve">0593 </w:t>
            </w:r>
            <w:r>
              <w:rPr>
                <w:rFonts w:ascii="Arial" w:hAnsi="Arial" w:cs="Arial"/>
                <w:sz w:val="20"/>
                <w:szCs w:val="20"/>
              </w:rPr>
              <w:t xml:space="preserve">Distribution Workgroup </w:t>
            </w:r>
          </w:p>
        </w:tc>
      </w:tr>
      <w:tr w:rsidR="00A562BE" w:rsidRPr="00B339F6" w:rsidTr="008A0A37">
        <w:tc>
          <w:tcPr>
            <w:tcW w:w="4140" w:type="dxa"/>
            <w:shd w:val="clear" w:color="auto" w:fill="auto"/>
            <w:vAlign w:val="center"/>
          </w:tcPr>
          <w:p w:rsidR="00A562BE" w:rsidRPr="00B339F6" w:rsidRDefault="00A562BE" w:rsidP="00A562BE">
            <w:pPr>
              <w:pStyle w:val="Title"/>
              <w:rPr>
                <w:rFonts w:ascii="Arial" w:hAnsi="Arial" w:cs="Arial"/>
                <w:b w:val="0"/>
                <w:sz w:val="20"/>
                <w:szCs w:val="20"/>
              </w:rPr>
            </w:pPr>
            <w:r>
              <w:rPr>
                <w:rFonts w:ascii="Arial" w:hAnsi="Arial" w:cs="Arial"/>
                <w:b w:val="0"/>
                <w:sz w:val="20"/>
                <w:szCs w:val="20"/>
              </w:rPr>
              <w:t>Version</w:t>
            </w:r>
          </w:p>
        </w:tc>
        <w:tc>
          <w:tcPr>
            <w:tcW w:w="5220" w:type="dxa"/>
            <w:shd w:val="clear" w:color="auto" w:fill="auto"/>
            <w:vAlign w:val="center"/>
          </w:tcPr>
          <w:p w:rsidR="00A562BE" w:rsidRPr="00B339F6" w:rsidRDefault="00A562BE" w:rsidP="00A562BE">
            <w:pPr>
              <w:pStyle w:val="Title"/>
              <w:rPr>
                <w:rFonts w:ascii="Arial" w:hAnsi="Arial" w:cs="Arial"/>
                <w:sz w:val="20"/>
                <w:szCs w:val="20"/>
              </w:rPr>
            </w:pPr>
            <w:r>
              <w:rPr>
                <w:rFonts w:ascii="Arial" w:hAnsi="Arial" w:cs="Arial"/>
                <w:sz w:val="20"/>
                <w:szCs w:val="20"/>
              </w:rPr>
              <w:t>V 0.1</w:t>
            </w:r>
          </w:p>
        </w:tc>
      </w:tr>
    </w:tbl>
    <w:p w:rsidR="006D4878" w:rsidRDefault="006D4878" w:rsidP="006D4878">
      <w:pPr>
        <w:jc w:val="center"/>
        <w:rPr>
          <w:sz w:val="28"/>
          <w:szCs w:val="28"/>
        </w:rPr>
      </w:pPr>
    </w:p>
    <w:p w:rsidR="009B72AA" w:rsidRDefault="009B72AA" w:rsidP="006D4878">
      <w:pPr>
        <w:jc w:val="center"/>
        <w:rPr>
          <w:sz w:val="28"/>
          <w:szCs w:val="28"/>
        </w:rPr>
      </w:pPr>
    </w:p>
    <w:p w:rsidR="006D4878" w:rsidRDefault="006D4878" w:rsidP="006D4878">
      <w:pPr>
        <w:jc w:val="center"/>
        <w:rPr>
          <w:sz w:val="28"/>
          <w:szCs w:val="28"/>
        </w:rPr>
      </w:pPr>
    </w:p>
    <w:p w:rsidR="006D4878" w:rsidRDefault="006D4878" w:rsidP="006D4878">
      <w:pPr>
        <w:jc w:val="center"/>
        <w:rPr>
          <w:sz w:val="28"/>
          <w:szCs w:val="28"/>
        </w:rPr>
      </w:pPr>
    </w:p>
    <w:p w:rsidR="006D4878" w:rsidRDefault="006D4878" w:rsidP="006D4878">
      <w:pPr>
        <w:jc w:val="center"/>
        <w:rPr>
          <w:sz w:val="28"/>
          <w:szCs w:val="28"/>
        </w:rPr>
      </w:pPr>
    </w:p>
    <w:p w:rsidR="006D4878" w:rsidRDefault="006D4878" w:rsidP="006D4878">
      <w:pPr>
        <w:jc w:val="center"/>
        <w:rPr>
          <w:sz w:val="28"/>
          <w:szCs w:val="28"/>
        </w:rPr>
      </w:pPr>
    </w:p>
    <w:p w:rsidR="006D4878" w:rsidRDefault="006D4878" w:rsidP="006D4878">
      <w:pPr>
        <w:jc w:val="center"/>
        <w:rPr>
          <w:sz w:val="28"/>
          <w:szCs w:val="28"/>
        </w:rPr>
      </w:pPr>
    </w:p>
    <w:p w:rsidR="006D4878" w:rsidRDefault="006D4878" w:rsidP="006D4878">
      <w:pPr>
        <w:jc w:val="center"/>
        <w:rPr>
          <w:sz w:val="28"/>
          <w:szCs w:val="28"/>
        </w:rPr>
      </w:pPr>
    </w:p>
    <w:p w:rsidR="006D4878" w:rsidRDefault="006D4878" w:rsidP="006D4878">
      <w:pPr>
        <w:jc w:val="center"/>
        <w:rPr>
          <w:sz w:val="28"/>
          <w:szCs w:val="28"/>
        </w:rPr>
      </w:pPr>
    </w:p>
    <w:p w:rsidR="006D4878" w:rsidRDefault="006D4878" w:rsidP="006D4878">
      <w:pPr>
        <w:jc w:val="center"/>
        <w:rPr>
          <w:sz w:val="28"/>
          <w:szCs w:val="28"/>
        </w:rPr>
      </w:pPr>
    </w:p>
    <w:p w:rsidR="006D4878" w:rsidRDefault="006D4878" w:rsidP="006D4878">
      <w:pPr>
        <w:jc w:val="center"/>
        <w:rPr>
          <w:sz w:val="28"/>
          <w:szCs w:val="28"/>
        </w:rPr>
      </w:pPr>
    </w:p>
    <w:p w:rsidR="006D4878" w:rsidRDefault="006D4878" w:rsidP="006D4878">
      <w:pPr>
        <w:jc w:val="center"/>
        <w:rPr>
          <w:sz w:val="28"/>
          <w:szCs w:val="28"/>
        </w:rPr>
      </w:pPr>
    </w:p>
    <w:p w:rsidR="006D4878" w:rsidRDefault="006D4878" w:rsidP="006D4878">
      <w:pPr>
        <w:jc w:val="center"/>
        <w:rPr>
          <w:sz w:val="28"/>
          <w:szCs w:val="28"/>
        </w:rPr>
      </w:pPr>
    </w:p>
    <w:p w:rsidR="006D4878" w:rsidRDefault="006D4878" w:rsidP="006D4878">
      <w:pPr>
        <w:jc w:val="center"/>
        <w:rPr>
          <w:sz w:val="28"/>
          <w:szCs w:val="28"/>
        </w:rPr>
      </w:pPr>
    </w:p>
    <w:p w:rsidR="006D4878" w:rsidRDefault="006D4878" w:rsidP="006D4878">
      <w:pPr>
        <w:jc w:val="center"/>
        <w:rPr>
          <w:sz w:val="28"/>
          <w:szCs w:val="28"/>
        </w:rPr>
      </w:pPr>
    </w:p>
    <w:p w:rsidR="006D4878" w:rsidRDefault="006D4878" w:rsidP="006D4878">
      <w:pPr>
        <w:jc w:val="center"/>
        <w:rPr>
          <w:sz w:val="28"/>
          <w:szCs w:val="28"/>
        </w:rPr>
      </w:pPr>
    </w:p>
    <w:p w:rsidR="008A0A37" w:rsidRDefault="008A0A37" w:rsidP="008A0A37">
      <w:pPr>
        <w:jc w:val="left"/>
        <w:rPr>
          <w:sz w:val="28"/>
          <w:szCs w:val="28"/>
        </w:rPr>
      </w:pPr>
      <w:r>
        <w:rPr>
          <w:sz w:val="28"/>
          <w:szCs w:val="28"/>
        </w:rPr>
        <w:lastRenderedPageBreak/>
        <w:t>PART ONE</w:t>
      </w:r>
    </w:p>
    <w:p w:rsidR="00E14294" w:rsidRDefault="00E14294" w:rsidP="008A0A37">
      <w:pPr>
        <w:jc w:val="left"/>
        <w:rPr>
          <w:sz w:val="28"/>
          <w:szCs w:val="28"/>
        </w:rPr>
      </w:pPr>
    </w:p>
    <w:p w:rsidR="00942AEF" w:rsidRDefault="008A0A37" w:rsidP="008A0A37">
      <w:pPr>
        <w:pStyle w:val="ListParagraph"/>
        <w:numPr>
          <w:ilvl w:val="0"/>
          <w:numId w:val="2"/>
        </w:numPr>
        <w:jc w:val="left"/>
        <w:rPr>
          <w:b/>
        </w:rPr>
      </w:pPr>
      <w:r>
        <w:rPr>
          <w:b/>
        </w:rPr>
        <w:t xml:space="preserve">Explain what the project aims to achieve, what the benefits will be to the organisation, to individuals and to other parties. </w:t>
      </w:r>
    </w:p>
    <w:p w:rsidR="003D4E1C" w:rsidRDefault="003D4E1C" w:rsidP="003D4E1C">
      <w:pPr>
        <w:pStyle w:val="ListParagraph"/>
        <w:jc w:val="left"/>
        <w:rPr>
          <w:b/>
        </w:rPr>
      </w:pPr>
    </w:p>
    <w:p w:rsidR="003D4E1C" w:rsidRPr="003C0375" w:rsidRDefault="003D4E1C" w:rsidP="003D4E1C">
      <w:pPr>
        <w:pStyle w:val="ListParagraph"/>
        <w:jc w:val="left"/>
      </w:pPr>
      <w:r w:rsidRPr="003C0375">
        <w:t xml:space="preserve">The Competition and Markets Authority (CMA) has </w:t>
      </w:r>
      <w:r w:rsidR="008A0A37">
        <w:t>ordered Xoserve and</w:t>
      </w:r>
      <w:r w:rsidRPr="003C0375">
        <w:t xml:space="preserve"> </w:t>
      </w:r>
      <w:r w:rsidR="008A0A37">
        <w:t>the Gas Transporters</w:t>
      </w:r>
      <w:r w:rsidR="00F252FD" w:rsidRPr="003C0375">
        <w:t>,</w:t>
      </w:r>
      <w:r w:rsidRPr="003C0375">
        <w:t xml:space="preserve"> to </w:t>
      </w:r>
      <w:r w:rsidR="00647EE6" w:rsidRPr="003C0375">
        <w:t>provide</w:t>
      </w:r>
      <w:r w:rsidRPr="003C0375">
        <w:t xml:space="preserve"> </w:t>
      </w:r>
      <w:r w:rsidR="00647EE6" w:rsidRPr="003C0375">
        <w:t>Data Enquiry System (</w:t>
      </w:r>
      <w:r w:rsidRPr="003C0375">
        <w:t>DES</w:t>
      </w:r>
      <w:r w:rsidR="00647EE6" w:rsidRPr="003C0375">
        <w:t>) access</w:t>
      </w:r>
      <w:r w:rsidRPr="003C0375">
        <w:t xml:space="preserve"> to Price Comparison Websites (PCWs) and Third Party Intermediaries (TPIs)</w:t>
      </w:r>
      <w:r w:rsidR="008A0A37">
        <w:t xml:space="preserve">, this is to </w:t>
      </w:r>
      <w:r w:rsidRPr="003C0375">
        <w:t xml:space="preserve">assist </w:t>
      </w:r>
      <w:r w:rsidR="003F722A" w:rsidRPr="003C0375">
        <w:t>PCWs / TPIs</w:t>
      </w:r>
      <w:r w:rsidRPr="003C0375">
        <w:t xml:space="preserve"> to validate customer data during domestic </w:t>
      </w:r>
      <w:r w:rsidR="008A0A37">
        <w:t xml:space="preserve">consumer </w:t>
      </w:r>
      <w:r w:rsidRPr="003C0375">
        <w:t xml:space="preserve">switching processes. </w:t>
      </w:r>
    </w:p>
    <w:p w:rsidR="00AE5A10" w:rsidRPr="003C0375" w:rsidRDefault="00AE5A10" w:rsidP="003D4E1C">
      <w:pPr>
        <w:pStyle w:val="ListParagraph"/>
        <w:jc w:val="left"/>
      </w:pPr>
    </w:p>
    <w:p w:rsidR="00AE5A10" w:rsidRDefault="00AE5A10" w:rsidP="00AE5A10">
      <w:pPr>
        <w:overflowPunct/>
        <w:spacing w:before="0" w:after="0"/>
        <w:ind w:left="720"/>
        <w:jc w:val="left"/>
        <w:textAlignment w:val="auto"/>
        <w:rPr>
          <w:rFonts w:eastAsiaTheme="minorHAnsi"/>
        </w:rPr>
      </w:pPr>
      <w:r w:rsidRPr="003C0375">
        <w:rPr>
          <w:rFonts w:eastAsiaTheme="minorHAnsi"/>
        </w:rPr>
        <w:t xml:space="preserve">The </w:t>
      </w:r>
      <w:r w:rsidR="007241CB" w:rsidRPr="003C0375">
        <w:rPr>
          <w:rFonts w:eastAsiaTheme="minorHAnsi"/>
        </w:rPr>
        <w:t>Energy Market investigation final report</w:t>
      </w:r>
      <w:r w:rsidRPr="003C0375">
        <w:rPr>
          <w:rFonts w:eastAsiaTheme="minorHAnsi"/>
        </w:rPr>
        <w:t xml:space="preserve"> sets out reasoning for erroneous transfers and failed switches, and concludes that there is a requirement for PCWs/</w:t>
      </w:r>
      <w:r w:rsidR="003F722A" w:rsidRPr="003C0375">
        <w:rPr>
          <w:rFonts w:eastAsiaTheme="minorHAnsi"/>
        </w:rPr>
        <w:t xml:space="preserve"> </w:t>
      </w:r>
      <w:r w:rsidRPr="003C0375">
        <w:rPr>
          <w:rFonts w:eastAsiaTheme="minorHAnsi"/>
        </w:rPr>
        <w:t>TPIs to be granted access to data pertinent to the switching process. This will allow them to check or obtain MPRNs for</w:t>
      </w:r>
      <w:r w:rsidR="007241CB" w:rsidRPr="003C0375">
        <w:rPr>
          <w:rFonts w:eastAsiaTheme="minorHAnsi"/>
        </w:rPr>
        <w:t xml:space="preserve"> domestic</w:t>
      </w:r>
      <w:r w:rsidRPr="003C0375">
        <w:rPr>
          <w:rFonts w:eastAsiaTheme="minorHAnsi"/>
        </w:rPr>
        <w:t xml:space="preserve"> consumers seeking to switch supplier and to check other information provided by these consumers. This should help to reduce the number of erroneous transfers and failed switches</w:t>
      </w:r>
      <w:r w:rsidR="001C349E">
        <w:rPr>
          <w:rFonts w:eastAsiaTheme="minorHAnsi"/>
        </w:rPr>
        <w:t>, enabling consumers to switch gas supplier easier.</w:t>
      </w:r>
    </w:p>
    <w:p w:rsidR="00656B25" w:rsidRDefault="00656B25" w:rsidP="00AE5A10">
      <w:pPr>
        <w:overflowPunct/>
        <w:spacing w:before="0" w:after="0"/>
        <w:ind w:left="720"/>
        <w:jc w:val="left"/>
        <w:textAlignment w:val="auto"/>
        <w:rPr>
          <w:rFonts w:eastAsiaTheme="minorHAnsi"/>
        </w:rPr>
      </w:pPr>
    </w:p>
    <w:p w:rsidR="00656B25" w:rsidRPr="00057CE3" w:rsidRDefault="00656B25" w:rsidP="00656B25">
      <w:pPr>
        <w:overflowPunct/>
        <w:spacing w:before="0" w:after="0"/>
        <w:ind w:left="720"/>
        <w:jc w:val="left"/>
        <w:textAlignment w:val="auto"/>
      </w:pPr>
      <w:r>
        <w:rPr>
          <w:rFonts w:eastAsiaTheme="minorHAnsi"/>
        </w:rPr>
        <w:t>The CMA on 12</w:t>
      </w:r>
      <w:r w:rsidRPr="00057CE3">
        <w:rPr>
          <w:rFonts w:eastAsiaTheme="minorHAnsi"/>
          <w:vertAlign w:val="superscript"/>
        </w:rPr>
        <w:t>th</w:t>
      </w:r>
      <w:r>
        <w:rPr>
          <w:rFonts w:eastAsiaTheme="minorHAnsi"/>
        </w:rPr>
        <w:t xml:space="preserve"> June 2017 published a letter to Xoserve providing clarification that the CMA order can be achieved via a</w:t>
      </w:r>
      <w:r w:rsidR="00A75D91">
        <w:rPr>
          <w:rFonts w:eastAsiaTheme="minorHAnsi"/>
        </w:rPr>
        <w:t>n</w:t>
      </w:r>
      <w:r>
        <w:rPr>
          <w:rFonts w:eastAsiaTheme="minorHAnsi"/>
        </w:rPr>
        <w:t xml:space="preserve">; API service and </w:t>
      </w:r>
      <w:r w:rsidR="00336C7B">
        <w:rPr>
          <w:rFonts w:eastAsiaTheme="minorHAnsi"/>
        </w:rPr>
        <w:t xml:space="preserve">possible </w:t>
      </w:r>
      <w:r>
        <w:rPr>
          <w:rFonts w:eastAsiaTheme="minorHAnsi"/>
        </w:rPr>
        <w:t xml:space="preserve">telephone service. The link to the letter can be found here; </w:t>
      </w:r>
      <w:hyperlink r:id="rId9" w:history="1">
        <w:r>
          <w:rPr>
            <w:rStyle w:val="Hyperlink"/>
          </w:rPr>
          <w:t>https://www.gov.uk/cma-cases/energy-market-investigation</w:t>
        </w:r>
      </w:hyperlink>
      <w:r>
        <w:t>.</w:t>
      </w:r>
    </w:p>
    <w:p w:rsidR="009B72AA" w:rsidRDefault="009B72AA" w:rsidP="00AE5A10">
      <w:pPr>
        <w:overflowPunct/>
        <w:spacing w:before="0" w:after="0"/>
        <w:ind w:left="720"/>
        <w:jc w:val="left"/>
        <w:textAlignment w:val="auto"/>
        <w:rPr>
          <w:rFonts w:eastAsiaTheme="minorHAnsi"/>
        </w:rPr>
      </w:pPr>
    </w:p>
    <w:p w:rsidR="009B72AA" w:rsidRDefault="005874A4" w:rsidP="00AE5A10">
      <w:pPr>
        <w:overflowPunct/>
        <w:spacing w:before="0" w:after="0"/>
        <w:ind w:left="720"/>
        <w:jc w:val="left"/>
        <w:textAlignment w:val="auto"/>
        <w:rPr>
          <w:rFonts w:eastAsiaTheme="minorHAnsi"/>
        </w:rPr>
      </w:pPr>
      <w:r>
        <w:rPr>
          <w:rFonts w:eastAsiaTheme="minorHAnsi"/>
        </w:rPr>
        <w:t>This p</w:t>
      </w:r>
      <w:r w:rsidR="009B72AA">
        <w:rPr>
          <w:rFonts w:eastAsiaTheme="minorHAnsi"/>
        </w:rPr>
        <w:t xml:space="preserve">roject aims to </w:t>
      </w:r>
      <w:r w:rsidR="00F87F15">
        <w:rPr>
          <w:rFonts w:eastAsiaTheme="minorHAnsi"/>
        </w:rPr>
        <w:t>achieve</w:t>
      </w:r>
      <w:r w:rsidR="009B72AA">
        <w:rPr>
          <w:rFonts w:eastAsiaTheme="minorHAnsi"/>
        </w:rPr>
        <w:t xml:space="preserve"> the CMA order</w:t>
      </w:r>
      <w:r w:rsidR="00F87F15">
        <w:rPr>
          <w:rFonts w:eastAsiaTheme="minorHAnsi"/>
        </w:rPr>
        <w:t>,</w:t>
      </w:r>
      <w:r>
        <w:rPr>
          <w:rFonts w:eastAsiaTheme="minorHAnsi"/>
        </w:rPr>
        <w:t xml:space="preserve"> </w:t>
      </w:r>
      <w:r w:rsidR="00656B25">
        <w:rPr>
          <w:rFonts w:eastAsiaTheme="minorHAnsi"/>
        </w:rPr>
        <w:t>v</w:t>
      </w:r>
      <w:r w:rsidR="00FE17EE">
        <w:rPr>
          <w:rFonts w:eastAsiaTheme="minorHAnsi"/>
        </w:rPr>
        <w:t xml:space="preserve">ia an enduring API solution and </w:t>
      </w:r>
      <w:r w:rsidR="00057CE3">
        <w:rPr>
          <w:rFonts w:eastAsiaTheme="minorHAnsi"/>
        </w:rPr>
        <w:t>a</w:t>
      </w:r>
      <w:r w:rsidR="00336C7B">
        <w:rPr>
          <w:rFonts w:eastAsiaTheme="minorHAnsi"/>
        </w:rPr>
        <w:t xml:space="preserve"> </w:t>
      </w:r>
      <w:r w:rsidR="00057CE3">
        <w:rPr>
          <w:rFonts w:eastAsiaTheme="minorHAnsi"/>
        </w:rPr>
        <w:t>possible interim</w:t>
      </w:r>
      <w:r w:rsidR="00FE17EE">
        <w:rPr>
          <w:rFonts w:eastAsiaTheme="minorHAnsi"/>
        </w:rPr>
        <w:t xml:space="preserve"> telephone service enabling; access to domestic consumer sites only and </w:t>
      </w:r>
      <w:r w:rsidR="000E5A3C">
        <w:rPr>
          <w:rFonts w:eastAsiaTheme="minorHAnsi"/>
        </w:rPr>
        <w:t>transactional auditing functionality.</w:t>
      </w:r>
    </w:p>
    <w:p w:rsidR="00A75D91" w:rsidRDefault="00A75D91" w:rsidP="00AE5A10">
      <w:pPr>
        <w:overflowPunct/>
        <w:spacing w:before="0" w:after="0"/>
        <w:ind w:left="720"/>
        <w:jc w:val="left"/>
        <w:textAlignment w:val="auto"/>
        <w:rPr>
          <w:rFonts w:eastAsiaTheme="minorHAnsi"/>
        </w:rPr>
      </w:pPr>
    </w:p>
    <w:p w:rsidR="00942AEF" w:rsidRDefault="00942AEF" w:rsidP="00942AEF">
      <w:pPr>
        <w:pStyle w:val="ListParagraph"/>
        <w:numPr>
          <w:ilvl w:val="0"/>
          <w:numId w:val="2"/>
        </w:numPr>
        <w:jc w:val="left"/>
        <w:rPr>
          <w:b/>
        </w:rPr>
      </w:pPr>
      <w:r>
        <w:rPr>
          <w:b/>
        </w:rPr>
        <w:t>You may find it helpful to link other relevant documents related to the project, for example a project proposal.</w:t>
      </w:r>
    </w:p>
    <w:p w:rsidR="00942AEF" w:rsidRPr="003C0375" w:rsidRDefault="00942AEF" w:rsidP="00B409D8">
      <w:pPr>
        <w:overflowPunct/>
        <w:spacing w:before="0" w:after="0"/>
        <w:jc w:val="left"/>
        <w:textAlignment w:val="auto"/>
        <w:rPr>
          <w:rFonts w:eastAsiaTheme="minorHAnsi"/>
        </w:rPr>
      </w:pPr>
    </w:p>
    <w:p w:rsidR="00942AEF" w:rsidRDefault="00942AEF" w:rsidP="00942AEF">
      <w:pPr>
        <w:overflowPunct/>
        <w:spacing w:before="0" w:after="0"/>
        <w:ind w:left="720"/>
        <w:jc w:val="left"/>
        <w:textAlignment w:val="auto"/>
        <w:rPr>
          <w:rFonts w:eastAsiaTheme="minorHAnsi"/>
          <w:color w:val="000000"/>
        </w:rPr>
      </w:pPr>
      <w:r w:rsidRPr="00E14294">
        <w:rPr>
          <w:rFonts w:eastAsiaTheme="minorHAnsi"/>
          <w:color w:val="000000"/>
        </w:rPr>
        <w:t>Please find the link for</w:t>
      </w:r>
      <w:r w:rsidR="001C349E">
        <w:rPr>
          <w:rFonts w:eastAsiaTheme="minorHAnsi"/>
          <w:color w:val="000000"/>
        </w:rPr>
        <w:t>;</w:t>
      </w:r>
      <w:r w:rsidRPr="00E14294">
        <w:rPr>
          <w:rFonts w:eastAsiaTheme="minorHAnsi"/>
          <w:color w:val="000000"/>
        </w:rPr>
        <w:t xml:space="preserve"> The Energy Market Investigation (ECOES / DES) Order 2016</w:t>
      </w:r>
      <w:r>
        <w:rPr>
          <w:rFonts w:eastAsiaTheme="minorHAnsi"/>
          <w:color w:val="000000"/>
        </w:rPr>
        <w:t xml:space="preserve"> </w:t>
      </w:r>
      <w:hyperlink r:id="rId10" w:history="1">
        <w:r w:rsidRPr="000C25E8">
          <w:rPr>
            <w:rStyle w:val="Hyperlink"/>
            <w:rFonts w:eastAsiaTheme="minorHAnsi"/>
          </w:rPr>
          <w:t>https://www.gov.uk/government/uploads/system/uploads/attachment_data/file/585019/energy-market-ECOES-DES-order-2016.pdf</w:t>
        </w:r>
      </w:hyperlink>
    </w:p>
    <w:p w:rsidR="00942AEF" w:rsidRDefault="00942AEF" w:rsidP="00942AEF">
      <w:pPr>
        <w:overflowPunct/>
        <w:spacing w:before="0" w:after="0"/>
        <w:ind w:left="720"/>
        <w:jc w:val="left"/>
        <w:textAlignment w:val="auto"/>
        <w:rPr>
          <w:rFonts w:eastAsiaTheme="minorHAnsi"/>
          <w:color w:val="000000"/>
        </w:rPr>
      </w:pPr>
    </w:p>
    <w:p w:rsidR="00942AEF" w:rsidRDefault="00E14294" w:rsidP="00942AEF">
      <w:pPr>
        <w:overflowPunct/>
        <w:spacing w:before="0" w:after="0"/>
        <w:ind w:left="720"/>
        <w:jc w:val="left"/>
        <w:textAlignment w:val="auto"/>
        <w:rPr>
          <w:rFonts w:eastAsiaTheme="minorHAnsi"/>
          <w:color w:val="000000"/>
        </w:rPr>
      </w:pPr>
      <w:r w:rsidRPr="003C0375">
        <w:rPr>
          <w:rFonts w:eastAsiaTheme="minorHAnsi"/>
          <w:color w:val="000000"/>
        </w:rPr>
        <w:t xml:space="preserve">Some of the relevant paragraphs </w:t>
      </w:r>
      <w:r>
        <w:rPr>
          <w:rFonts w:eastAsiaTheme="minorHAnsi"/>
          <w:color w:val="000000"/>
        </w:rPr>
        <w:t>of the</w:t>
      </w:r>
      <w:r w:rsidRPr="003C0375">
        <w:rPr>
          <w:rFonts w:eastAsiaTheme="minorHAnsi"/>
          <w:color w:val="000000"/>
        </w:rPr>
        <w:t xml:space="preserve"> CMA </w:t>
      </w:r>
      <w:r>
        <w:rPr>
          <w:rFonts w:eastAsiaTheme="minorHAnsi"/>
          <w:color w:val="000000"/>
        </w:rPr>
        <w:t>order</w:t>
      </w:r>
      <w:r w:rsidRPr="003C0375">
        <w:rPr>
          <w:rFonts w:eastAsiaTheme="minorHAnsi"/>
          <w:color w:val="000000"/>
        </w:rPr>
        <w:t xml:space="preserve"> </w:t>
      </w:r>
      <w:r>
        <w:rPr>
          <w:rFonts w:eastAsiaTheme="minorHAnsi"/>
          <w:color w:val="000000"/>
        </w:rPr>
        <w:t>are;</w:t>
      </w:r>
    </w:p>
    <w:p w:rsidR="00E14294" w:rsidRDefault="00E14294" w:rsidP="00942AEF">
      <w:pPr>
        <w:overflowPunct/>
        <w:spacing w:before="0" w:after="0"/>
        <w:ind w:left="720"/>
        <w:jc w:val="left"/>
        <w:textAlignment w:val="auto"/>
        <w:rPr>
          <w:rFonts w:eastAsiaTheme="minorHAnsi"/>
          <w:color w:val="000000"/>
        </w:rPr>
      </w:pPr>
    </w:p>
    <w:p w:rsidR="00E14294" w:rsidRDefault="00E14294" w:rsidP="00942AEF">
      <w:pPr>
        <w:overflowPunct/>
        <w:spacing w:before="0" w:after="0"/>
        <w:ind w:left="720"/>
        <w:jc w:val="left"/>
        <w:textAlignment w:val="auto"/>
      </w:pPr>
      <w:r>
        <w:t xml:space="preserve">4.1. Xoserve must give PCWs access to DES upon written request, and subject to the satisfaction of reasonable access conditions. </w:t>
      </w:r>
    </w:p>
    <w:p w:rsidR="00E14294" w:rsidRDefault="00E14294" w:rsidP="00942AEF">
      <w:pPr>
        <w:overflowPunct/>
        <w:spacing w:before="0" w:after="0"/>
        <w:ind w:left="720"/>
        <w:jc w:val="left"/>
        <w:textAlignment w:val="auto"/>
      </w:pPr>
    </w:p>
    <w:p w:rsidR="00E14294" w:rsidRDefault="00E14294" w:rsidP="00942AEF">
      <w:pPr>
        <w:overflowPunct/>
        <w:spacing w:before="0" w:after="0"/>
        <w:ind w:left="720"/>
        <w:jc w:val="left"/>
        <w:textAlignment w:val="auto"/>
      </w:pPr>
      <w:r>
        <w:t xml:space="preserve">4.2. Gas Transporters must not take any action that would prevent Xoserve from giving access to DES upon written request and subject to the satisfaction of reasonable access conditions. </w:t>
      </w:r>
    </w:p>
    <w:p w:rsidR="00E14294" w:rsidRDefault="00E14294" w:rsidP="00942AEF">
      <w:pPr>
        <w:overflowPunct/>
        <w:spacing w:before="0" w:after="0"/>
        <w:ind w:left="720"/>
        <w:jc w:val="left"/>
        <w:textAlignment w:val="auto"/>
      </w:pPr>
    </w:p>
    <w:p w:rsidR="00E14294" w:rsidRDefault="00E14294" w:rsidP="00942AEF">
      <w:pPr>
        <w:overflowPunct/>
        <w:spacing w:before="0" w:after="0"/>
        <w:ind w:left="720"/>
        <w:jc w:val="left"/>
        <w:textAlignment w:val="auto"/>
      </w:pPr>
      <w:r>
        <w:t>4.3. Gas Transporters, who are party to the UNC on the commencement date of this Order, must use their best endeavours to ensure that a modification proposal concerning any necessary amendments to the UNC to reflect the obligation in Article 4.1 and its associated date for implementation in Article 1.2 is approved and implemented as soon as reasonably practicable after the date of this Order.</w:t>
      </w:r>
    </w:p>
    <w:p w:rsidR="001C349E" w:rsidRDefault="001C349E" w:rsidP="00942AEF">
      <w:pPr>
        <w:overflowPunct/>
        <w:spacing w:before="0" w:after="0"/>
        <w:ind w:left="720"/>
        <w:jc w:val="left"/>
        <w:textAlignment w:val="auto"/>
      </w:pPr>
    </w:p>
    <w:p w:rsidR="001C349E" w:rsidRPr="003C0375" w:rsidRDefault="001C349E" w:rsidP="001C349E">
      <w:pPr>
        <w:overflowPunct/>
        <w:spacing w:before="0" w:after="0"/>
        <w:ind w:left="720"/>
        <w:jc w:val="left"/>
        <w:textAlignment w:val="auto"/>
        <w:rPr>
          <w:rFonts w:eastAsiaTheme="minorHAnsi"/>
          <w:color w:val="0000FF"/>
        </w:rPr>
      </w:pPr>
      <w:r w:rsidRPr="003C0375">
        <w:rPr>
          <w:rFonts w:eastAsiaTheme="minorHAnsi"/>
          <w:color w:val="000000"/>
        </w:rPr>
        <w:t xml:space="preserve">Please find the link for: CMA Energy Market Investigation – Final report below; </w:t>
      </w:r>
      <w:hyperlink r:id="rId11" w:history="1">
        <w:r w:rsidRPr="003C0375">
          <w:rPr>
            <w:rStyle w:val="Hyperlink"/>
            <w:rFonts w:eastAsiaTheme="minorHAnsi"/>
          </w:rPr>
          <w:t>https://assets.publishing.service.gov.uk/media/5773de34e5274a0da3000113/final-report-energymarketinvestigation.pdf</w:t>
        </w:r>
      </w:hyperlink>
    </w:p>
    <w:p w:rsidR="001C349E" w:rsidRPr="003C0375" w:rsidRDefault="001C349E" w:rsidP="001C349E">
      <w:pPr>
        <w:overflowPunct/>
        <w:spacing w:before="0" w:after="0"/>
        <w:ind w:left="360" w:firstLine="360"/>
        <w:jc w:val="left"/>
        <w:textAlignment w:val="auto"/>
        <w:rPr>
          <w:rFonts w:eastAsiaTheme="minorHAnsi"/>
          <w:color w:val="000000"/>
        </w:rPr>
      </w:pPr>
    </w:p>
    <w:p w:rsidR="001C349E" w:rsidRPr="003C0375" w:rsidRDefault="001C349E" w:rsidP="001C349E">
      <w:pPr>
        <w:overflowPunct/>
        <w:spacing w:before="0" w:after="0"/>
        <w:ind w:left="720"/>
        <w:jc w:val="left"/>
        <w:textAlignment w:val="auto"/>
        <w:rPr>
          <w:rFonts w:eastAsiaTheme="minorHAnsi"/>
          <w:color w:val="000000"/>
        </w:rPr>
      </w:pPr>
      <w:r w:rsidRPr="003C0375">
        <w:rPr>
          <w:rFonts w:eastAsiaTheme="minorHAnsi"/>
          <w:color w:val="000000"/>
        </w:rPr>
        <w:t>Some of the relevant paragraphs as to why the CMA has ordered for this data to be provided to PCWs/ TPIs are as below:</w:t>
      </w:r>
    </w:p>
    <w:p w:rsidR="001C349E" w:rsidRDefault="001C349E" w:rsidP="001C349E">
      <w:pPr>
        <w:overflowPunct/>
        <w:spacing w:before="0" w:after="0"/>
        <w:ind w:left="720"/>
        <w:jc w:val="left"/>
        <w:textAlignment w:val="auto"/>
        <w:rPr>
          <w:rFonts w:eastAsiaTheme="minorHAnsi"/>
        </w:rPr>
      </w:pPr>
    </w:p>
    <w:p w:rsidR="001C349E" w:rsidRPr="003C0375" w:rsidRDefault="001C349E" w:rsidP="001C349E">
      <w:pPr>
        <w:overflowPunct/>
        <w:spacing w:before="0" w:after="0"/>
        <w:ind w:left="720"/>
        <w:jc w:val="left"/>
        <w:textAlignment w:val="auto"/>
        <w:rPr>
          <w:rFonts w:eastAsiaTheme="minorHAnsi"/>
        </w:rPr>
      </w:pPr>
      <w:r w:rsidRPr="003C0375">
        <w:rPr>
          <w:rFonts w:eastAsiaTheme="minorHAnsi"/>
        </w:rPr>
        <w:t>13.343 The aim of this remedy is to reduce actual and perceived barriers to switching resulting from</w:t>
      </w:r>
    </w:p>
    <w:p w:rsidR="001C349E" w:rsidRPr="003C0375" w:rsidRDefault="001C349E" w:rsidP="001C349E">
      <w:pPr>
        <w:overflowPunct/>
        <w:spacing w:before="0" w:after="0"/>
        <w:ind w:left="720"/>
        <w:jc w:val="left"/>
        <w:textAlignment w:val="auto"/>
        <w:rPr>
          <w:rFonts w:eastAsiaTheme="minorHAnsi"/>
        </w:rPr>
      </w:pPr>
      <w:r w:rsidRPr="003C0375">
        <w:rPr>
          <w:rFonts w:eastAsiaTheme="minorHAnsi"/>
        </w:rPr>
        <w:t>erroneous transfers and failed switches, and we consider, based on respon</w:t>
      </w:r>
      <w:r>
        <w:rPr>
          <w:rFonts w:eastAsiaTheme="minorHAnsi"/>
        </w:rPr>
        <w:t xml:space="preserve">ses to our provisional decision </w:t>
      </w:r>
      <w:r w:rsidRPr="003C0375">
        <w:rPr>
          <w:rFonts w:eastAsiaTheme="minorHAnsi"/>
        </w:rPr>
        <w:t>on remedies 265, that access to the ECOES and SCOGES databas</w:t>
      </w:r>
      <w:r>
        <w:rPr>
          <w:rFonts w:eastAsiaTheme="minorHAnsi"/>
        </w:rPr>
        <w:t xml:space="preserve">es will also benefit other TPIs </w:t>
      </w:r>
      <w:r w:rsidRPr="003C0375">
        <w:rPr>
          <w:rFonts w:eastAsiaTheme="minorHAnsi"/>
        </w:rPr>
        <w:t>providing similar services to PCWs.</w:t>
      </w:r>
    </w:p>
    <w:p w:rsidR="001C349E" w:rsidRDefault="001C349E" w:rsidP="001C349E">
      <w:pPr>
        <w:overflowPunct/>
        <w:spacing w:before="0" w:after="0"/>
        <w:ind w:left="720"/>
        <w:jc w:val="left"/>
        <w:textAlignment w:val="auto"/>
        <w:rPr>
          <w:rFonts w:eastAsiaTheme="minorHAnsi"/>
        </w:rPr>
      </w:pPr>
    </w:p>
    <w:p w:rsidR="001C349E" w:rsidRPr="003C0375" w:rsidRDefault="001C349E" w:rsidP="001C349E">
      <w:pPr>
        <w:overflowPunct/>
        <w:spacing w:before="0" w:after="0"/>
        <w:ind w:left="720"/>
        <w:jc w:val="left"/>
        <w:textAlignment w:val="auto"/>
        <w:rPr>
          <w:rFonts w:eastAsiaTheme="minorHAnsi"/>
        </w:rPr>
      </w:pPr>
      <w:r w:rsidRPr="003C0375">
        <w:rPr>
          <w:rFonts w:eastAsiaTheme="minorHAnsi"/>
        </w:rPr>
        <w:t>13.344 In light of the above, this remedy will require (through a CMA order) the code administrator or</w:t>
      </w:r>
    </w:p>
    <w:p w:rsidR="001C349E" w:rsidRDefault="001C349E" w:rsidP="001C349E">
      <w:pPr>
        <w:overflowPunct/>
        <w:spacing w:before="0" w:after="0"/>
        <w:ind w:left="720"/>
        <w:jc w:val="left"/>
        <w:textAlignment w:val="auto"/>
        <w:rPr>
          <w:rFonts w:eastAsiaTheme="minorHAnsi"/>
        </w:rPr>
      </w:pPr>
      <w:r w:rsidRPr="003C0375">
        <w:rPr>
          <w:rFonts w:eastAsiaTheme="minorHAnsi"/>
        </w:rPr>
        <w:t xml:space="preserve">governing body with authority to grant access to the ECOES database to grant access </w:t>
      </w:r>
      <w:r>
        <w:rPr>
          <w:rFonts w:eastAsiaTheme="minorHAnsi"/>
        </w:rPr>
        <w:t xml:space="preserve">to the database to </w:t>
      </w:r>
      <w:r w:rsidRPr="003C0375">
        <w:rPr>
          <w:rFonts w:eastAsiaTheme="minorHAnsi"/>
        </w:rPr>
        <w:t>PCWs (and other TPIs providing similar services). This remedy will als</w:t>
      </w:r>
      <w:r>
        <w:rPr>
          <w:rFonts w:eastAsiaTheme="minorHAnsi"/>
        </w:rPr>
        <w:t xml:space="preserve">o require (through a CMA order) </w:t>
      </w:r>
      <w:r w:rsidRPr="003C0375">
        <w:rPr>
          <w:rFonts w:eastAsiaTheme="minorHAnsi"/>
        </w:rPr>
        <w:t>gas transporters to grant access to the SCOGES database to PCWs (a</w:t>
      </w:r>
      <w:r>
        <w:rPr>
          <w:rFonts w:eastAsiaTheme="minorHAnsi"/>
        </w:rPr>
        <w:t xml:space="preserve">nd other TPIs providing </w:t>
      </w:r>
      <w:r>
        <w:rPr>
          <w:rFonts w:eastAsiaTheme="minorHAnsi"/>
        </w:rPr>
        <w:lastRenderedPageBreak/>
        <w:t xml:space="preserve">similar </w:t>
      </w:r>
      <w:r w:rsidRPr="003C0375">
        <w:rPr>
          <w:rFonts w:eastAsiaTheme="minorHAnsi"/>
        </w:rPr>
        <w:t>services) on reasonable terms. We understand that amendments to the</w:t>
      </w:r>
      <w:r>
        <w:rPr>
          <w:rFonts w:eastAsiaTheme="minorHAnsi"/>
        </w:rPr>
        <w:t xml:space="preserve"> relevant industry codes may be </w:t>
      </w:r>
      <w:r w:rsidRPr="003C0375">
        <w:rPr>
          <w:rFonts w:eastAsiaTheme="minorHAnsi"/>
        </w:rPr>
        <w:t>required. Therefore, this remedy will also require gas transporters to make any necessary amendments to the Uniform Network Code</w:t>
      </w:r>
    </w:p>
    <w:p w:rsidR="0048650E" w:rsidRDefault="0048650E" w:rsidP="001C349E">
      <w:pPr>
        <w:overflowPunct/>
        <w:spacing w:before="0" w:after="0"/>
        <w:ind w:left="720"/>
        <w:jc w:val="left"/>
        <w:textAlignment w:val="auto"/>
        <w:rPr>
          <w:rFonts w:eastAsiaTheme="minorHAnsi"/>
        </w:rPr>
      </w:pPr>
    </w:p>
    <w:p w:rsidR="00942AEF" w:rsidRPr="0059040B" w:rsidRDefault="00E14294" w:rsidP="00942AEF">
      <w:pPr>
        <w:pStyle w:val="ListParagraph"/>
        <w:numPr>
          <w:ilvl w:val="0"/>
          <w:numId w:val="2"/>
        </w:numPr>
        <w:jc w:val="left"/>
        <w:rPr>
          <w:b/>
        </w:rPr>
      </w:pPr>
      <w:r w:rsidRPr="0059040B">
        <w:rPr>
          <w:b/>
        </w:rPr>
        <w:t>Also summarise why the need for a PIA was identified (this can draw on your answers to the screening questions).</w:t>
      </w:r>
    </w:p>
    <w:p w:rsidR="00942AEF" w:rsidRDefault="00942AEF" w:rsidP="00AE5A10">
      <w:pPr>
        <w:overflowPunct/>
        <w:spacing w:before="0" w:after="0"/>
        <w:ind w:left="720"/>
        <w:jc w:val="left"/>
        <w:textAlignment w:val="auto"/>
        <w:rPr>
          <w:rFonts w:eastAsiaTheme="minorHAnsi"/>
        </w:rPr>
      </w:pPr>
    </w:p>
    <w:p w:rsidR="009234DD" w:rsidRDefault="00647EE6" w:rsidP="00AE5A10">
      <w:pPr>
        <w:overflowPunct/>
        <w:spacing w:before="0" w:after="0"/>
        <w:ind w:left="720"/>
        <w:jc w:val="left"/>
        <w:textAlignment w:val="auto"/>
        <w:rPr>
          <w:rFonts w:eastAsiaTheme="minorHAnsi"/>
        </w:rPr>
      </w:pPr>
      <w:r w:rsidRPr="003C0375">
        <w:rPr>
          <w:rFonts w:eastAsiaTheme="minorHAnsi"/>
        </w:rPr>
        <w:t xml:space="preserve">The </w:t>
      </w:r>
      <w:r w:rsidR="00B409D8">
        <w:rPr>
          <w:rFonts w:eastAsiaTheme="minorHAnsi"/>
        </w:rPr>
        <w:t>CMA</w:t>
      </w:r>
      <w:r w:rsidR="00FA2DAF">
        <w:rPr>
          <w:rFonts w:eastAsiaTheme="minorHAnsi"/>
        </w:rPr>
        <w:t xml:space="preserve"> </w:t>
      </w:r>
      <w:r w:rsidR="0054148B">
        <w:rPr>
          <w:rFonts w:eastAsiaTheme="minorHAnsi"/>
        </w:rPr>
        <w:t>has</w:t>
      </w:r>
      <w:r w:rsidR="00FA2DAF">
        <w:rPr>
          <w:rFonts w:eastAsiaTheme="minorHAnsi"/>
        </w:rPr>
        <w:t xml:space="preserve"> advised that PCW access to data can be provided via an enduring API solution and </w:t>
      </w:r>
      <w:r w:rsidR="00057CE3">
        <w:rPr>
          <w:rFonts w:eastAsiaTheme="minorHAnsi"/>
        </w:rPr>
        <w:t>a</w:t>
      </w:r>
      <w:r w:rsidR="00336C7B">
        <w:rPr>
          <w:rFonts w:eastAsiaTheme="minorHAnsi"/>
        </w:rPr>
        <w:t xml:space="preserve"> </w:t>
      </w:r>
      <w:r w:rsidR="00057CE3">
        <w:rPr>
          <w:rFonts w:eastAsiaTheme="minorHAnsi"/>
        </w:rPr>
        <w:t>possible interim</w:t>
      </w:r>
      <w:r w:rsidR="00FA2DAF">
        <w:rPr>
          <w:rFonts w:eastAsiaTheme="minorHAnsi"/>
        </w:rPr>
        <w:t xml:space="preserve"> telephone </w:t>
      </w:r>
      <w:r w:rsidR="0054148B">
        <w:rPr>
          <w:rFonts w:eastAsiaTheme="minorHAnsi"/>
        </w:rPr>
        <w:t>service</w:t>
      </w:r>
      <w:r w:rsidR="009234DD">
        <w:rPr>
          <w:rFonts w:eastAsiaTheme="minorHAnsi"/>
        </w:rPr>
        <w:t xml:space="preserve">. </w:t>
      </w:r>
    </w:p>
    <w:p w:rsidR="009234DD" w:rsidRDefault="009234DD" w:rsidP="00AE5A10">
      <w:pPr>
        <w:overflowPunct/>
        <w:spacing w:before="0" w:after="0"/>
        <w:ind w:left="720"/>
        <w:jc w:val="left"/>
        <w:textAlignment w:val="auto"/>
        <w:rPr>
          <w:rFonts w:eastAsiaTheme="minorHAnsi"/>
        </w:rPr>
      </w:pPr>
    </w:p>
    <w:p w:rsidR="00647EE6" w:rsidRDefault="00041A17" w:rsidP="00AE5A10">
      <w:pPr>
        <w:overflowPunct/>
        <w:spacing w:before="0" w:after="0"/>
        <w:ind w:left="720"/>
        <w:jc w:val="left"/>
        <w:textAlignment w:val="auto"/>
        <w:rPr>
          <w:rFonts w:eastAsiaTheme="minorHAnsi"/>
        </w:rPr>
      </w:pPr>
      <w:r>
        <w:rPr>
          <w:rFonts w:eastAsiaTheme="minorHAnsi"/>
        </w:rPr>
        <w:t xml:space="preserve">The need for a PIA has been identified </w:t>
      </w:r>
      <w:r w:rsidR="00F87F15">
        <w:rPr>
          <w:rFonts w:eastAsiaTheme="minorHAnsi"/>
        </w:rPr>
        <w:t>as</w:t>
      </w:r>
      <w:r>
        <w:rPr>
          <w:rFonts w:eastAsiaTheme="minorHAnsi"/>
        </w:rPr>
        <w:t xml:space="preserve"> the p</w:t>
      </w:r>
      <w:r w:rsidR="00F87F15">
        <w:rPr>
          <w:rFonts w:eastAsiaTheme="minorHAnsi"/>
        </w:rPr>
        <w:t>rovision of the service is to;</w:t>
      </w:r>
      <w:r>
        <w:rPr>
          <w:rFonts w:eastAsiaTheme="minorHAnsi"/>
        </w:rPr>
        <w:t xml:space="preserve"> </w:t>
      </w:r>
      <w:r w:rsidR="009234DD">
        <w:rPr>
          <w:rFonts w:eastAsiaTheme="minorHAnsi"/>
        </w:rPr>
        <w:t>individuals</w:t>
      </w:r>
      <w:r w:rsidR="000E5A3C">
        <w:rPr>
          <w:rFonts w:eastAsiaTheme="minorHAnsi"/>
        </w:rPr>
        <w:t>,</w:t>
      </w:r>
      <w:r w:rsidR="009234DD">
        <w:rPr>
          <w:rFonts w:eastAsiaTheme="minorHAnsi"/>
        </w:rPr>
        <w:t xml:space="preserve"> organisations or people who have not previously had routine access to this information. </w:t>
      </w:r>
    </w:p>
    <w:p w:rsidR="009234DD" w:rsidRDefault="009234DD" w:rsidP="00AE5A10">
      <w:pPr>
        <w:overflowPunct/>
        <w:spacing w:before="0" w:after="0"/>
        <w:ind w:left="720"/>
        <w:jc w:val="left"/>
        <w:textAlignment w:val="auto"/>
        <w:rPr>
          <w:rFonts w:eastAsiaTheme="minorHAnsi"/>
        </w:rPr>
      </w:pPr>
    </w:p>
    <w:p w:rsidR="00B409D8" w:rsidRDefault="00666823" w:rsidP="00AE5A10">
      <w:pPr>
        <w:overflowPunct/>
        <w:spacing w:before="0" w:after="0"/>
        <w:ind w:left="720"/>
        <w:jc w:val="left"/>
        <w:textAlignment w:val="auto"/>
        <w:rPr>
          <w:rFonts w:eastAsiaTheme="minorHAnsi"/>
        </w:rPr>
      </w:pPr>
      <w:r>
        <w:rPr>
          <w:rFonts w:eastAsiaTheme="minorHAnsi"/>
        </w:rPr>
        <w:t>The PIA will highlight, the risks and the mitigating actions to minimise issues associated with the risk.</w:t>
      </w:r>
    </w:p>
    <w:p w:rsidR="007241CB" w:rsidRDefault="00910F8B" w:rsidP="0059040B">
      <w:pPr>
        <w:pStyle w:val="Default"/>
        <w:rPr>
          <w:sz w:val="20"/>
          <w:szCs w:val="20"/>
        </w:rPr>
      </w:pPr>
      <w:r w:rsidRPr="003C0375">
        <w:rPr>
          <w:sz w:val="20"/>
          <w:szCs w:val="20"/>
        </w:rPr>
        <w:t xml:space="preserve">. </w:t>
      </w:r>
    </w:p>
    <w:p w:rsidR="0059040B" w:rsidRDefault="0059040B" w:rsidP="0059040B">
      <w:pPr>
        <w:jc w:val="left"/>
        <w:rPr>
          <w:sz w:val="28"/>
          <w:szCs w:val="28"/>
        </w:rPr>
      </w:pPr>
      <w:r>
        <w:rPr>
          <w:sz w:val="28"/>
          <w:szCs w:val="28"/>
        </w:rPr>
        <w:t>PART TWO</w:t>
      </w:r>
    </w:p>
    <w:p w:rsidR="0059040B" w:rsidRDefault="0059040B" w:rsidP="0059040B">
      <w:pPr>
        <w:pStyle w:val="Default"/>
        <w:rPr>
          <w:sz w:val="20"/>
          <w:szCs w:val="20"/>
        </w:rPr>
      </w:pPr>
    </w:p>
    <w:p w:rsidR="00400092" w:rsidRDefault="0059040B" w:rsidP="00706F14">
      <w:pPr>
        <w:pStyle w:val="ListParagraph"/>
        <w:numPr>
          <w:ilvl w:val="0"/>
          <w:numId w:val="20"/>
        </w:numPr>
        <w:jc w:val="left"/>
        <w:rPr>
          <w:b/>
        </w:rPr>
      </w:pPr>
      <w:r>
        <w:rPr>
          <w:b/>
        </w:rPr>
        <w:t xml:space="preserve">The collection, use and deletion of personal data should be described here and it may also be useful to refer to a flow diagram or another way of explaining data flows. You should also say how many individuals are likely to be affected by the project. </w:t>
      </w:r>
    </w:p>
    <w:p w:rsidR="0059040B" w:rsidRDefault="0059040B" w:rsidP="0059040B">
      <w:pPr>
        <w:pStyle w:val="ListParagraph"/>
        <w:jc w:val="left"/>
        <w:rPr>
          <w:b/>
        </w:rPr>
      </w:pPr>
    </w:p>
    <w:p w:rsidR="00647EE6" w:rsidRDefault="00647EE6" w:rsidP="00647EE6">
      <w:pPr>
        <w:ind w:left="720"/>
        <w:rPr>
          <w:u w:val="single"/>
        </w:rPr>
      </w:pPr>
      <w:r w:rsidRPr="00E15F44">
        <w:rPr>
          <w:u w:val="single"/>
        </w:rPr>
        <w:t>Information flow</w:t>
      </w:r>
      <w:r>
        <w:rPr>
          <w:u w:val="single"/>
        </w:rPr>
        <w:t xml:space="preserve"> for </w:t>
      </w:r>
      <w:r w:rsidR="0054148B">
        <w:rPr>
          <w:u w:val="single"/>
        </w:rPr>
        <w:t>an</w:t>
      </w:r>
      <w:r>
        <w:rPr>
          <w:u w:val="single"/>
        </w:rPr>
        <w:t xml:space="preserve"> </w:t>
      </w:r>
      <w:r w:rsidR="00336C7B">
        <w:rPr>
          <w:u w:val="single"/>
        </w:rPr>
        <w:t>API and possible</w:t>
      </w:r>
      <w:r w:rsidR="00E432F7">
        <w:rPr>
          <w:u w:val="single"/>
        </w:rPr>
        <w:t xml:space="preserve"> telephone </w:t>
      </w:r>
      <w:r>
        <w:rPr>
          <w:u w:val="single"/>
        </w:rPr>
        <w:t xml:space="preserve">service </w:t>
      </w:r>
      <w:r w:rsidR="00B95A23">
        <w:rPr>
          <w:u w:val="single"/>
        </w:rPr>
        <w:t>(Collection of data)</w:t>
      </w:r>
    </w:p>
    <w:p w:rsidR="0059040B" w:rsidRDefault="00647EE6" w:rsidP="00647EE6">
      <w:pPr>
        <w:ind w:left="720"/>
      </w:pPr>
      <w:r w:rsidRPr="007B3086">
        <w:t xml:space="preserve">The below diagram </w:t>
      </w:r>
      <w:r>
        <w:t>demonstrates how</w:t>
      </w:r>
      <w:r w:rsidRPr="007B3086">
        <w:t xml:space="preserve"> </w:t>
      </w:r>
      <w:r w:rsidR="0059040B">
        <w:t>data will flow between parties</w:t>
      </w:r>
    </w:p>
    <w:p w:rsidR="00647EE6" w:rsidRDefault="0048650E" w:rsidP="00647EE6">
      <w:pPr>
        <w:ind w:left="720"/>
        <w:rPr>
          <w:u w:val="single"/>
        </w:rPr>
      </w:pPr>
      <w:r>
        <w:rPr>
          <w:noProof/>
          <w:u w:val="single"/>
          <w:lang w:eastAsia="en-GB"/>
        </w:rPr>
        <mc:AlternateContent>
          <mc:Choice Requires="wpg">
            <w:drawing>
              <wp:anchor distT="0" distB="0" distL="114300" distR="114300" simplePos="0" relativeHeight="251683840" behindDoc="0" locked="0" layoutInCell="1" allowOverlap="1" wp14:anchorId="73A00FC0" wp14:editId="5E89350E">
                <wp:simplePos x="0" y="0"/>
                <wp:positionH relativeFrom="column">
                  <wp:posOffset>1657350</wp:posOffset>
                </wp:positionH>
                <wp:positionV relativeFrom="paragraph">
                  <wp:posOffset>128905</wp:posOffset>
                </wp:positionV>
                <wp:extent cx="3067050" cy="1238250"/>
                <wp:effectExtent l="0" t="0" r="19050" b="19050"/>
                <wp:wrapNone/>
                <wp:docPr id="1" name="Group 1"/>
                <wp:cNvGraphicFramePr/>
                <a:graphic xmlns:a="http://schemas.openxmlformats.org/drawingml/2006/main">
                  <a:graphicData uri="http://schemas.microsoft.com/office/word/2010/wordprocessingGroup">
                    <wpg:wgp>
                      <wpg:cNvGrpSpPr/>
                      <wpg:grpSpPr>
                        <a:xfrm>
                          <a:off x="0" y="0"/>
                          <a:ext cx="3067050" cy="1238250"/>
                          <a:chOff x="0" y="0"/>
                          <a:chExt cx="3067050" cy="1238250"/>
                        </a:xfrm>
                      </wpg:grpSpPr>
                      <wps:wsp>
                        <wps:cNvPr id="43" name="Text Box 43"/>
                        <wps:cNvSpPr txBox="1"/>
                        <wps:spPr>
                          <a:xfrm>
                            <a:off x="2209800" y="885825"/>
                            <a:ext cx="85725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0793" w:rsidRDefault="00890793" w:rsidP="00647EE6">
                              <w:r>
                                <w:t>Supplier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Elbow Connector 40"/>
                        <wps:cNvCnPr/>
                        <wps:spPr>
                          <a:xfrm>
                            <a:off x="457200" y="752475"/>
                            <a:ext cx="1752600" cy="323850"/>
                          </a:xfrm>
                          <a:prstGeom prst="bentConnector3">
                            <a:avLst>
                              <a:gd name="adj1" fmla="val 0"/>
                            </a:avLst>
                          </a:prstGeom>
                          <a:ln>
                            <a:tailEnd type="arrow"/>
                          </a:ln>
                        </wps:spPr>
                        <wps:style>
                          <a:lnRef idx="1">
                            <a:schemeClr val="accent3"/>
                          </a:lnRef>
                          <a:fillRef idx="0">
                            <a:schemeClr val="accent3"/>
                          </a:fillRef>
                          <a:effectRef idx="0">
                            <a:schemeClr val="accent3"/>
                          </a:effectRef>
                          <a:fontRef idx="minor">
                            <a:schemeClr val="tx1"/>
                          </a:fontRef>
                        </wps:style>
                        <wps:bodyPr/>
                      </wps:wsp>
                      <wps:wsp>
                        <wps:cNvPr id="38" name="Text Box 38"/>
                        <wps:cNvSpPr txBox="1"/>
                        <wps:spPr>
                          <a:xfrm>
                            <a:off x="0" y="428625"/>
                            <a:ext cx="85725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0793" w:rsidRDefault="00890793" w:rsidP="00647EE6">
                              <w:r>
                                <w:t>PCW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1257300" y="0"/>
                            <a:ext cx="85725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0793" w:rsidRDefault="00890793" w:rsidP="00647EE6">
                              <w:r>
                                <w:t>Xoserve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Straight Arrow Connector 20"/>
                        <wps:cNvCnPr/>
                        <wps:spPr>
                          <a:xfrm flipV="1">
                            <a:off x="381000" y="180975"/>
                            <a:ext cx="876300" cy="247650"/>
                          </a:xfrm>
                          <a:prstGeom prst="bentConnector3">
                            <a:avLst>
                              <a:gd name="adj1" fmla="val 1087"/>
                            </a:avLst>
                          </a:prstGeom>
                          <a:ln>
                            <a:headEnd type="triangle"/>
                            <a:tailEnd type="arrow"/>
                          </a:ln>
                        </wps:spPr>
                        <wps:style>
                          <a:lnRef idx="1">
                            <a:schemeClr val="accent4"/>
                          </a:lnRef>
                          <a:fillRef idx="0">
                            <a:schemeClr val="accent4"/>
                          </a:fillRef>
                          <a:effectRef idx="0">
                            <a:schemeClr val="accent4"/>
                          </a:effectRef>
                          <a:fontRef idx="minor">
                            <a:schemeClr val="tx1"/>
                          </a:fontRef>
                        </wps:style>
                        <wps:bodyPr/>
                      </wps:wsp>
                    </wpg:wgp>
                  </a:graphicData>
                </a:graphic>
              </wp:anchor>
            </w:drawing>
          </mc:Choice>
          <mc:Fallback>
            <w:pict>
              <v:group id="Group 1" o:spid="_x0000_s1026" style="position:absolute;left:0;text-align:left;margin-left:130.5pt;margin-top:10.15pt;width:241.5pt;height:97.5pt;z-index:251683840" coordsize="30670,1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">
                <v:shapetype id="_x0000_t202" coordsize="21600,21600" o:spt="202" path="m,l,21600r21600,l21600,xe">
                  <v:stroke joinstyle="miter"/>
                  <v:path gradientshapeok="t" o:connecttype="rect"/>
                </v:shapetype>
                <v:shape id="Text Box 43" o:spid="_x0000_s1027" type="#_x0000_t202" style="position:absolute;left:22098;top:8858;width:8572;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baCMIA&#10;AADbAAAADwAAAGRycy9kb3ducmV2LnhtbESPQUsDMRSE74L/ITzBm81qi6zbpkWlFsFTW+n5sXlN&#10;gpuXJUm36783QqHHYWa+YRar0XdioJhcYAWPkwoEcRu0Y6Pge//xUINIGVljF5gU/FKC1fL2ZoGN&#10;Dmfe0rDLRhQIpwYV2Jz7RsrUWvKYJqEnLt4xRI+5yGikjngucN/Jp6p6lh4dlwWLPb1ban92J69g&#10;/WZeTFtjtOtaOzeMh+OX2Sh1fze+zkFkGvM1fGl/agWzK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toIwgAAANsAAAAPAAAAAAAAAAAAAAAAAJgCAABkcnMvZG93&#10;bnJldi54bWxQSwUGAAAAAAQABAD1AAAAhwMAAAAA&#10;" fillcolor="white [3201]" strokeweight=".5pt">
                  <v:textbox>
                    <w:txbxContent>
                      <w:p w:rsidR="00890793" w:rsidRDefault="00890793" w:rsidP="00647EE6">
                        <w:r>
                          <w:t>Supplier</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0" o:spid="_x0000_s1028" type="#_x0000_t34" style="position:absolute;left:4572;top:7524;width:17526;height:323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1GlsIAAADbAAAADwAAAGRycy9kb3ducmV2LnhtbERPS27CMBDdI/UO1lRiB04RgirFoBbE&#10;ZwNSSQ8wjadJVHscYhMCp8cLJJZP7z9bdNaIlhpfOVbwNkxAEOdOV1wo+MnWg3cQPiBrNI5JwZU8&#10;LOYvvRmm2l34m9pjKEQMYZ+igjKEOpXS5yVZ9ENXE0fuzzUWQ4RNIXWDlxhujRwlyURarDg2lFjT&#10;sqT8/3i2Cva3bGoOv6vNZncrTq3J+PC13yrVf+0+P0AE6sJT/HDvtIJxXB+/xB8g5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o1GlsIAAADbAAAADwAAAAAAAAAAAAAA&#10;AAChAgAAZHJzL2Rvd25yZXYueG1sUEsFBgAAAAAEAAQA+QAAAJADAAAAAA==&#10;" adj="0" strokecolor="#94b64e [3046]">
                  <v:stroke endarrow="open"/>
                </v:shape>
                <v:shape id="Text Box 38" o:spid="_x0000_s1029" type="#_x0000_t202" style="position:absolute;top:4286;width:8572;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Q7BL8A&#10;AADbAAAADwAAAGRycy9kb3ducmV2LnhtbERPTWsCMRC9F/ofwhR6q1krlO1qFBUtBU/a0vOwGZPg&#10;ZrIk6br9981B8Ph434vV6DsxUEwusILppAJB3Abt2Cj4/tq/1CBSRtbYBSYFf5RgtXx8WGCjw5WP&#10;NJyyESWEU4MKbM59I2VqLXlMk9ATF+4cosdcYDRSR7yWcN/J16p6kx4dlwaLPW0ttZfTr1ew25h3&#10;09YY7a7Wzg3jz/lgPpR6fhrXcxCZxnwX39yfWsGsjC1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lDsEvwAAANsAAAAPAAAAAAAAAAAAAAAAAJgCAABkcnMvZG93bnJl&#10;di54bWxQSwUGAAAAAAQABAD1AAAAhAMAAAAA&#10;" fillcolor="white [3201]" strokeweight=".5pt">
                  <v:textbox>
                    <w:txbxContent>
                      <w:p w:rsidR="00890793" w:rsidRDefault="00890793" w:rsidP="00647EE6">
                        <w:r>
                          <w:t>PCW</w:t>
                        </w:r>
                      </w:p>
                    </w:txbxContent>
                  </v:textbox>
                </v:shape>
                <v:shape id="Text Box 37" o:spid="_x0000_s1030" type="#_x0000_t202" style="position:absolute;left:12573;width:8572;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uvdsIA&#10;AADbAAAADwAAAGRycy9kb3ducmV2LnhtbESPQUsDMRSE74L/ITzBm81qoa7bpkWlFsFTW+n5sXlN&#10;gpuXJUm36783QqHHYWa+YRar0XdioJhcYAWPkwoEcRu0Y6Pge//xUINIGVljF5gU/FKC1fL2ZoGN&#10;Dmfe0rDLRhQIpwYV2Jz7RsrUWvKYJqEnLt4xRI+5yGikjngucN/Jp6qaSY+Oy4LFnt4ttT+7k1ew&#10;fjMvpq0x2nWtnRvGw/HLbJS6vxtf5yAyjfkavrQ/tYLpM/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C692wgAAANsAAAAPAAAAAAAAAAAAAAAAAJgCAABkcnMvZG93&#10;bnJldi54bWxQSwUGAAAAAAQABAD1AAAAhwMAAAAA&#10;" fillcolor="white [3201]" strokeweight=".5pt">
                  <v:textbox>
                    <w:txbxContent>
                      <w:p w:rsidR="00890793" w:rsidRDefault="00890793" w:rsidP="00647EE6">
                        <w:r>
                          <w:t>Xoserve</w:t>
                        </w:r>
                      </w:p>
                    </w:txbxContent>
                  </v:textbox>
                </v:shape>
                <v:shape id="Straight Arrow Connector 20" o:spid="_x0000_s1031" type="#_x0000_t34" style="position:absolute;left:3810;top:1809;width:8763;height:247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6ABMQAAADbAAAADwAAAGRycy9kb3ducmV2LnhtbESPzWrDMBCE74G+g9hCbrGcpgTjRglt&#10;wTTHNkkPvS3WxjKxVsaSf5KnrwqFHIeZ+YbZ7CbbiIE6XztWsExSEMSl0zVXCk7HYpGB8AFZY+OY&#10;FFzJw277MNtgrt3IXzQcQiUihH2OCkwIbS6lLw1Z9IlriaN3dp3FEGVXSd3hGOG2kU9pupYWa44L&#10;Blt6N1ReDr1V0Jzlx2W1mop+MGze2pv/+fzOlJo/Tq8vIAJN4R7+b++1gucl/H2JP0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voAExAAAANsAAAAPAAAAAAAAAAAA&#10;AAAAAKECAABkcnMvZG93bnJldi54bWxQSwUGAAAAAAQABAD5AAAAkgMAAAAA&#10;" adj="235" strokecolor="#795d9b [3047]">
                  <v:stroke startarrow="block" endarrow="open"/>
                </v:shape>
              </v:group>
            </w:pict>
          </mc:Fallback>
        </mc:AlternateContent>
      </w:r>
    </w:p>
    <w:p w:rsidR="00647EE6" w:rsidRPr="00E15F44" w:rsidRDefault="00647EE6" w:rsidP="00647EE6">
      <w:pPr>
        <w:ind w:left="720"/>
        <w:rPr>
          <w:u w:val="single"/>
        </w:rPr>
      </w:pPr>
    </w:p>
    <w:p w:rsidR="00647EE6" w:rsidRDefault="0059040B" w:rsidP="00647EE6">
      <w:pPr>
        <w:ind w:left="720"/>
        <w:rPr>
          <w:u w:val="single"/>
        </w:rPr>
      </w:pPr>
      <w:r>
        <w:rPr>
          <w:noProof/>
          <w:u w:val="single"/>
          <w:lang w:eastAsia="en-GB"/>
        </w:rPr>
        <mc:AlternateContent>
          <mc:Choice Requires="wps">
            <w:drawing>
              <wp:anchor distT="0" distB="0" distL="114300" distR="114300" simplePos="0" relativeHeight="251679744" behindDoc="0" locked="0" layoutInCell="1" allowOverlap="1" wp14:anchorId="50C5411D" wp14:editId="3A5FC602">
                <wp:simplePos x="0" y="0"/>
                <wp:positionH relativeFrom="column">
                  <wp:posOffset>447675</wp:posOffset>
                </wp:positionH>
                <wp:positionV relativeFrom="paragraph">
                  <wp:posOffset>116840</wp:posOffset>
                </wp:positionV>
                <wp:extent cx="857250" cy="352425"/>
                <wp:effectExtent l="0" t="0" r="19050" b="28575"/>
                <wp:wrapNone/>
                <wp:docPr id="39" name="Text Box 39"/>
                <wp:cNvGraphicFramePr/>
                <a:graphic xmlns:a="http://schemas.openxmlformats.org/drawingml/2006/main">
                  <a:graphicData uri="http://schemas.microsoft.com/office/word/2010/wordprocessingShape">
                    <wps:wsp>
                      <wps:cNvSpPr txBox="1"/>
                      <wps:spPr>
                        <a:xfrm>
                          <a:off x="0" y="0"/>
                          <a:ext cx="85725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0793" w:rsidRDefault="00890793" w:rsidP="00647EE6">
                            <w:r>
                              <w:t>Customer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9" o:spid="_x0000_s1032" type="#_x0000_t202" style="position:absolute;left:0;text-align:left;margin-left:35.25pt;margin-top:9.2pt;width:67.5pt;height:27.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" fillcolor="white [3201]" strokeweight=".5pt">
                <v:textbox>
                  <w:txbxContent>
                    <w:p w:rsidR="00890793" w:rsidRDefault="00890793" w:rsidP="00647EE6">
                      <w:r>
                        <w:t>Customer</w:t>
                      </w:r>
                    </w:p>
                  </w:txbxContent>
                </v:textbox>
              </v:shape>
            </w:pict>
          </mc:Fallback>
        </mc:AlternateContent>
      </w:r>
    </w:p>
    <w:p w:rsidR="00647EE6" w:rsidRDefault="0059040B" w:rsidP="00647EE6">
      <w:pPr>
        <w:ind w:left="720"/>
        <w:rPr>
          <w:u w:val="single"/>
        </w:rPr>
      </w:pPr>
      <w:r>
        <w:rPr>
          <w:noProof/>
          <w:u w:val="single"/>
          <w:lang w:eastAsia="en-GB"/>
        </w:rPr>
        <mc:AlternateContent>
          <mc:Choice Requires="wps">
            <w:drawing>
              <wp:anchor distT="0" distB="0" distL="114300" distR="114300" simplePos="0" relativeHeight="251682816" behindDoc="0" locked="0" layoutInCell="1" allowOverlap="1" wp14:anchorId="073C17B7" wp14:editId="27668AEB">
                <wp:simplePos x="0" y="0"/>
                <wp:positionH relativeFrom="column">
                  <wp:posOffset>1304925</wp:posOffset>
                </wp:positionH>
                <wp:positionV relativeFrom="paragraph">
                  <wp:posOffset>85090</wp:posOffset>
                </wp:positionV>
                <wp:extent cx="352425" cy="0"/>
                <wp:effectExtent l="0" t="76200" r="28575" b="114300"/>
                <wp:wrapNone/>
                <wp:docPr id="42" name="Straight Arrow Connector 42"/>
                <wp:cNvGraphicFramePr/>
                <a:graphic xmlns:a="http://schemas.openxmlformats.org/drawingml/2006/main">
                  <a:graphicData uri="http://schemas.microsoft.com/office/word/2010/wordprocessingShape">
                    <wps:wsp>
                      <wps:cNvCnPr/>
                      <wps:spPr>
                        <a:xfrm>
                          <a:off x="0" y="0"/>
                          <a:ext cx="3524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2" o:spid="_x0000_s1026" type="#_x0000_t32" style="position:absolute;margin-left:102.75pt;margin-top:6.7pt;width:27.75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" strokecolor="#4579b8 [3044]">
                <v:stroke endarrow="open"/>
              </v:shape>
            </w:pict>
          </mc:Fallback>
        </mc:AlternateContent>
      </w:r>
    </w:p>
    <w:p w:rsidR="00647EE6" w:rsidRDefault="00647EE6" w:rsidP="00647EE6">
      <w:pPr>
        <w:ind w:left="720"/>
        <w:rPr>
          <w:u w:val="single"/>
        </w:rPr>
      </w:pPr>
    </w:p>
    <w:p w:rsidR="0059040B" w:rsidRDefault="0059040B" w:rsidP="00647EE6">
      <w:pPr>
        <w:ind w:left="720"/>
        <w:rPr>
          <w:u w:val="single"/>
        </w:rPr>
      </w:pPr>
    </w:p>
    <w:p w:rsidR="009B2D75" w:rsidRDefault="009B2D75" w:rsidP="00647EE6">
      <w:pPr>
        <w:ind w:left="720"/>
        <w:rPr>
          <w:u w:val="single"/>
        </w:rPr>
      </w:pPr>
    </w:p>
    <w:p w:rsidR="0059040B" w:rsidRDefault="0059040B" w:rsidP="00647EE6">
      <w:pPr>
        <w:ind w:left="720"/>
        <w:rPr>
          <w:u w:val="single"/>
        </w:rPr>
      </w:pPr>
    </w:p>
    <w:p w:rsidR="00647EE6" w:rsidRDefault="00647EE6" w:rsidP="00647EE6">
      <w:pPr>
        <w:ind w:left="720"/>
        <w:rPr>
          <w:u w:val="single"/>
        </w:rPr>
      </w:pPr>
      <w:r>
        <w:rPr>
          <w:u w:val="single"/>
        </w:rPr>
        <w:t>Key</w:t>
      </w:r>
    </w:p>
    <w:p w:rsidR="00647EE6" w:rsidRPr="00011B35" w:rsidRDefault="00647EE6" w:rsidP="00647EE6">
      <w:pPr>
        <w:tabs>
          <w:tab w:val="left" w:pos="1950"/>
        </w:tabs>
        <w:ind w:left="720"/>
      </w:pPr>
      <w:r>
        <w:rPr>
          <w:noProof/>
          <w:sz w:val="24"/>
          <w:szCs w:val="24"/>
          <w:lang w:eastAsia="en-GB"/>
        </w:rPr>
        <mc:AlternateContent>
          <mc:Choice Requires="wps">
            <w:drawing>
              <wp:anchor distT="0" distB="0" distL="114300" distR="114300" simplePos="0" relativeHeight="251675648" behindDoc="0" locked="0" layoutInCell="1" allowOverlap="1" wp14:anchorId="23EC1F22" wp14:editId="347312F3">
                <wp:simplePos x="0" y="0"/>
                <wp:positionH relativeFrom="column">
                  <wp:posOffset>447675</wp:posOffset>
                </wp:positionH>
                <wp:positionV relativeFrom="paragraph">
                  <wp:posOffset>86995</wp:posOffset>
                </wp:positionV>
                <wp:extent cx="695325" cy="0"/>
                <wp:effectExtent l="0" t="76200" r="28575" b="114300"/>
                <wp:wrapNone/>
                <wp:docPr id="44" name="Straight Arrow Connector 44"/>
                <wp:cNvGraphicFramePr/>
                <a:graphic xmlns:a="http://schemas.openxmlformats.org/drawingml/2006/main">
                  <a:graphicData uri="http://schemas.microsoft.com/office/word/2010/wordprocessingShape">
                    <wps:wsp>
                      <wps:cNvCnPr/>
                      <wps:spPr>
                        <a:xfrm>
                          <a:off x="0" y="0"/>
                          <a:ext cx="6953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4" o:spid="_x0000_s1026" type="#_x0000_t32" style="position:absolute;margin-left:35.25pt;margin-top:6.85pt;width:54.7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" strokecolor="#4579b8 [3044]">
                <v:stroke endarrow="open"/>
              </v:shape>
            </w:pict>
          </mc:Fallback>
        </mc:AlternateContent>
      </w:r>
      <w:r>
        <w:rPr>
          <w:sz w:val="24"/>
          <w:szCs w:val="24"/>
        </w:rPr>
        <w:tab/>
      </w:r>
      <w:r w:rsidRPr="00011B35">
        <w:t>Via web</w:t>
      </w:r>
    </w:p>
    <w:p w:rsidR="00647EE6" w:rsidRPr="00011B35" w:rsidRDefault="00647EE6" w:rsidP="00647EE6">
      <w:pPr>
        <w:tabs>
          <w:tab w:val="left" w:pos="1950"/>
        </w:tabs>
        <w:ind w:left="720"/>
      </w:pPr>
      <w:r w:rsidRPr="00D93F75">
        <w:rPr>
          <w:noProof/>
          <w:color w:val="7030A0"/>
          <w:sz w:val="24"/>
          <w:szCs w:val="24"/>
          <w:lang w:eastAsia="en-GB"/>
        </w:rPr>
        <mc:AlternateContent>
          <mc:Choice Requires="wps">
            <w:drawing>
              <wp:anchor distT="0" distB="0" distL="114300" distR="114300" simplePos="0" relativeHeight="251676672" behindDoc="0" locked="0" layoutInCell="1" allowOverlap="1" wp14:anchorId="3DAAC593" wp14:editId="5B6A7550">
                <wp:simplePos x="0" y="0"/>
                <wp:positionH relativeFrom="column">
                  <wp:posOffset>447675</wp:posOffset>
                </wp:positionH>
                <wp:positionV relativeFrom="paragraph">
                  <wp:posOffset>83185</wp:posOffset>
                </wp:positionV>
                <wp:extent cx="695325" cy="0"/>
                <wp:effectExtent l="0" t="76200" r="28575" b="114300"/>
                <wp:wrapNone/>
                <wp:docPr id="45" name="Straight Arrow Connector 45"/>
                <wp:cNvGraphicFramePr/>
                <a:graphic xmlns:a="http://schemas.openxmlformats.org/drawingml/2006/main">
                  <a:graphicData uri="http://schemas.microsoft.com/office/word/2010/wordprocessingShape">
                    <wps:wsp>
                      <wps:cNvCnPr/>
                      <wps:spPr>
                        <a:xfrm>
                          <a:off x="0" y="0"/>
                          <a:ext cx="695325" cy="0"/>
                        </a:xfrm>
                        <a:prstGeom prst="straightConnector1">
                          <a:avLst/>
                        </a:prstGeom>
                        <a:ln>
                          <a:tailEnd type="arrow"/>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id="Straight Arrow Connector 45" o:spid="_x0000_s1026" type="#_x0000_t32" style="position:absolute;margin-left:35.25pt;margin-top:6.55pt;width:54.7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" strokecolor="#795d9b [3047]">
                <v:stroke endarrow="open"/>
              </v:shape>
            </w:pict>
          </mc:Fallback>
        </mc:AlternateContent>
      </w:r>
      <w:r>
        <w:rPr>
          <w:sz w:val="24"/>
          <w:szCs w:val="24"/>
        </w:rPr>
        <w:tab/>
      </w:r>
      <w:r w:rsidR="00057CE3" w:rsidRPr="00011B35">
        <w:t xml:space="preserve">Via </w:t>
      </w:r>
      <w:r w:rsidR="00057CE3">
        <w:t>an</w:t>
      </w:r>
      <w:r w:rsidR="00336C7B">
        <w:t xml:space="preserve"> API service and possible</w:t>
      </w:r>
      <w:r w:rsidR="00E432F7">
        <w:t xml:space="preserve"> telephone service</w:t>
      </w:r>
    </w:p>
    <w:p w:rsidR="00647EE6" w:rsidRDefault="00647EE6" w:rsidP="00647EE6">
      <w:pPr>
        <w:tabs>
          <w:tab w:val="left" w:pos="1950"/>
        </w:tabs>
        <w:ind w:left="720"/>
      </w:pPr>
      <w:r>
        <w:rPr>
          <w:noProof/>
          <w:sz w:val="24"/>
          <w:szCs w:val="24"/>
          <w:lang w:eastAsia="en-GB"/>
        </w:rPr>
        <mc:AlternateContent>
          <mc:Choice Requires="wps">
            <w:drawing>
              <wp:anchor distT="0" distB="0" distL="114300" distR="114300" simplePos="0" relativeHeight="251677696" behindDoc="0" locked="0" layoutInCell="1" allowOverlap="1" wp14:anchorId="1E2360E5" wp14:editId="4E48FB12">
                <wp:simplePos x="0" y="0"/>
                <wp:positionH relativeFrom="column">
                  <wp:posOffset>447675</wp:posOffset>
                </wp:positionH>
                <wp:positionV relativeFrom="paragraph">
                  <wp:posOffset>79375</wp:posOffset>
                </wp:positionV>
                <wp:extent cx="695325" cy="0"/>
                <wp:effectExtent l="0" t="76200" r="28575" b="114300"/>
                <wp:wrapNone/>
                <wp:docPr id="46" name="Straight Arrow Connector 46"/>
                <wp:cNvGraphicFramePr/>
                <a:graphic xmlns:a="http://schemas.openxmlformats.org/drawingml/2006/main">
                  <a:graphicData uri="http://schemas.microsoft.com/office/word/2010/wordprocessingShape">
                    <wps:wsp>
                      <wps:cNvCnPr/>
                      <wps:spPr>
                        <a:xfrm>
                          <a:off x="0" y="0"/>
                          <a:ext cx="695325" cy="0"/>
                        </a:xfrm>
                        <a:prstGeom prst="straightConnector1">
                          <a:avLst/>
                        </a:prstGeom>
                        <a:ln>
                          <a:tailEnd type="arrow"/>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 id="Straight Arrow Connector 46" o:spid="_x0000_s1026" type="#_x0000_t32" style="position:absolute;margin-left:35.25pt;margin-top:6.25pt;width:54.7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" strokecolor="#94b64e [3046]">
                <v:stroke endarrow="open"/>
              </v:shape>
            </w:pict>
          </mc:Fallback>
        </mc:AlternateContent>
      </w:r>
      <w:r>
        <w:rPr>
          <w:sz w:val="24"/>
          <w:szCs w:val="24"/>
        </w:rPr>
        <w:tab/>
      </w:r>
      <w:r w:rsidR="00706F14">
        <w:t>Unknown</w:t>
      </w:r>
    </w:p>
    <w:p w:rsidR="00647EE6" w:rsidRDefault="00647EE6" w:rsidP="00647EE6">
      <w:pPr>
        <w:tabs>
          <w:tab w:val="left" w:pos="1950"/>
        </w:tabs>
        <w:ind w:left="720"/>
      </w:pPr>
    </w:p>
    <w:p w:rsidR="00647EE6" w:rsidRPr="00CB6C5B" w:rsidRDefault="00647EE6" w:rsidP="00647EE6">
      <w:pPr>
        <w:ind w:left="720"/>
        <w:rPr>
          <w:u w:val="single"/>
        </w:rPr>
      </w:pPr>
      <w:r w:rsidRPr="00CB6C5B">
        <w:rPr>
          <w:u w:val="single"/>
        </w:rPr>
        <w:t>Considered rules</w:t>
      </w:r>
    </w:p>
    <w:p w:rsidR="00812CC6" w:rsidRDefault="00812CC6" w:rsidP="00812CC6">
      <w:pPr>
        <w:pStyle w:val="ListParagraph"/>
        <w:numPr>
          <w:ilvl w:val="0"/>
          <w:numId w:val="4"/>
        </w:numPr>
      </w:pPr>
      <w:r>
        <w:t>Data available will be as listed below – Modification 0593</w:t>
      </w:r>
      <w:r w:rsidR="00017AD0">
        <w:t xml:space="preserve"> / iGT UNC Modification 095</w:t>
      </w:r>
      <w:r>
        <w:t xml:space="preserve"> creates the permission to release data to PCWs within Uniform Network Code (UNC)</w:t>
      </w:r>
      <w:r w:rsidR="00017AD0">
        <w:t xml:space="preserve"> and iGT UNC</w:t>
      </w:r>
      <w:r>
        <w:t>, please note permission will be granted under a set of conditions being met by PCWs.</w:t>
      </w:r>
    </w:p>
    <w:p w:rsidR="00812CC6" w:rsidRDefault="00812CC6" w:rsidP="00812CC6">
      <w:pPr>
        <w:pStyle w:val="ListParagraph"/>
        <w:numPr>
          <w:ilvl w:val="0"/>
          <w:numId w:val="5"/>
        </w:numPr>
      </w:pPr>
      <w:r>
        <w:t xml:space="preserve">For an API service, </w:t>
      </w:r>
      <w:r w:rsidRPr="00CB6C5B">
        <w:t>PCW</w:t>
      </w:r>
      <w:r>
        <w:t>s/ TPIs</w:t>
      </w:r>
      <w:r w:rsidRPr="00CB6C5B">
        <w:t xml:space="preserve"> can only </w:t>
      </w:r>
      <w:r>
        <w:t xml:space="preserve">gain access to data through URLs for the API interface that will be provided specifically to the PCW/ TPI organisation. </w:t>
      </w:r>
    </w:p>
    <w:p w:rsidR="00A75D91" w:rsidRDefault="00A75D91" w:rsidP="00057CE3">
      <w:pPr>
        <w:pStyle w:val="ListParagraph"/>
        <w:ind w:left="1080"/>
      </w:pPr>
    </w:p>
    <w:p w:rsidR="00555E44" w:rsidRDefault="00555E44" w:rsidP="0054148B">
      <w:pPr>
        <w:tabs>
          <w:tab w:val="left" w:pos="1950"/>
        </w:tabs>
        <w:ind w:left="720"/>
      </w:pPr>
    </w:p>
    <w:p w:rsidR="00555E44" w:rsidRDefault="00555E44" w:rsidP="0054148B">
      <w:pPr>
        <w:tabs>
          <w:tab w:val="left" w:pos="1950"/>
        </w:tabs>
        <w:ind w:left="720"/>
      </w:pPr>
    </w:p>
    <w:p w:rsidR="00555E44" w:rsidRDefault="00555E44" w:rsidP="0054148B">
      <w:pPr>
        <w:tabs>
          <w:tab w:val="left" w:pos="1950"/>
        </w:tabs>
        <w:ind w:left="720"/>
      </w:pPr>
    </w:p>
    <w:p w:rsidR="00555E44" w:rsidRDefault="00555E44" w:rsidP="0054148B">
      <w:pPr>
        <w:tabs>
          <w:tab w:val="left" w:pos="1950"/>
        </w:tabs>
        <w:ind w:left="720"/>
      </w:pPr>
    </w:p>
    <w:p w:rsidR="00555E44" w:rsidRDefault="00555E44" w:rsidP="0054148B">
      <w:pPr>
        <w:tabs>
          <w:tab w:val="left" w:pos="1950"/>
        </w:tabs>
        <w:ind w:left="720"/>
      </w:pPr>
    </w:p>
    <w:p w:rsidR="00555E44" w:rsidRDefault="00555E44" w:rsidP="0054148B">
      <w:pPr>
        <w:tabs>
          <w:tab w:val="left" w:pos="1950"/>
        </w:tabs>
        <w:ind w:left="720"/>
      </w:pPr>
    </w:p>
    <w:p w:rsidR="0054148B" w:rsidRDefault="00666823" w:rsidP="0054148B">
      <w:pPr>
        <w:tabs>
          <w:tab w:val="left" w:pos="1950"/>
        </w:tabs>
        <w:ind w:left="720"/>
        <w:rPr>
          <w:u w:val="single"/>
        </w:rPr>
      </w:pPr>
      <w:r>
        <w:lastRenderedPageBreak/>
        <w:t xml:space="preserve">  </w:t>
      </w:r>
      <w:r w:rsidR="0054148B">
        <w:rPr>
          <w:u w:val="single"/>
        </w:rPr>
        <w:t xml:space="preserve">Data Items available by API service and </w:t>
      </w:r>
      <w:r w:rsidR="00336C7B">
        <w:rPr>
          <w:u w:val="single"/>
        </w:rPr>
        <w:t xml:space="preserve">possible </w:t>
      </w:r>
      <w:r w:rsidR="0054148B">
        <w:rPr>
          <w:u w:val="single"/>
        </w:rPr>
        <w:t xml:space="preserve">telephone service </w:t>
      </w:r>
    </w:p>
    <w:tbl>
      <w:tblPr>
        <w:tblStyle w:val="TableGrid"/>
        <w:tblW w:w="0" w:type="auto"/>
        <w:tblInd w:w="-34" w:type="dxa"/>
        <w:tblLook w:val="04A0" w:firstRow="1" w:lastRow="0" w:firstColumn="1" w:lastColumn="0" w:noHBand="0" w:noVBand="1"/>
      </w:tblPr>
      <w:tblGrid>
        <w:gridCol w:w="2170"/>
        <w:gridCol w:w="2934"/>
        <w:gridCol w:w="4961"/>
      </w:tblGrid>
      <w:tr w:rsidR="0054148B" w:rsidRPr="005C082C" w:rsidTr="00F05A74">
        <w:trPr>
          <w:trHeight w:val="605"/>
        </w:trPr>
        <w:tc>
          <w:tcPr>
            <w:tcW w:w="2170" w:type="dxa"/>
            <w:shd w:val="clear" w:color="auto" w:fill="00B0F0"/>
          </w:tcPr>
          <w:p w:rsidR="0054148B" w:rsidRPr="00B3079E" w:rsidRDefault="0054148B" w:rsidP="00F05A74">
            <w:pPr>
              <w:pStyle w:val="NormalGS"/>
              <w:rPr>
                <w:b/>
                <w:color w:val="FFFFFF" w:themeColor="background1"/>
              </w:rPr>
            </w:pPr>
            <w:r w:rsidRPr="00B3079E">
              <w:rPr>
                <w:b/>
                <w:color w:val="FFFFFF" w:themeColor="background1"/>
              </w:rPr>
              <w:t>DATA ITEM</w:t>
            </w:r>
          </w:p>
        </w:tc>
        <w:tc>
          <w:tcPr>
            <w:tcW w:w="2934" w:type="dxa"/>
            <w:shd w:val="clear" w:color="auto" w:fill="00B0F0"/>
          </w:tcPr>
          <w:p w:rsidR="0054148B" w:rsidRPr="00B3079E" w:rsidRDefault="0054148B" w:rsidP="00F05A74">
            <w:pPr>
              <w:pStyle w:val="NormalGS"/>
              <w:rPr>
                <w:b/>
                <w:color w:val="FFFFFF" w:themeColor="background1"/>
              </w:rPr>
            </w:pPr>
            <w:r w:rsidRPr="00B3079E">
              <w:rPr>
                <w:b/>
                <w:color w:val="FFFFFF" w:themeColor="background1"/>
              </w:rPr>
              <w:t>DESCRIPTION</w:t>
            </w:r>
          </w:p>
        </w:tc>
        <w:tc>
          <w:tcPr>
            <w:tcW w:w="4961" w:type="dxa"/>
            <w:shd w:val="clear" w:color="auto" w:fill="00B0F0"/>
          </w:tcPr>
          <w:p w:rsidR="0054148B" w:rsidRPr="00B3079E" w:rsidRDefault="0054148B" w:rsidP="00F05A74">
            <w:pPr>
              <w:pStyle w:val="NormalGS"/>
              <w:rPr>
                <w:b/>
                <w:color w:val="FFFFFF" w:themeColor="background1"/>
              </w:rPr>
            </w:pPr>
            <w:r w:rsidRPr="00B3079E">
              <w:rPr>
                <w:b/>
                <w:color w:val="FFFFFF" w:themeColor="background1"/>
              </w:rPr>
              <w:t>PURPOSE OF PROVISION</w:t>
            </w:r>
            <w:r>
              <w:rPr>
                <w:b/>
                <w:color w:val="FFFFFF" w:themeColor="background1"/>
              </w:rPr>
              <w:t xml:space="preserve"> / JUSTIFICATION</w:t>
            </w:r>
          </w:p>
        </w:tc>
      </w:tr>
      <w:tr w:rsidR="0054148B" w:rsidTr="00F05A74">
        <w:trPr>
          <w:trHeight w:val="1209"/>
        </w:trPr>
        <w:tc>
          <w:tcPr>
            <w:tcW w:w="2170" w:type="dxa"/>
          </w:tcPr>
          <w:p w:rsidR="0054148B" w:rsidRPr="00CE5783" w:rsidRDefault="0054148B" w:rsidP="00F05A74">
            <w:pPr>
              <w:pStyle w:val="NormalGS"/>
              <w:rPr>
                <w:color w:val="auto"/>
              </w:rPr>
            </w:pPr>
            <w:r w:rsidRPr="00CE5783">
              <w:rPr>
                <w:color w:val="auto"/>
              </w:rPr>
              <w:t>MPRN</w:t>
            </w:r>
          </w:p>
        </w:tc>
        <w:tc>
          <w:tcPr>
            <w:tcW w:w="2934" w:type="dxa"/>
          </w:tcPr>
          <w:p w:rsidR="0054148B" w:rsidRPr="00CE5783" w:rsidRDefault="0054148B" w:rsidP="00F05A74">
            <w:pPr>
              <w:pStyle w:val="NormalGS"/>
              <w:rPr>
                <w:color w:val="auto"/>
              </w:rPr>
            </w:pPr>
            <w:r w:rsidRPr="00CE5783">
              <w:rPr>
                <w:color w:val="auto"/>
              </w:rPr>
              <w:t>Unique Identifier for a supply offtake point and used to identify the meter to be switched</w:t>
            </w:r>
          </w:p>
        </w:tc>
        <w:tc>
          <w:tcPr>
            <w:tcW w:w="4961" w:type="dxa"/>
          </w:tcPr>
          <w:p w:rsidR="0054148B" w:rsidRPr="00CE5783" w:rsidRDefault="0054148B" w:rsidP="00F05A74">
            <w:pPr>
              <w:pStyle w:val="NormalGS"/>
              <w:rPr>
                <w:color w:val="auto"/>
              </w:rPr>
            </w:pPr>
            <w:r w:rsidRPr="00CE5783">
              <w:rPr>
                <w:color w:val="auto"/>
              </w:rPr>
              <w:t>Allows confirmation of mat</w:t>
            </w:r>
            <w:r>
              <w:rPr>
                <w:color w:val="auto"/>
              </w:rPr>
              <w:t>ch with customer data provided.</w:t>
            </w:r>
          </w:p>
          <w:p w:rsidR="0054148B" w:rsidRPr="00CE5783" w:rsidRDefault="0054148B" w:rsidP="00F05A74">
            <w:pPr>
              <w:pStyle w:val="NormalGS"/>
              <w:rPr>
                <w:color w:val="auto"/>
              </w:rPr>
            </w:pPr>
            <w:r w:rsidRPr="00CE5783">
              <w:rPr>
                <w:color w:val="auto"/>
              </w:rPr>
              <w:t>This data item is mandatory in regulated flows for Suppliers, when switching a</w:t>
            </w:r>
            <w:r>
              <w:rPr>
                <w:color w:val="auto"/>
              </w:rPr>
              <w:t xml:space="preserve"> domestic consumer</w:t>
            </w:r>
          </w:p>
        </w:tc>
      </w:tr>
      <w:tr w:rsidR="0054148B" w:rsidTr="00F05A74">
        <w:trPr>
          <w:trHeight w:val="1224"/>
        </w:trPr>
        <w:tc>
          <w:tcPr>
            <w:tcW w:w="2170" w:type="dxa"/>
          </w:tcPr>
          <w:p w:rsidR="0054148B" w:rsidRPr="00CE5783" w:rsidRDefault="0054148B" w:rsidP="00F05A74">
            <w:pPr>
              <w:pStyle w:val="NormalGS"/>
              <w:rPr>
                <w:color w:val="auto"/>
              </w:rPr>
            </w:pPr>
            <w:r w:rsidRPr="00CE5783">
              <w:rPr>
                <w:color w:val="auto"/>
              </w:rPr>
              <w:t>Metering Point Address</w:t>
            </w:r>
          </w:p>
        </w:tc>
        <w:tc>
          <w:tcPr>
            <w:tcW w:w="2934" w:type="dxa"/>
          </w:tcPr>
          <w:p w:rsidR="0054148B" w:rsidRPr="00CE5783" w:rsidRDefault="0054148B" w:rsidP="00F05A74">
            <w:pPr>
              <w:pStyle w:val="NormalGS"/>
              <w:rPr>
                <w:color w:val="auto"/>
              </w:rPr>
            </w:pPr>
            <w:r w:rsidRPr="00CE5783">
              <w:rPr>
                <w:color w:val="auto"/>
              </w:rPr>
              <w:t>The address for the metering point, as provided by the relevant GT</w:t>
            </w:r>
          </w:p>
        </w:tc>
        <w:tc>
          <w:tcPr>
            <w:tcW w:w="4961" w:type="dxa"/>
          </w:tcPr>
          <w:p w:rsidR="0054148B" w:rsidRPr="00CE5783" w:rsidRDefault="0054148B" w:rsidP="00F05A74">
            <w:pPr>
              <w:pStyle w:val="NormalGS"/>
              <w:rPr>
                <w:color w:val="auto"/>
              </w:rPr>
            </w:pPr>
            <w:r w:rsidRPr="00CE5783">
              <w:rPr>
                <w:color w:val="auto"/>
              </w:rPr>
              <w:t>Allows confirmation of ma</w:t>
            </w:r>
            <w:r>
              <w:rPr>
                <w:color w:val="auto"/>
              </w:rPr>
              <w:t>tch with customer data provided.</w:t>
            </w:r>
            <w:r w:rsidRPr="00CE5783">
              <w:rPr>
                <w:color w:val="auto"/>
              </w:rPr>
              <w:t xml:space="preserve"> Also allows for triangulation of data. </w:t>
            </w:r>
          </w:p>
          <w:p w:rsidR="0054148B" w:rsidRPr="00CE5783" w:rsidRDefault="0054148B" w:rsidP="00F05A74">
            <w:pPr>
              <w:pStyle w:val="NormalGS"/>
              <w:rPr>
                <w:color w:val="auto"/>
              </w:rPr>
            </w:pPr>
            <w:r w:rsidRPr="00CE5783">
              <w:rPr>
                <w:color w:val="auto"/>
              </w:rPr>
              <w:t>This data item is mandatory in regulated flows for Suppliers, whe</w:t>
            </w:r>
            <w:r>
              <w:rPr>
                <w:color w:val="auto"/>
              </w:rPr>
              <w:t>n switching a domestic consumer</w:t>
            </w:r>
          </w:p>
        </w:tc>
      </w:tr>
      <w:tr w:rsidR="0054148B" w:rsidTr="00F05A74">
        <w:trPr>
          <w:trHeight w:val="1209"/>
        </w:trPr>
        <w:tc>
          <w:tcPr>
            <w:tcW w:w="2170" w:type="dxa"/>
          </w:tcPr>
          <w:p w:rsidR="0054148B" w:rsidRPr="00CE5783" w:rsidRDefault="0054148B" w:rsidP="00F05A74">
            <w:pPr>
              <w:pStyle w:val="NormalGS"/>
              <w:rPr>
                <w:color w:val="auto"/>
              </w:rPr>
            </w:pPr>
            <w:r w:rsidRPr="00CE5783">
              <w:rPr>
                <w:color w:val="auto"/>
              </w:rPr>
              <w:t>Metering Point Address</w:t>
            </w:r>
          </w:p>
        </w:tc>
        <w:tc>
          <w:tcPr>
            <w:tcW w:w="2934" w:type="dxa"/>
          </w:tcPr>
          <w:p w:rsidR="0054148B" w:rsidRPr="00CE5783" w:rsidRDefault="0054148B" w:rsidP="00F05A74">
            <w:pPr>
              <w:pStyle w:val="NormalGS"/>
              <w:rPr>
                <w:color w:val="auto"/>
              </w:rPr>
            </w:pPr>
            <w:r w:rsidRPr="00CE5783">
              <w:rPr>
                <w:color w:val="auto"/>
              </w:rPr>
              <w:t>The Postcode for the metering point, as provided by the relevant GT</w:t>
            </w:r>
          </w:p>
        </w:tc>
        <w:tc>
          <w:tcPr>
            <w:tcW w:w="4961" w:type="dxa"/>
          </w:tcPr>
          <w:p w:rsidR="0054148B" w:rsidRPr="00CE5783" w:rsidRDefault="0054148B" w:rsidP="00F05A74">
            <w:pPr>
              <w:pStyle w:val="NormalGS"/>
              <w:rPr>
                <w:color w:val="auto"/>
              </w:rPr>
            </w:pPr>
            <w:r w:rsidRPr="00CE5783">
              <w:rPr>
                <w:color w:val="auto"/>
              </w:rPr>
              <w:t>Allows confirmation of ma</w:t>
            </w:r>
            <w:r>
              <w:rPr>
                <w:color w:val="auto"/>
              </w:rPr>
              <w:t>tch with customer data provided, a</w:t>
            </w:r>
            <w:r w:rsidRPr="00CE5783">
              <w:rPr>
                <w:color w:val="auto"/>
              </w:rPr>
              <w:t>lso allows for triangulation of data.</w:t>
            </w:r>
          </w:p>
          <w:p w:rsidR="0054148B" w:rsidRPr="00CE5783" w:rsidRDefault="0054148B" w:rsidP="00F05A74">
            <w:pPr>
              <w:pStyle w:val="NormalGS"/>
              <w:rPr>
                <w:color w:val="auto"/>
              </w:rPr>
            </w:pPr>
            <w:r w:rsidRPr="00CE5783">
              <w:rPr>
                <w:color w:val="auto"/>
              </w:rPr>
              <w:t>This data item is mandatory in regulated flows for Suppliers, when switching a domes</w:t>
            </w:r>
            <w:r>
              <w:rPr>
                <w:color w:val="auto"/>
              </w:rPr>
              <w:t>tic consumer</w:t>
            </w:r>
          </w:p>
        </w:tc>
      </w:tr>
      <w:tr w:rsidR="0054148B" w:rsidTr="00F05A74">
        <w:trPr>
          <w:trHeight w:val="929"/>
        </w:trPr>
        <w:tc>
          <w:tcPr>
            <w:tcW w:w="2170" w:type="dxa"/>
          </w:tcPr>
          <w:p w:rsidR="0054148B" w:rsidRPr="00CE5783" w:rsidRDefault="0054148B" w:rsidP="00F05A74">
            <w:pPr>
              <w:pStyle w:val="NormalGS"/>
              <w:rPr>
                <w:color w:val="auto"/>
              </w:rPr>
            </w:pPr>
            <w:r w:rsidRPr="00CE5783">
              <w:rPr>
                <w:color w:val="auto"/>
              </w:rPr>
              <w:t>Current Supplier ID</w:t>
            </w:r>
          </w:p>
        </w:tc>
        <w:tc>
          <w:tcPr>
            <w:tcW w:w="2934" w:type="dxa"/>
          </w:tcPr>
          <w:p w:rsidR="0054148B" w:rsidRPr="00CE5783" w:rsidRDefault="0054148B" w:rsidP="00F05A74">
            <w:pPr>
              <w:pStyle w:val="NormalGS"/>
              <w:rPr>
                <w:color w:val="auto"/>
              </w:rPr>
            </w:pPr>
            <w:r w:rsidRPr="00CE5783">
              <w:rPr>
                <w:color w:val="auto"/>
              </w:rPr>
              <w:t>Industry identifier for the current Supplier</w:t>
            </w:r>
          </w:p>
        </w:tc>
        <w:tc>
          <w:tcPr>
            <w:tcW w:w="4961" w:type="dxa"/>
          </w:tcPr>
          <w:p w:rsidR="0054148B" w:rsidRPr="00CE5783" w:rsidRDefault="0054148B" w:rsidP="00F05A74">
            <w:pPr>
              <w:pStyle w:val="NormalGS"/>
              <w:rPr>
                <w:color w:val="auto"/>
              </w:rPr>
            </w:pPr>
            <w:r w:rsidRPr="00CE5783">
              <w:rPr>
                <w:color w:val="auto"/>
              </w:rPr>
              <w:t xml:space="preserve">Used in confirming customer data provided and to assess likely current tariff. </w:t>
            </w:r>
          </w:p>
          <w:p w:rsidR="0054148B" w:rsidRPr="00CE5783" w:rsidRDefault="0054148B" w:rsidP="00F05A74">
            <w:pPr>
              <w:pStyle w:val="NormalGS"/>
              <w:rPr>
                <w:color w:val="auto"/>
              </w:rPr>
            </w:pPr>
            <w:r w:rsidRPr="00CE5783">
              <w:rPr>
                <w:color w:val="auto"/>
              </w:rPr>
              <w:t>This is useful for Supplier a</w:t>
            </w:r>
            <w:r>
              <w:rPr>
                <w:color w:val="auto"/>
              </w:rPr>
              <w:t>nd shipper use in the transfer.</w:t>
            </w:r>
          </w:p>
        </w:tc>
      </w:tr>
      <w:tr w:rsidR="0054148B" w:rsidTr="00F05A74">
        <w:trPr>
          <w:trHeight w:val="142"/>
        </w:trPr>
        <w:tc>
          <w:tcPr>
            <w:tcW w:w="2170" w:type="dxa"/>
          </w:tcPr>
          <w:p w:rsidR="0054148B" w:rsidRPr="00CE5783" w:rsidRDefault="0054148B" w:rsidP="00F05A74">
            <w:pPr>
              <w:pStyle w:val="NormalGS"/>
              <w:rPr>
                <w:color w:val="auto"/>
              </w:rPr>
            </w:pPr>
            <w:r w:rsidRPr="00CE5783">
              <w:rPr>
                <w:color w:val="auto"/>
              </w:rPr>
              <w:t>Meter Mechanism Code</w:t>
            </w:r>
          </w:p>
        </w:tc>
        <w:tc>
          <w:tcPr>
            <w:tcW w:w="2934" w:type="dxa"/>
          </w:tcPr>
          <w:p w:rsidR="0054148B" w:rsidRPr="00CE5783" w:rsidRDefault="0054148B" w:rsidP="00F05A74">
            <w:pPr>
              <w:pStyle w:val="NormalGS"/>
              <w:rPr>
                <w:color w:val="auto"/>
              </w:rPr>
            </w:pPr>
            <w:r w:rsidRPr="00CE5783">
              <w:rPr>
                <w:color w:val="auto"/>
              </w:rPr>
              <w:t>Industry identifier of the type of equipment fitted e.g. credit or PPM</w:t>
            </w:r>
          </w:p>
        </w:tc>
        <w:tc>
          <w:tcPr>
            <w:tcW w:w="4961" w:type="dxa"/>
          </w:tcPr>
          <w:p w:rsidR="0054148B" w:rsidRPr="00CE5783" w:rsidRDefault="0054148B" w:rsidP="00F05A74">
            <w:pPr>
              <w:pStyle w:val="NormalGS"/>
              <w:rPr>
                <w:color w:val="auto"/>
              </w:rPr>
            </w:pPr>
            <w:r w:rsidRPr="00CE5783">
              <w:rPr>
                <w:color w:val="auto"/>
              </w:rPr>
              <w:t xml:space="preserve">Used in confirming customer data provided and to assess likely current and future tariff – note that gas meters are not ‘smart’ in and of themselves. </w:t>
            </w:r>
          </w:p>
          <w:p w:rsidR="0054148B" w:rsidRPr="00CE5783" w:rsidRDefault="0054148B" w:rsidP="00F05A74">
            <w:pPr>
              <w:pStyle w:val="NormalGS"/>
              <w:rPr>
                <w:color w:val="auto"/>
              </w:rPr>
            </w:pPr>
            <w:r w:rsidRPr="00CE5783">
              <w:rPr>
                <w:color w:val="auto"/>
              </w:rPr>
              <w:t>This data item is mandatory in regulated flows for Suppliers, whe</w:t>
            </w:r>
            <w:r>
              <w:rPr>
                <w:color w:val="auto"/>
              </w:rPr>
              <w:t>n switching a domestic consumer</w:t>
            </w:r>
          </w:p>
        </w:tc>
      </w:tr>
      <w:tr w:rsidR="0054148B" w:rsidTr="00F05A74">
        <w:trPr>
          <w:trHeight w:val="142"/>
        </w:trPr>
        <w:tc>
          <w:tcPr>
            <w:tcW w:w="2170" w:type="dxa"/>
          </w:tcPr>
          <w:p w:rsidR="0054148B" w:rsidRPr="00CE5783" w:rsidRDefault="0054148B" w:rsidP="00F05A74">
            <w:pPr>
              <w:pStyle w:val="NormalGS"/>
              <w:rPr>
                <w:color w:val="auto"/>
              </w:rPr>
            </w:pPr>
            <w:r w:rsidRPr="00CE5783">
              <w:rPr>
                <w:color w:val="auto"/>
              </w:rPr>
              <w:t>GT_ID</w:t>
            </w:r>
          </w:p>
        </w:tc>
        <w:tc>
          <w:tcPr>
            <w:tcW w:w="2934" w:type="dxa"/>
          </w:tcPr>
          <w:p w:rsidR="0054148B" w:rsidRPr="00CE5783" w:rsidRDefault="0054148B" w:rsidP="00F05A74">
            <w:pPr>
              <w:pStyle w:val="NormalGS"/>
              <w:rPr>
                <w:color w:val="auto"/>
              </w:rPr>
            </w:pPr>
            <w:r w:rsidRPr="00CE5783">
              <w:rPr>
                <w:color w:val="auto"/>
              </w:rPr>
              <w:t>The identifier of which geographical area a metering point is located in</w:t>
            </w:r>
          </w:p>
        </w:tc>
        <w:tc>
          <w:tcPr>
            <w:tcW w:w="4961" w:type="dxa"/>
          </w:tcPr>
          <w:p w:rsidR="0054148B" w:rsidRPr="00CE5783" w:rsidRDefault="0054148B" w:rsidP="00F05A74">
            <w:pPr>
              <w:pStyle w:val="NormalGS"/>
              <w:rPr>
                <w:color w:val="auto"/>
              </w:rPr>
            </w:pPr>
            <w:r w:rsidRPr="00CE5783">
              <w:rPr>
                <w:color w:val="auto"/>
              </w:rPr>
              <w:t>Can be used to assist in determining customer’s likely current and future tariff.</w:t>
            </w:r>
          </w:p>
          <w:p w:rsidR="0054148B" w:rsidRPr="00CE5783" w:rsidRDefault="0054148B" w:rsidP="00F05A74">
            <w:pPr>
              <w:pStyle w:val="NormalGS"/>
              <w:rPr>
                <w:color w:val="auto"/>
              </w:rPr>
            </w:pPr>
            <w:r w:rsidRPr="00CE5783">
              <w:rPr>
                <w:color w:val="auto"/>
              </w:rPr>
              <w:t>This data item is mandatory in regulated flows for Suppliers, when</w:t>
            </w:r>
            <w:r>
              <w:rPr>
                <w:color w:val="auto"/>
              </w:rPr>
              <w:t xml:space="preserve"> switching a domestic consumer.</w:t>
            </w:r>
          </w:p>
        </w:tc>
      </w:tr>
      <w:tr w:rsidR="0054148B" w:rsidTr="00F05A74">
        <w:trPr>
          <w:trHeight w:val="142"/>
        </w:trPr>
        <w:tc>
          <w:tcPr>
            <w:tcW w:w="2170" w:type="dxa"/>
          </w:tcPr>
          <w:p w:rsidR="0054148B" w:rsidRPr="00CE5783" w:rsidRDefault="0054148B" w:rsidP="00F05A74">
            <w:pPr>
              <w:pStyle w:val="NormalGS"/>
              <w:rPr>
                <w:color w:val="auto"/>
              </w:rPr>
            </w:pPr>
            <w:r w:rsidRPr="00CE5783">
              <w:rPr>
                <w:color w:val="auto"/>
              </w:rPr>
              <w:t>Meter Capacity</w:t>
            </w:r>
            <w:r>
              <w:rPr>
                <w:color w:val="auto"/>
              </w:rPr>
              <w:t xml:space="preserve"> indicator </w:t>
            </w:r>
            <w:r w:rsidR="00404A34">
              <w:rPr>
                <w:color w:val="auto"/>
              </w:rPr>
              <w:t>e.g.</w:t>
            </w:r>
            <w:r>
              <w:rPr>
                <w:color w:val="auto"/>
              </w:rPr>
              <w:t xml:space="preserve">, 1= </w:t>
            </w:r>
            <w:r w:rsidR="00404A34">
              <w:rPr>
                <w:color w:val="auto"/>
              </w:rPr>
              <w:t>up to</w:t>
            </w:r>
            <w:r>
              <w:rPr>
                <w:color w:val="auto"/>
              </w:rPr>
              <w:t xml:space="preserve"> and including 11 cubic metres, 2= above 11 cubic metres</w:t>
            </w:r>
          </w:p>
        </w:tc>
        <w:tc>
          <w:tcPr>
            <w:tcW w:w="2934" w:type="dxa"/>
          </w:tcPr>
          <w:p w:rsidR="0054148B" w:rsidRPr="00CE5783" w:rsidRDefault="0054148B" w:rsidP="00F05A74">
            <w:pPr>
              <w:pStyle w:val="NormalGS"/>
              <w:rPr>
                <w:color w:val="auto"/>
                <w:vertAlign w:val="superscript"/>
              </w:rPr>
            </w:pPr>
            <w:r w:rsidRPr="0001144D">
              <w:rPr>
                <w:rFonts w:cs="Arial"/>
                <w:color w:val="auto"/>
                <w:szCs w:val="18"/>
              </w:rPr>
              <w:t xml:space="preserve">The maximum amount of gas that can be passed through the meter.  This data item is provided for sites connected to a Transporter Network. The capacity </w:t>
            </w:r>
            <w:r w:rsidRPr="00CE5783">
              <w:rPr>
                <w:color w:val="auto"/>
              </w:rPr>
              <w:t>of the metering point in m</w:t>
            </w:r>
            <w:r w:rsidRPr="00CE5783">
              <w:rPr>
                <w:color w:val="auto"/>
                <w:vertAlign w:val="superscript"/>
              </w:rPr>
              <w:t>3</w:t>
            </w:r>
          </w:p>
        </w:tc>
        <w:tc>
          <w:tcPr>
            <w:tcW w:w="4961" w:type="dxa"/>
          </w:tcPr>
          <w:p w:rsidR="0054148B" w:rsidRPr="00CE5783" w:rsidRDefault="0054148B" w:rsidP="00F05A74">
            <w:pPr>
              <w:pStyle w:val="NormalGS"/>
              <w:rPr>
                <w:color w:val="auto"/>
              </w:rPr>
            </w:pPr>
            <w:r w:rsidRPr="00CE5783">
              <w:rPr>
                <w:color w:val="auto"/>
              </w:rPr>
              <w:t xml:space="preserve">Can indicate a high volume usage </w:t>
            </w:r>
            <w:r w:rsidR="00404A34" w:rsidRPr="00CE5783">
              <w:rPr>
                <w:color w:val="auto"/>
              </w:rPr>
              <w:t>customer.</w:t>
            </w:r>
            <w:r w:rsidR="00404A34">
              <w:rPr>
                <w:color w:val="auto"/>
              </w:rPr>
              <w:t xml:space="preserve"> This</w:t>
            </w:r>
            <w:r>
              <w:rPr>
                <w:color w:val="auto"/>
              </w:rPr>
              <w:t xml:space="preserve"> information is used to validate consumer data.</w:t>
            </w:r>
          </w:p>
          <w:p w:rsidR="0054148B" w:rsidRPr="00CE5783" w:rsidRDefault="0054148B" w:rsidP="00F05A74">
            <w:pPr>
              <w:pStyle w:val="NormalGS"/>
              <w:rPr>
                <w:color w:val="auto"/>
              </w:rPr>
            </w:pPr>
            <w:r w:rsidRPr="00CE5783">
              <w:rPr>
                <w:color w:val="auto"/>
              </w:rPr>
              <w:t>This is useful for Supplier a</w:t>
            </w:r>
            <w:r>
              <w:rPr>
                <w:color w:val="auto"/>
              </w:rPr>
              <w:t>nd shipper use in the transfer.</w:t>
            </w:r>
          </w:p>
        </w:tc>
      </w:tr>
      <w:tr w:rsidR="0054148B" w:rsidTr="00F05A74">
        <w:trPr>
          <w:trHeight w:val="142"/>
        </w:trPr>
        <w:tc>
          <w:tcPr>
            <w:tcW w:w="2170" w:type="dxa"/>
          </w:tcPr>
          <w:p w:rsidR="0054148B" w:rsidRPr="00CE5783" w:rsidRDefault="0054148B" w:rsidP="00F05A74">
            <w:pPr>
              <w:pStyle w:val="NormalGS"/>
              <w:rPr>
                <w:color w:val="auto"/>
              </w:rPr>
            </w:pPr>
            <w:r w:rsidRPr="00CE5783">
              <w:rPr>
                <w:color w:val="auto"/>
              </w:rPr>
              <w:t>Meter Serial Number</w:t>
            </w:r>
          </w:p>
        </w:tc>
        <w:tc>
          <w:tcPr>
            <w:tcW w:w="2934" w:type="dxa"/>
          </w:tcPr>
          <w:p w:rsidR="0054148B" w:rsidRPr="00CE5783" w:rsidRDefault="0054148B" w:rsidP="00F05A74">
            <w:pPr>
              <w:pStyle w:val="NormalGS"/>
              <w:rPr>
                <w:color w:val="auto"/>
              </w:rPr>
            </w:pPr>
            <w:r w:rsidRPr="00CE5783">
              <w:rPr>
                <w:color w:val="auto"/>
              </w:rPr>
              <w:t>Identifier for metering equipment at a property</w:t>
            </w:r>
          </w:p>
        </w:tc>
        <w:tc>
          <w:tcPr>
            <w:tcW w:w="4961" w:type="dxa"/>
          </w:tcPr>
          <w:p w:rsidR="0054148B" w:rsidRPr="00CE5783" w:rsidRDefault="0054148B" w:rsidP="00F05A74">
            <w:pPr>
              <w:pStyle w:val="NormalGS"/>
              <w:rPr>
                <w:color w:val="auto"/>
              </w:rPr>
            </w:pPr>
            <w:r w:rsidRPr="00CE5783">
              <w:rPr>
                <w:color w:val="auto"/>
              </w:rPr>
              <w:t>Limited value since not unique, but may assist in triangulation of data.</w:t>
            </w:r>
          </w:p>
          <w:p w:rsidR="0054148B" w:rsidRPr="00CE5783" w:rsidRDefault="0054148B" w:rsidP="00F05A74">
            <w:pPr>
              <w:pStyle w:val="NormalGS"/>
              <w:rPr>
                <w:color w:val="auto"/>
              </w:rPr>
            </w:pPr>
            <w:r w:rsidRPr="00CE5783">
              <w:rPr>
                <w:color w:val="auto"/>
              </w:rPr>
              <w:t>This data item is mandatory in regulated flows for Suppliers, when</w:t>
            </w:r>
            <w:r>
              <w:rPr>
                <w:color w:val="auto"/>
              </w:rPr>
              <w:t xml:space="preserve"> switching a domestic consumer.</w:t>
            </w:r>
          </w:p>
        </w:tc>
      </w:tr>
      <w:tr w:rsidR="0054148B" w:rsidTr="00F05A74">
        <w:trPr>
          <w:trHeight w:val="142"/>
        </w:trPr>
        <w:tc>
          <w:tcPr>
            <w:tcW w:w="2170" w:type="dxa"/>
          </w:tcPr>
          <w:p w:rsidR="0054148B" w:rsidRPr="00CE5783" w:rsidRDefault="0054148B" w:rsidP="00F05A74">
            <w:pPr>
              <w:pStyle w:val="NormalGS"/>
              <w:rPr>
                <w:color w:val="auto"/>
              </w:rPr>
            </w:pPr>
            <w:r w:rsidRPr="00CE5783">
              <w:rPr>
                <w:color w:val="auto"/>
              </w:rPr>
              <w:t>Annual Quantity</w:t>
            </w:r>
          </w:p>
        </w:tc>
        <w:tc>
          <w:tcPr>
            <w:tcW w:w="2934" w:type="dxa"/>
          </w:tcPr>
          <w:p w:rsidR="0054148B" w:rsidRPr="00CE5783" w:rsidRDefault="0054148B" w:rsidP="00F05A74">
            <w:pPr>
              <w:pStyle w:val="NormalGS"/>
              <w:rPr>
                <w:color w:val="auto"/>
              </w:rPr>
            </w:pPr>
            <w:r w:rsidRPr="00CE5783">
              <w:rPr>
                <w:color w:val="auto"/>
              </w:rPr>
              <w:t>Annual quantity of gas assumed to be off taken over a period based on historical information</w:t>
            </w:r>
          </w:p>
        </w:tc>
        <w:tc>
          <w:tcPr>
            <w:tcW w:w="4961" w:type="dxa"/>
          </w:tcPr>
          <w:p w:rsidR="0054148B" w:rsidRPr="00CE5783" w:rsidRDefault="0054148B" w:rsidP="00F05A74">
            <w:pPr>
              <w:pStyle w:val="NormalGS"/>
              <w:rPr>
                <w:color w:val="auto"/>
              </w:rPr>
            </w:pPr>
            <w:r w:rsidRPr="00CE5783">
              <w:rPr>
                <w:color w:val="auto"/>
              </w:rPr>
              <w:t xml:space="preserve">Provides accurate reflection of customer usage. </w:t>
            </w:r>
          </w:p>
          <w:p w:rsidR="0054148B" w:rsidRPr="00CE5783" w:rsidRDefault="0054148B" w:rsidP="00F05A74">
            <w:pPr>
              <w:pStyle w:val="NormalGS"/>
              <w:rPr>
                <w:color w:val="auto"/>
              </w:rPr>
            </w:pPr>
            <w:r w:rsidRPr="00CE5783">
              <w:rPr>
                <w:color w:val="auto"/>
              </w:rPr>
              <w:t>This data item is mandatory in regulated flows for Suppliers, when switching a domestic consumer.</w:t>
            </w:r>
          </w:p>
        </w:tc>
      </w:tr>
      <w:tr w:rsidR="0054148B" w:rsidTr="00F05A74">
        <w:trPr>
          <w:trHeight w:val="142"/>
        </w:trPr>
        <w:tc>
          <w:tcPr>
            <w:tcW w:w="2170" w:type="dxa"/>
          </w:tcPr>
          <w:p w:rsidR="0054148B" w:rsidRPr="00CE5783" w:rsidRDefault="0054148B" w:rsidP="00F05A74">
            <w:pPr>
              <w:pStyle w:val="NormalGS"/>
              <w:rPr>
                <w:color w:val="auto"/>
              </w:rPr>
            </w:pPr>
            <w:r w:rsidRPr="00CE5783">
              <w:rPr>
                <w:color w:val="auto"/>
              </w:rPr>
              <w:t>Local Distribution Zone</w:t>
            </w:r>
          </w:p>
        </w:tc>
        <w:tc>
          <w:tcPr>
            <w:tcW w:w="2934" w:type="dxa"/>
          </w:tcPr>
          <w:p w:rsidR="0054148B" w:rsidRPr="00CE5783" w:rsidRDefault="0054148B" w:rsidP="00F05A74">
            <w:pPr>
              <w:pStyle w:val="NormalGS"/>
              <w:rPr>
                <w:color w:val="auto"/>
              </w:rPr>
            </w:pPr>
            <w:r w:rsidRPr="00CE5783">
              <w:rPr>
                <w:color w:val="auto"/>
              </w:rPr>
              <w:t>This is a discrete gas system supplying gas to a region,</w:t>
            </w:r>
          </w:p>
        </w:tc>
        <w:tc>
          <w:tcPr>
            <w:tcW w:w="4961" w:type="dxa"/>
          </w:tcPr>
          <w:p w:rsidR="0054148B" w:rsidRPr="00CE5783" w:rsidRDefault="0054148B" w:rsidP="00F05A74">
            <w:pPr>
              <w:pStyle w:val="NormalGS"/>
              <w:rPr>
                <w:color w:val="auto"/>
              </w:rPr>
            </w:pPr>
            <w:r w:rsidRPr="00CE5783">
              <w:rPr>
                <w:color w:val="auto"/>
              </w:rPr>
              <w:t>For Supplier and shipper use in the transfer.</w:t>
            </w:r>
          </w:p>
          <w:p w:rsidR="0054148B" w:rsidRPr="00CE5783" w:rsidRDefault="0054148B" w:rsidP="00F05A74">
            <w:pPr>
              <w:pStyle w:val="NormalGS"/>
              <w:rPr>
                <w:color w:val="auto"/>
              </w:rPr>
            </w:pPr>
            <w:r w:rsidRPr="00CE5783">
              <w:rPr>
                <w:color w:val="auto"/>
              </w:rPr>
              <w:t>This is useful for Supplier a</w:t>
            </w:r>
            <w:r>
              <w:rPr>
                <w:color w:val="auto"/>
              </w:rPr>
              <w:t>nd shipper use in the transfer.</w:t>
            </w:r>
          </w:p>
        </w:tc>
      </w:tr>
      <w:tr w:rsidR="0054148B" w:rsidTr="00F05A74">
        <w:trPr>
          <w:trHeight w:val="142"/>
        </w:trPr>
        <w:tc>
          <w:tcPr>
            <w:tcW w:w="2170" w:type="dxa"/>
          </w:tcPr>
          <w:p w:rsidR="0054148B" w:rsidRPr="00CE5783" w:rsidRDefault="0054148B" w:rsidP="00F05A74">
            <w:pPr>
              <w:pStyle w:val="NormalGS"/>
              <w:rPr>
                <w:color w:val="auto"/>
              </w:rPr>
            </w:pPr>
            <w:r w:rsidRPr="00CE5783">
              <w:rPr>
                <w:color w:val="auto"/>
              </w:rPr>
              <w:t>Smart Meter Equipment Technical code</w:t>
            </w:r>
          </w:p>
        </w:tc>
        <w:tc>
          <w:tcPr>
            <w:tcW w:w="2934" w:type="dxa"/>
          </w:tcPr>
          <w:p w:rsidR="0054148B" w:rsidRPr="00CE5783" w:rsidRDefault="0054148B" w:rsidP="00F05A74">
            <w:pPr>
              <w:pStyle w:val="NormalGS"/>
              <w:rPr>
                <w:color w:val="auto"/>
              </w:rPr>
            </w:pPr>
            <w:r w:rsidRPr="00CE5783">
              <w:rPr>
                <w:color w:val="auto"/>
              </w:rPr>
              <w:t>Specification id of the smart meter</w:t>
            </w:r>
          </w:p>
        </w:tc>
        <w:tc>
          <w:tcPr>
            <w:tcW w:w="4961" w:type="dxa"/>
          </w:tcPr>
          <w:p w:rsidR="0054148B" w:rsidRPr="00CE5783" w:rsidRDefault="0054148B" w:rsidP="00F05A74">
            <w:pPr>
              <w:pStyle w:val="NormalGS"/>
              <w:rPr>
                <w:color w:val="auto"/>
              </w:rPr>
            </w:pPr>
            <w:r w:rsidRPr="00CE5783">
              <w:rPr>
                <w:color w:val="auto"/>
              </w:rPr>
              <w:t>For Supplier and shipper use in the transfer.</w:t>
            </w:r>
          </w:p>
          <w:p w:rsidR="0054148B" w:rsidRPr="00CE5783" w:rsidRDefault="0054148B" w:rsidP="00F05A74">
            <w:pPr>
              <w:pStyle w:val="NormalGS"/>
              <w:rPr>
                <w:color w:val="auto"/>
              </w:rPr>
            </w:pPr>
            <w:r w:rsidRPr="00CE5783">
              <w:rPr>
                <w:color w:val="auto"/>
              </w:rPr>
              <w:t>This data item is mandatory in regulated flows for Suppliers, when switching a domestic consumer.</w:t>
            </w:r>
          </w:p>
        </w:tc>
      </w:tr>
    </w:tbl>
    <w:p w:rsidR="00A75D91" w:rsidRDefault="00A75D91" w:rsidP="00057CE3">
      <w:pPr>
        <w:pStyle w:val="ListParagraph"/>
        <w:ind w:left="0"/>
      </w:pPr>
    </w:p>
    <w:p w:rsidR="00A75D91" w:rsidRDefault="00A75D91" w:rsidP="00057CE3">
      <w:pPr>
        <w:pStyle w:val="ListParagraph"/>
        <w:ind w:left="0"/>
      </w:pPr>
    </w:p>
    <w:p w:rsidR="00666823" w:rsidRDefault="00666823" w:rsidP="00666823">
      <w:pPr>
        <w:ind w:left="720"/>
        <w:rPr>
          <w:u w:val="single"/>
        </w:rPr>
      </w:pPr>
      <w:r>
        <w:rPr>
          <w:u w:val="single"/>
        </w:rPr>
        <w:lastRenderedPageBreak/>
        <w:t>Contractual arrangements</w:t>
      </w:r>
    </w:p>
    <w:p w:rsidR="0048650E" w:rsidRDefault="0048650E" w:rsidP="00666823">
      <w:pPr>
        <w:ind w:left="720"/>
      </w:pPr>
      <w:r w:rsidRPr="0057780F">
        <w:t xml:space="preserve">The </w:t>
      </w:r>
      <w:r>
        <w:t xml:space="preserve">following </w:t>
      </w:r>
      <w:r w:rsidRPr="0057780F">
        <w:t xml:space="preserve">contractual arrangements </w:t>
      </w:r>
      <w:r>
        <w:t xml:space="preserve">are </w:t>
      </w:r>
      <w:r w:rsidRPr="002D129A">
        <w:t>in place for the provision of the service</w:t>
      </w:r>
      <w:r w:rsidR="00812CC6">
        <w:t>(s)</w:t>
      </w:r>
      <w:r>
        <w:t xml:space="preserve">. </w:t>
      </w:r>
    </w:p>
    <w:p w:rsidR="0048650E" w:rsidRPr="0057780F" w:rsidRDefault="0048650E" w:rsidP="00666823">
      <w:pPr>
        <w:ind w:left="720"/>
      </w:pPr>
    </w:p>
    <w:p w:rsidR="0048650E" w:rsidRDefault="00B95D09" w:rsidP="00666823">
      <w:pPr>
        <w:ind w:left="720"/>
        <w:rPr>
          <w:u w:val="single"/>
        </w:rPr>
      </w:pPr>
      <w:r>
        <w:object w:dxaOrig="6857" w:dyaOrig="62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28.5pt;height:297.75pt" o:ole="">
            <v:imagedata r:id="rId12" o:title=""/>
          </v:shape>
          <o:OLEObject Type="Embed" ProgID="Visio.Drawing.11" ShapeID="_x0000_i1028" DrawAspect="Content" ObjectID="_1559394355" r:id="rId13"/>
        </w:object>
      </w:r>
    </w:p>
    <w:p w:rsidR="0048650E" w:rsidRDefault="0048650E" w:rsidP="00666823">
      <w:pPr>
        <w:ind w:left="720"/>
        <w:rPr>
          <w:u w:val="single"/>
        </w:rPr>
      </w:pPr>
    </w:p>
    <w:p w:rsidR="00B95A23" w:rsidRPr="00FD6463" w:rsidRDefault="00B95A23" w:rsidP="00057CE3">
      <w:pPr>
        <w:tabs>
          <w:tab w:val="left" w:pos="1950"/>
          <w:tab w:val="center" w:pos="5282"/>
        </w:tabs>
        <w:ind w:left="720"/>
        <w:rPr>
          <w:u w:val="single"/>
        </w:rPr>
      </w:pPr>
      <w:r w:rsidRPr="00C55E28">
        <w:rPr>
          <w:u w:val="single"/>
        </w:rPr>
        <w:t>Use and deletion of personal data</w:t>
      </w:r>
      <w:r w:rsidR="0054148B">
        <w:rPr>
          <w:u w:val="single"/>
        </w:rPr>
        <w:tab/>
      </w:r>
    </w:p>
    <w:p w:rsidR="00654AD3" w:rsidRPr="00FD6463" w:rsidRDefault="00706F14" w:rsidP="00BF6751">
      <w:pPr>
        <w:tabs>
          <w:tab w:val="left" w:pos="1950"/>
        </w:tabs>
        <w:ind w:left="720"/>
      </w:pPr>
      <w:r w:rsidRPr="00FD6463">
        <w:t xml:space="preserve">Data accessed by a PCW via </w:t>
      </w:r>
      <w:r w:rsidR="00017AD0">
        <w:t>a possible telephone service and an API service</w:t>
      </w:r>
      <w:r w:rsidR="00017AD0" w:rsidRPr="00FD6463">
        <w:t xml:space="preserve"> </w:t>
      </w:r>
      <w:r w:rsidRPr="00FD6463">
        <w:t>should be in line with</w:t>
      </w:r>
      <w:r w:rsidR="00FD6463" w:rsidRPr="00FD6463">
        <w:t xml:space="preserve"> the</w:t>
      </w:r>
      <w:r w:rsidR="00654AD3" w:rsidRPr="00FD6463">
        <w:t xml:space="preserve"> intended purpose of the CMA order. This is considered to be</w:t>
      </w:r>
      <w:r w:rsidR="00041A17">
        <w:t>,</w:t>
      </w:r>
      <w:r w:rsidR="00654AD3" w:rsidRPr="00FD6463">
        <w:t xml:space="preserve"> to facilita</w:t>
      </w:r>
      <w:r w:rsidR="00FD6463" w:rsidRPr="00FD6463">
        <w:t xml:space="preserve">te a domestic consumer switch. </w:t>
      </w:r>
      <w:r w:rsidR="00654AD3" w:rsidRPr="00FD6463">
        <w:t xml:space="preserve">Modification 0593 </w:t>
      </w:r>
      <w:r w:rsidR="00B95D09">
        <w:t xml:space="preserve">/ iGT Modification 095 </w:t>
      </w:r>
      <w:r w:rsidR="00654AD3" w:rsidRPr="00FD6463">
        <w:t xml:space="preserve">and </w:t>
      </w:r>
      <w:r w:rsidR="00FF6A94">
        <w:t>contractual</w:t>
      </w:r>
      <w:r w:rsidR="00654AD3" w:rsidRPr="00FD6463">
        <w:t xml:space="preserve"> agreements between Xoserve and PCWs</w:t>
      </w:r>
      <w:r w:rsidR="00FD6463" w:rsidRPr="00FD6463">
        <w:t xml:space="preserve"> specify this to be the permitted purpose to access data</w:t>
      </w:r>
      <w:r w:rsidR="00017AD0">
        <w:t>.</w:t>
      </w:r>
      <w:r w:rsidR="00654AD3" w:rsidRPr="00FD6463">
        <w:t>.</w:t>
      </w:r>
    </w:p>
    <w:p w:rsidR="00654AD3" w:rsidRDefault="00654AD3" w:rsidP="00BF6751">
      <w:pPr>
        <w:tabs>
          <w:tab w:val="left" w:pos="1950"/>
        </w:tabs>
        <w:ind w:left="720"/>
        <w:rPr>
          <w:highlight w:val="yellow"/>
        </w:rPr>
      </w:pPr>
    </w:p>
    <w:p w:rsidR="00654AD3" w:rsidRDefault="00654AD3" w:rsidP="00BF6751">
      <w:pPr>
        <w:tabs>
          <w:tab w:val="left" w:pos="1950"/>
        </w:tabs>
        <w:ind w:left="720"/>
      </w:pPr>
      <w:r w:rsidRPr="00FD6463">
        <w:t xml:space="preserve">The retention and deletion of data </w:t>
      </w:r>
      <w:r w:rsidR="00FF6A94">
        <w:t>will not be visible to Industry participants therefore contractual arrangements between Xoserve and PCWs will specify</w:t>
      </w:r>
      <w:r w:rsidRPr="00FD6463">
        <w:t xml:space="preserve"> </w:t>
      </w:r>
      <w:r w:rsidR="00FD6463">
        <w:t xml:space="preserve">the </w:t>
      </w:r>
      <w:r w:rsidR="00FF6A94">
        <w:t xml:space="preserve">need for; </w:t>
      </w:r>
      <w:r w:rsidR="00FD6463" w:rsidRPr="00FD6463">
        <w:t>maintena</w:t>
      </w:r>
      <w:r w:rsidR="00FD6463">
        <w:t>nce of</w:t>
      </w:r>
      <w:r w:rsidR="00FD6463" w:rsidRPr="00FD6463">
        <w:t xml:space="preserve"> appropriate technical and organisational measures </w:t>
      </w:r>
      <w:r w:rsidR="00FD6463">
        <w:t>in</w:t>
      </w:r>
      <w:r w:rsidR="00FF6A94">
        <w:t xml:space="preserve"> </w:t>
      </w:r>
      <w:r w:rsidR="00FF6A94" w:rsidRPr="00FD6463">
        <w:t xml:space="preserve">line with </w:t>
      </w:r>
      <w:r w:rsidR="00FF6A94">
        <w:t xml:space="preserve">the relevant </w:t>
      </w:r>
      <w:r w:rsidR="00FF6A94" w:rsidRPr="00FD6463">
        <w:t>DPA</w:t>
      </w:r>
      <w:r w:rsidR="00FF6A94">
        <w:t xml:space="preserve"> legislations that</w:t>
      </w:r>
      <w:r w:rsidR="00FD6463" w:rsidRPr="00FD6463">
        <w:t xml:space="preserve"> prevent any unauthorised or </w:t>
      </w:r>
      <w:r w:rsidR="00FD6463">
        <w:t xml:space="preserve">unlawful processing of </w:t>
      </w:r>
      <w:r w:rsidR="00FF6A94">
        <w:t>d</w:t>
      </w:r>
      <w:r w:rsidR="00FD6463">
        <w:t>ata.</w:t>
      </w:r>
    </w:p>
    <w:p w:rsidR="00FD6463" w:rsidRDefault="00FD6463" w:rsidP="00BF6751">
      <w:pPr>
        <w:tabs>
          <w:tab w:val="left" w:pos="1950"/>
        </w:tabs>
        <w:ind w:left="720"/>
        <w:rPr>
          <w:highlight w:val="yellow"/>
        </w:rPr>
      </w:pPr>
    </w:p>
    <w:p w:rsidR="003510CA" w:rsidRPr="00FD6463" w:rsidRDefault="00654AD3" w:rsidP="00BF6751">
      <w:pPr>
        <w:tabs>
          <w:tab w:val="left" w:pos="1950"/>
        </w:tabs>
        <w:ind w:left="720"/>
      </w:pPr>
      <w:r w:rsidRPr="00FD6463">
        <w:t>It is estimated that approximately 3 million domestic customers change gas supplier</w:t>
      </w:r>
      <w:r w:rsidR="00FD6463">
        <w:t xml:space="preserve"> per year. </w:t>
      </w:r>
      <w:r w:rsidR="00116937">
        <w:t>(Please note -</w:t>
      </w:r>
      <w:r w:rsidR="00FD6463">
        <w:t xml:space="preserve"> it cannot be determined how many of these customers utilise a PCW</w:t>
      </w:r>
      <w:r w:rsidR="00FF6A94">
        <w:t>)</w:t>
      </w:r>
      <w:r w:rsidR="00FD6463">
        <w:t>.</w:t>
      </w:r>
      <w:r w:rsidR="00FF6A94">
        <w:t xml:space="preserve"> </w:t>
      </w:r>
    </w:p>
    <w:p w:rsidR="00BF6751" w:rsidRDefault="00BF6751" w:rsidP="002D2264">
      <w:pPr>
        <w:rPr>
          <w:u w:val="single"/>
        </w:rPr>
      </w:pPr>
    </w:p>
    <w:p w:rsidR="00FF6A94" w:rsidRDefault="00FF6A94" w:rsidP="00FF6A94">
      <w:pPr>
        <w:pStyle w:val="ListParagraph"/>
        <w:numPr>
          <w:ilvl w:val="0"/>
          <w:numId w:val="20"/>
        </w:numPr>
        <w:jc w:val="left"/>
        <w:rPr>
          <w:b/>
        </w:rPr>
      </w:pPr>
      <w:r>
        <w:rPr>
          <w:b/>
        </w:rPr>
        <w:t>Explain what practical steps you will take to ensure that you identify and address privacy risks. Who should be consulted, internally</w:t>
      </w:r>
      <w:r w:rsidR="005771BE">
        <w:rPr>
          <w:b/>
        </w:rPr>
        <w:t xml:space="preserve"> and externally? How will you carry out the consultation? You should link this to the relevant stages of your project management process.</w:t>
      </w:r>
    </w:p>
    <w:p w:rsidR="005771BE" w:rsidRDefault="005771BE" w:rsidP="005771BE">
      <w:pPr>
        <w:pStyle w:val="ListParagraph"/>
      </w:pPr>
    </w:p>
    <w:p w:rsidR="005771BE" w:rsidRDefault="005771BE" w:rsidP="005771BE">
      <w:pPr>
        <w:pStyle w:val="ListParagraph"/>
      </w:pPr>
      <w:r w:rsidRPr="007B3086">
        <w:t>T</w:t>
      </w:r>
      <w:r>
        <w:t xml:space="preserve">he </w:t>
      </w:r>
      <w:r w:rsidR="00B95D09">
        <w:t xml:space="preserve">Joint </w:t>
      </w:r>
      <w:r w:rsidR="00B95D09" w:rsidRPr="00FD6463">
        <w:t xml:space="preserve">Modification 0593 </w:t>
      </w:r>
      <w:r w:rsidR="00B95D09">
        <w:t xml:space="preserve">/ iGT Modification 095 </w:t>
      </w:r>
      <w:r w:rsidR="00A90BF0">
        <w:t>working group</w:t>
      </w:r>
      <w:r>
        <w:t xml:space="preserve"> are working </w:t>
      </w:r>
      <w:r w:rsidR="00336C7B">
        <w:t xml:space="preserve">towards the necessary permissions needed in UNC and iGT </w:t>
      </w:r>
      <w:r w:rsidR="00057CE3">
        <w:t>to meet the intent of the CMA order.</w:t>
      </w:r>
      <w:r>
        <w:t xml:space="preserve"> The</w:t>
      </w:r>
      <w:r w:rsidR="00A90BF0">
        <w:t xml:space="preserve"> </w:t>
      </w:r>
      <w:r w:rsidR="00B95D09">
        <w:t xml:space="preserve">Joint </w:t>
      </w:r>
      <w:r w:rsidR="00B95D09" w:rsidRPr="00FD6463">
        <w:t xml:space="preserve">Modification 0593 </w:t>
      </w:r>
      <w:r w:rsidR="00B95D09">
        <w:t xml:space="preserve">/ iGT Modification 095 </w:t>
      </w:r>
      <w:r w:rsidR="007B5760">
        <w:t xml:space="preserve">Workgroup </w:t>
      </w:r>
      <w:r w:rsidR="00041A17">
        <w:t>are</w:t>
      </w:r>
      <w:r w:rsidR="00A90BF0">
        <w:t xml:space="preserve"> </w:t>
      </w:r>
      <w:r w:rsidR="000E5A3C">
        <w:t>responsible</w:t>
      </w:r>
      <w:r w:rsidR="00E61D07">
        <w:t xml:space="preserve"> </w:t>
      </w:r>
      <w:r w:rsidR="000E5A3C">
        <w:t xml:space="preserve">for </w:t>
      </w:r>
      <w:r w:rsidR="00A90BF0">
        <w:t xml:space="preserve">the PIA. </w:t>
      </w:r>
    </w:p>
    <w:p w:rsidR="00A90BF0" w:rsidRDefault="00A90BF0" w:rsidP="005771BE">
      <w:pPr>
        <w:pStyle w:val="ListParagraph"/>
      </w:pPr>
    </w:p>
    <w:p w:rsidR="000E5A3C" w:rsidRDefault="000E5A3C" w:rsidP="005771BE">
      <w:pPr>
        <w:pStyle w:val="ListParagraph"/>
      </w:pPr>
      <w:r>
        <w:t>Consultation of the PIA will be carried out via the</w:t>
      </w:r>
      <w:r w:rsidR="00E61D07">
        <w:t xml:space="preserve"> UNC</w:t>
      </w:r>
      <w:r>
        <w:t xml:space="preserve"> Modification process</w:t>
      </w:r>
      <w:r w:rsidR="002D129A">
        <w:t xml:space="preserve">, as the </w:t>
      </w:r>
      <w:r w:rsidR="00E61D07">
        <w:t>PIA</w:t>
      </w:r>
      <w:r w:rsidR="002D129A">
        <w:t xml:space="preserve"> will form</w:t>
      </w:r>
      <w:r w:rsidR="00E61D07">
        <w:t xml:space="preserve"> part of </w:t>
      </w:r>
      <w:r w:rsidR="00B95D09">
        <w:t xml:space="preserve">Joint </w:t>
      </w:r>
      <w:r w:rsidR="00B95D09" w:rsidRPr="00FD6463">
        <w:t xml:space="preserve">Modification 0593 </w:t>
      </w:r>
      <w:r w:rsidR="00B95D09">
        <w:t xml:space="preserve">/ iGT Modification 095 </w:t>
      </w:r>
      <w:r w:rsidR="00E61D07">
        <w:t>- Final Modification Report.</w:t>
      </w:r>
    </w:p>
    <w:p w:rsidR="00E61D07" w:rsidRDefault="00E61D07" w:rsidP="00E61D07">
      <w:pPr>
        <w:jc w:val="left"/>
        <w:rPr>
          <w:sz w:val="28"/>
          <w:szCs w:val="28"/>
        </w:rPr>
      </w:pPr>
    </w:p>
    <w:p w:rsidR="00A75D91" w:rsidRDefault="00A75D91" w:rsidP="00E61D07">
      <w:pPr>
        <w:jc w:val="left"/>
        <w:rPr>
          <w:sz w:val="28"/>
          <w:szCs w:val="28"/>
        </w:rPr>
      </w:pPr>
    </w:p>
    <w:p w:rsidR="00E61D07" w:rsidRDefault="00E61D07" w:rsidP="00E61D07">
      <w:pPr>
        <w:jc w:val="left"/>
        <w:rPr>
          <w:sz w:val="28"/>
          <w:szCs w:val="28"/>
        </w:rPr>
      </w:pPr>
      <w:r>
        <w:rPr>
          <w:sz w:val="28"/>
          <w:szCs w:val="28"/>
        </w:rPr>
        <w:lastRenderedPageBreak/>
        <w:t>PART THREE</w:t>
      </w:r>
    </w:p>
    <w:p w:rsidR="00E61D07" w:rsidRDefault="00E61D07" w:rsidP="0057780F">
      <w:pPr>
        <w:pStyle w:val="ListParagraph"/>
        <w:numPr>
          <w:ilvl w:val="0"/>
          <w:numId w:val="29"/>
        </w:numPr>
        <w:jc w:val="left"/>
        <w:rPr>
          <w:b/>
        </w:rPr>
      </w:pPr>
      <w:r w:rsidRPr="0057780F">
        <w:rPr>
          <w:b/>
        </w:rPr>
        <w:t>Identi</w:t>
      </w:r>
      <w:r w:rsidRPr="002D129A">
        <w:rPr>
          <w:b/>
        </w:rPr>
        <w:t>fy the key privacy risks and the associated compliance and corporate risks. Larger scale PIAs might record this information on a more formal risk register</w:t>
      </w:r>
      <w:r>
        <w:rPr>
          <w:b/>
        </w:rPr>
        <w:t xml:space="preserve">. </w:t>
      </w:r>
    </w:p>
    <w:p w:rsidR="00E61D07" w:rsidRPr="00603AF7" w:rsidRDefault="00E61D07" w:rsidP="00E61D07">
      <w:pPr>
        <w:pStyle w:val="ListParagraph"/>
        <w:numPr>
          <w:ilvl w:val="0"/>
          <w:numId w:val="29"/>
        </w:numPr>
        <w:jc w:val="left"/>
        <w:rPr>
          <w:b/>
        </w:rPr>
      </w:pPr>
      <w:r w:rsidRPr="00603AF7">
        <w:rPr>
          <w:b/>
        </w:rPr>
        <w:t>Describe the actions you could take to reduce the risks, and any future steps which would be necessary (e.g. the production of new guidance or future security testing for systems).</w:t>
      </w:r>
    </w:p>
    <w:p w:rsidR="00E61D07" w:rsidRDefault="00E61D07" w:rsidP="005771BE">
      <w:pPr>
        <w:pStyle w:val="ListParagraph"/>
      </w:pPr>
    </w:p>
    <w:tbl>
      <w:tblPr>
        <w:tblStyle w:val="TableGrid"/>
        <w:tblW w:w="0" w:type="auto"/>
        <w:tblInd w:w="-34" w:type="dxa"/>
        <w:tblLook w:val="04A0" w:firstRow="1" w:lastRow="0" w:firstColumn="1" w:lastColumn="0" w:noHBand="0" w:noVBand="1"/>
      </w:tblPr>
      <w:tblGrid>
        <w:gridCol w:w="1811"/>
        <w:gridCol w:w="1166"/>
        <w:gridCol w:w="1780"/>
        <w:gridCol w:w="2086"/>
        <w:gridCol w:w="1328"/>
        <w:gridCol w:w="1924"/>
      </w:tblGrid>
      <w:tr w:rsidR="0011398C" w:rsidRPr="00B3079E" w:rsidTr="0011398C">
        <w:trPr>
          <w:trHeight w:val="605"/>
        </w:trPr>
        <w:tc>
          <w:tcPr>
            <w:tcW w:w="1811" w:type="dxa"/>
            <w:shd w:val="clear" w:color="auto" w:fill="00B0F0"/>
          </w:tcPr>
          <w:p w:rsidR="006A0248" w:rsidRPr="00B3079E" w:rsidRDefault="006A0248" w:rsidP="00116937">
            <w:pPr>
              <w:pStyle w:val="NormalGS"/>
              <w:rPr>
                <w:b/>
                <w:color w:val="FFFFFF" w:themeColor="background1"/>
              </w:rPr>
            </w:pPr>
            <w:r>
              <w:rPr>
                <w:b/>
                <w:color w:val="FFFFFF" w:themeColor="background1"/>
              </w:rPr>
              <w:t>DESCRIPTION OF RISKS TO PRIVACY</w:t>
            </w:r>
          </w:p>
        </w:tc>
        <w:tc>
          <w:tcPr>
            <w:tcW w:w="1166" w:type="dxa"/>
            <w:shd w:val="clear" w:color="auto" w:fill="00B0F0"/>
          </w:tcPr>
          <w:p w:rsidR="006A0248" w:rsidRDefault="006A0248" w:rsidP="00116937">
            <w:pPr>
              <w:pStyle w:val="NormalGS"/>
              <w:rPr>
                <w:b/>
                <w:color w:val="FFFFFF" w:themeColor="background1"/>
              </w:rPr>
            </w:pPr>
            <w:r>
              <w:rPr>
                <w:b/>
                <w:color w:val="FFFFFF" w:themeColor="background1"/>
              </w:rPr>
              <w:t>RISK IDENTIED BY</w:t>
            </w:r>
          </w:p>
        </w:tc>
        <w:tc>
          <w:tcPr>
            <w:tcW w:w="1780" w:type="dxa"/>
            <w:shd w:val="clear" w:color="auto" w:fill="00B0F0"/>
          </w:tcPr>
          <w:p w:rsidR="006A0248" w:rsidRDefault="006A0248" w:rsidP="00116937">
            <w:pPr>
              <w:pStyle w:val="NormalGS"/>
              <w:rPr>
                <w:b/>
                <w:color w:val="FFFFFF" w:themeColor="background1"/>
              </w:rPr>
            </w:pPr>
            <w:r>
              <w:rPr>
                <w:b/>
                <w:color w:val="FFFFFF" w:themeColor="background1"/>
              </w:rPr>
              <w:t>RISK ASSOCIATED TO; INDIVIDUAL, COMPLIANCE, ORGANISATION / CORPORATE RISK</w:t>
            </w:r>
          </w:p>
        </w:tc>
        <w:tc>
          <w:tcPr>
            <w:tcW w:w="2086" w:type="dxa"/>
            <w:shd w:val="clear" w:color="auto" w:fill="00B0F0"/>
          </w:tcPr>
          <w:p w:rsidR="006A0248" w:rsidRPr="00B3079E" w:rsidRDefault="006A0248" w:rsidP="00116937">
            <w:pPr>
              <w:pStyle w:val="NormalGS"/>
              <w:rPr>
                <w:b/>
                <w:color w:val="FFFFFF" w:themeColor="background1"/>
              </w:rPr>
            </w:pPr>
            <w:r>
              <w:rPr>
                <w:b/>
                <w:color w:val="FFFFFF" w:themeColor="background1"/>
              </w:rPr>
              <w:t>PROPOSED SOLUTION</w:t>
            </w:r>
          </w:p>
        </w:tc>
        <w:tc>
          <w:tcPr>
            <w:tcW w:w="1328" w:type="dxa"/>
            <w:shd w:val="clear" w:color="auto" w:fill="00B0F0"/>
          </w:tcPr>
          <w:p w:rsidR="006A0248" w:rsidRPr="00B3079E" w:rsidRDefault="006A0248" w:rsidP="000E338B">
            <w:pPr>
              <w:pStyle w:val="NormalGS"/>
              <w:jc w:val="both"/>
              <w:rPr>
                <w:b/>
                <w:color w:val="FFFFFF" w:themeColor="background1"/>
              </w:rPr>
            </w:pPr>
            <w:r>
              <w:rPr>
                <w:b/>
                <w:color w:val="FFFFFF" w:themeColor="background1"/>
              </w:rPr>
              <w:t>RISKS ELIMINATED / REDUCED OR ACCEPTED.</w:t>
            </w:r>
          </w:p>
        </w:tc>
        <w:tc>
          <w:tcPr>
            <w:tcW w:w="1924" w:type="dxa"/>
            <w:shd w:val="clear" w:color="auto" w:fill="00B0F0"/>
          </w:tcPr>
          <w:p w:rsidR="006A0248" w:rsidRPr="00B3079E" w:rsidRDefault="006A0248" w:rsidP="00116937">
            <w:pPr>
              <w:pStyle w:val="NormalGS"/>
              <w:rPr>
                <w:b/>
                <w:color w:val="FFFFFF" w:themeColor="background1"/>
              </w:rPr>
            </w:pPr>
            <w:r>
              <w:rPr>
                <w:b/>
                <w:color w:val="FFFFFF" w:themeColor="background1"/>
              </w:rPr>
              <w:t>IS THE SOLUTION A JUSTIFIED, COMPLIANT AND PROPORIONATE RESPONSE TO THE AIMS OF THE PROJECT</w:t>
            </w:r>
          </w:p>
        </w:tc>
      </w:tr>
      <w:tr w:rsidR="00E315AC" w:rsidRPr="008E2837" w:rsidTr="0011398C">
        <w:trPr>
          <w:trHeight w:val="1209"/>
        </w:trPr>
        <w:tc>
          <w:tcPr>
            <w:tcW w:w="1811" w:type="dxa"/>
          </w:tcPr>
          <w:p w:rsidR="008D24B9" w:rsidRDefault="00982AAE" w:rsidP="002D129A">
            <w:pPr>
              <w:pStyle w:val="NormalGS"/>
              <w:rPr>
                <w:color w:val="auto"/>
              </w:rPr>
            </w:pPr>
            <w:r>
              <w:rPr>
                <w:color w:val="auto"/>
              </w:rPr>
              <w:t>R</w:t>
            </w:r>
            <w:r w:rsidR="008D24B9">
              <w:rPr>
                <w:color w:val="auto"/>
              </w:rPr>
              <w:t>eporting around access</w:t>
            </w:r>
            <w:r w:rsidR="00A75D91">
              <w:rPr>
                <w:color w:val="auto"/>
              </w:rPr>
              <w:t xml:space="preserve"> </w:t>
            </w:r>
            <w:r w:rsidR="008D24B9">
              <w:rPr>
                <w:color w:val="auto"/>
              </w:rPr>
              <w:t xml:space="preserve">and use of the data for its intended purposes </w:t>
            </w:r>
            <w:r>
              <w:rPr>
                <w:color w:val="auto"/>
              </w:rPr>
              <w:t xml:space="preserve">is required </w:t>
            </w:r>
            <w:r w:rsidR="008D24B9">
              <w:rPr>
                <w:color w:val="auto"/>
              </w:rPr>
              <w:t xml:space="preserve">i.e. auditing measures to ensure customer data is not misused </w:t>
            </w:r>
          </w:p>
        </w:tc>
        <w:tc>
          <w:tcPr>
            <w:tcW w:w="1166" w:type="dxa"/>
          </w:tcPr>
          <w:p w:rsidR="002C7851" w:rsidRDefault="008D24B9" w:rsidP="00116937">
            <w:pPr>
              <w:pStyle w:val="NormalGS"/>
              <w:rPr>
                <w:color w:val="auto"/>
              </w:rPr>
            </w:pPr>
            <w:r>
              <w:rPr>
                <w:color w:val="auto"/>
              </w:rPr>
              <w:t>SS</w:t>
            </w:r>
            <w:r w:rsidR="002C7851">
              <w:rPr>
                <w:color w:val="auto"/>
              </w:rPr>
              <w:t>E</w:t>
            </w:r>
          </w:p>
          <w:p w:rsidR="002C7851" w:rsidRDefault="002C29FA" w:rsidP="002D129A">
            <w:pPr>
              <w:pStyle w:val="NormalGS"/>
              <w:rPr>
                <w:color w:val="auto"/>
              </w:rPr>
            </w:pPr>
            <w:r>
              <w:rPr>
                <w:color w:val="auto"/>
              </w:rPr>
              <w:t>EDF</w:t>
            </w:r>
            <w:r w:rsidR="00BF6618">
              <w:rPr>
                <w:color w:val="auto"/>
              </w:rPr>
              <w:t xml:space="preserve"> </w:t>
            </w:r>
          </w:p>
          <w:p w:rsidR="002C7851" w:rsidRDefault="00BF6618">
            <w:pPr>
              <w:pStyle w:val="NormalGS"/>
              <w:rPr>
                <w:color w:val="auto"/>
                <w:lang w:eastAsia="en-US"/>
              </w:rPr>
            </w:pPr>
            <w:r>
              <w:rPr>
                <w:color w:val="auto"/>
              </w:rPr>
              <w:t>EON</w:t>
            </w:r>
          </w:p>
          <w:p w:rsidR="008D24B9" w:rsidRDefault="002C7851">
            <w:pPr>
              <w:pStyle w:val="NormalGS"/>
              <w:rPr>
                <w:color w:val="auto"/>
              </w:rPr>
            </w:pPr>
            <w:r>
              <w:rPr>
                <w:color w:val="auto"/>
              </w:rPr>
              <w:t>British Gas CAB (to a degree)</w:t>
            </w:r>
          </w:p>
          <w:p w:rsidR="00890793" w:rsidRDefault="00890793">
            <w:pPr>
              <w:pStyle w:val="NormalGS"/>
              <w:rPr>
                <w:color w:val="auto"/>
              </w:rPr>
            </w:pPr>
            <w:r>
              <w:rPr>
                <w:color w:val="auto"/>
              </w:rPr>
              <w:t>Npower</w:t>
            </w:r>
          </w:p>
          <w:p w:rsidR="00890793" w:rsidRDefault="00890793">
            <w:pPr>
              <w:pStyle w:val="NormalGS"/>
              <w:rPr>
                <w:color w:val="auto"/>
                <w:lang w:eastAsia="en-US"/>
              </w:rPr>
            </w:pPr>
            <w:r>
              <w:rPr>
                <w:color w:val="auto"/>
              </w:rPr>
              <w:t>ESPUG</w:t>
            </w:r>
          </w:p>
        </w:tc>
        <w:tc>
          <w:tcPr>
            <w:tcW w:w="1780" w:type="dxa"/>
          </w:tcPr>
          <w:p w:rsidR="002D129A" w:rsidRDefault="002D129A" w:rsidP="00116937">
            <w:pPr>
              <w:pStyle w:val="NormalGS"/>
              <w:rPr>
                <w:color w:val="auto"/>
              </w:rPr>
            </w:pPr>
          </w:p>
        </w:tc>
        <w:tc>
          <w:tcPr>
            <w:tcW w:w="2086" w:type="dxa"/>
          </w:tcPr>
          <w:p w:rsidR="00404A34" w:rsidRPr="00E7360A" w:rsidRDefault="00982AAE">
            <w:pPr>
              <w:pStyle w:val="NormalGS"/>
              <w:rPr>
                <w:color w:val="auto"/>
                <w:lang w:eastAsia="en-US"/>
              </w:rPr>
            </w:pPr>
            <w:r>
              <w:rPr>
                <w:color w:val="auto"/>
              </w:rPr>
              <w:t xml:space="preserve"> An API solution will enable monitoring of transactions</w:t>
            </w:r>
            <w:r w:rsidR="00404A34">
              <w:rPr>
                <w:color w:val="auto"/>
              </w:rPr>
              <w:t xml:space="preserve"> to enable assurance that data is being accessed for its intended purposes.  Via a telephone service, information will be retained on individual queries to enable auditing.</w:t>
            </w:r>
          </w:p>
        </w:tc>
        <w:tc>
          <w:tcPr>
            <w:tcW w:w="1328" w:type="dxa"/>
          </w:tcPr>
          <w:p w:rsidR="008D24B9" w:rsidRPr="008E2837" w:rsidRDefault="008D24B9" w:rsidP="00116937">
            <w:pPr>
              <w:pStyle w:val="NormalGS"/>
              <w:rPr>
                <w:color w:val="auto"/>
              </w:rPr>
            </w:pPr>
          </w:p>
        </w:tc>
        <w:tc>
          <w:tcPr>
            <w:tcW w:w="1924" w:type="dxa"/>
          </w:tcPr>
          <w:p w:rsidR="008D24B9" w:rsidRPr="008E2837" w:rsidRDefault="008D24B9" w:rsidP="0057780F">
            <w:pPr>
              <w:pStyle w:val="BodyText"/>
              <w:overflowPunct/>
              <w:autoSpaceDE/>
              <w:autoSpaceDN/>
              <w:adjustRightInd/>
              <w:spacing w:before="0" w:line="276" w:lineRule="auto"/>
              <w:jc w:val="left"/>
              <w:textAlignment w:val="auto"/>
              <w:rPr>
                <w:lang w:eastAsia="en-US"/>
              </w:rPr>
            </w:pPr>
          </w:p>
        </w:tc>
      </w:tr>
      <w:tr w:rsidR="00E315AC" w:rsidRPr="008E2837" w:rsidTr="0011398C">
        <w:trPr>
          <w:trHeight w:val="1209"/>
        </w:trPr>
        <w:tc>
          <w:tcPr>
            <w:tcW w:w="1811" w:type="dxa"/>
          </w:tcPr>
          <w:p w:rsidR="008D24B9" w:rsidRDefault="00161D0C">
            <w:pPr>
              <w:pStyle w:val="NormalGS"/>
              <w:rPr>
                <w:color w:val="auto"/>
                <w:lang w:eastAsia="en-US"/>
              </w:rPr>
            </w:pPr>
            <w:r>
              <w:rPr>
                <w:color w:val="auto"/>
              </w:rPr>
              <w:t xml:space="preserve">Data related to those customer types mentioned within the CMA report should </w:t>
            </w:r>
            <w:r w:rsidR="002D129A">
              <w:rPr>
                <w:color w:val="auto"/>
              </w:rPr>
              <w:t xml:space="preserve">only </w:t>
            </w:r>
            <w:r>
              <w:rPr>
                <w:color w:val="auto"/>
              </w:rPr>
              <w:t>be accessed</w:t>
            </w:r>
            <w:r w:rsidR="00BF6618">
              <w:rPr>
                <w:color w:val="auto"/>
              </w:rPr>
              <w:t xml:space="preserve">, the solution </w:t>
            </w:r>
            <w:r w:rsidR="00A75D91">
              <w:rPr>
                <w:color w:val="auto"/>
              </w:rPr>
              <w:t xml:space="preserve">should not </w:t>
            </w:r>
            <w:r w:rsidR="00BF6618">
              <w:rPr>
                <w:color w:val="auto"/>
              </w:rPr>
              <w:t>provide unfettered access to all industry data including non-</w:t>
            </w:r>
            <w:r w:rsidR="002C29FA">
              <w:rPr>
                <w:color w:val="auto"/>
              </w:rPr>
              <w:t>domestic data</w:t>
            </w:r>
          </w:p>
        </w:tc>
        <w:tc>
          <w:tcPr>
            <w:tcW w:w="1166" w:type="dxa"/>
          </w:tcPr>
          <w:p w:rsidR="002C7851" w:rsidRDefault="00161D0C" w:rsidP="00116937">
            <w:pPr>
              <w:pStyle w:val="NormalGS"/>
              <w:rPr>
                <w:color w:val="auto"/>
              </w:rPr>
            </w:pPr>
            <w:r>
              <w:rPr>
                <w:color w:val="auto"/>
              </w:rPr>
              <w:t>SSE</w:t>
            </w:r>
          </w:p>
          <w:p w:rsidR="002C7851" w:rsidRDefault="002C29FA" w:rsidP="00116937">
            <w:pPr>
              <w:pStyle w:val="NormalGS"/>
              <w:rPr>
                <w:color w:val="auto"/>
              </w:rPr>
            </w:pPr>
            <w:r>
              <w:rPr>
                <w:color w:val="auto"/>
              </w:rPr>
              <w:t>EDF</w:t>
            </w:r>
          </w:p>
          <w:p w:rsidR="008D24B9" w:rsidRDefault="00BF6618" w:rsidP="00116937">
            <w:pPr>
              <w:pStyle w:val="NormalGS"/>
              <w:rPr>
                <w:color w:val="auto"/>
              </w:rPr>
            </w:pPr>
            <w:r>
              <w:rPr>
                <w:color w:val="auto"/>
              </w:rPr>
              <w:t>Gazprom EON</w:t>
            </w:r>
          </w:p>
          <w:p w:rsidR="00890793" w:rsidRDefault="00890793" w:rsidP="00116937">
            <w:pPr>
              <w:pStyle w:val="NormalGS"/>
              <w:rPr>
                <w:color w:val="auto"/>
              </w:rPr>
            </w:pPr>
            <w:r>
              <w:rPr>
                <w:color w:val="auto"/>
              </w:rPr>
              <w:t>BU-UK</w:t>
            </w:r>
          </w:p>
          <w:p w:rsidR="00890793" w:rsidRDefault="00890793" w:rsidP="00116937">
            <w:pPr>
              <w:pStyle w:val="NormalGS"/>
              <w:rPr>
                <w:color w:val="auto"/>
              </w:rPr>
            </w:pPr>
            <w:r>
              <w:rPr>
                <w:color w:val="auto"/>
              </w:rPr>
              <w:t>ESPUG</w:t>
            </w:r>
          </w:p>
        </w:tc>
        <w:tc>
          <w:tcPr>
            <w:tcW w:w="1780" w:type="dxa"/>
          </w:tcPr>
          <w:p w:rsidR="008D24B9" w:rsidRDefault="008D24B9" w:rsidP="00116937">
            <w:pPr>
              <w:pStyle w:val="NormalGS"/>
              <w:rPr>
                <w:color w:val="auto"/>
              </w:rPr>
            </w:pPr>
          </w:p>
        </w:tc>
        <w:tc>
          <w:tcPr>
            <w:tcW w:w="2086" w:type="dxa"/>
          </w:tcPr>
          <w:p w:rsidR="008D24B9" w:rsidRPr="00E7360A" w:rsidRDefault="00404A34">
            <w:pPr>
              <w:pStyle w:val="NormalGS"/>
              <w:rPr>
                <w:color w:val="auto"/>
                <w:lang w:eastAsia="en-US"/>
              </w:rPr>
            </w:pPr>
            <w:r>
              <w:rPr>
                <w:color w:val="auto"/>
              </w:rPr>
              <w:t>The API service</w:t>
            </w:r>
            <w:r w:rsidR="00A75D91">
              <w:rPr>
                <w:color w:val="auto"/>
              </w:rPr>
              <w:t xml:space="preserve"> and telephone service will only</w:t>
            </w:r>
            <w:r>
              <w:rPr>
                <w:color w:val="auto"/>
              </w:rPr>
              <w:t xml:space="preserve"> enable access to domestic customer data as specified by the CMA. </w:t>
            </w:r>
          </w:p>
        </w:tc>
        <w:tc>
          <w:tcPr>
            <w:tcW w:w="1328" w:type="dxa"/>
          </w:tcPr>
          <w:p w:rsidR="008D24B9" w:rsidRPr="008E2837" w:rsidRDefault="008D24B9" w:rsidP="00116937">
            <w:pPr>
              <w:pStyle w:val="NormalGS"/>
              <w:rPr>
                <w:color w:val="auto"/>
              </w:rPr>
            </w:pPr>
          </w:p>
        </w:tc>
        <w:tc>
          <w:tcPr>
            <w:tcW w:w="1924" w:type="dxa"/>
          </w:tcPr>
          <w:p w:rsidR="008D24B9" w:rsidRPr="008E2837" w:rsidRDefault="008D24B9" w:rsidP="00116937">
            <w:pPr>
              <w:pStyle w:val="NormalGS"/>
              <w:rPr>
                <w:color w:val="auto"/>
              </w:rPr>
            </w:pPr>
          </w:p>
        </w:tc>
      </w:tr>
      <w:tr w:rsidR="00E315AC" w:rsidRPr="008E2837" w:rsidTr="0011398C">
        <w:trPr>
          <w:trHeight w:val="1209"/>
        </w:trPr>
        <w:tc>
          <w:tcPr>
            <w:tcW w:w="1811" w:type="dxa"/>
          </w:tcPr>
          <w:p w:rsidR="002C29FA" w:rsidRDefault="002C29FA" w:rsidP="00116937">
            <w:pPr>
              <w:pStyle w:val="NormalGS"/>
              <w:rPr>
                <w:color w:val="auto"/>
              </w:rPr>
            </w:pPr>
            <w:r>
              <w:rPr>
                <w:color w:val="auto"/>
              </w:rPr>
              <w:t>Potentially significantly more detailed information than PCWs require to enable customer switching</w:t>
            </w:r>
            <w:r w:rsidR="006041A6">
              <w:rPr>
                <w:color w:val="auto"/>
              </w:rPr>
              <w:t xml:space="preserve"> is available </w:t>
            </w:r>
          </w:p>
        </w:tc>
        <w:tc>
          <w:tcPr>
            <w:tcW w:w="1166" w:type="dxa"/>
          </w:tcPr>
          <w:p w:rsidR="002C7851" w:rsidRDefault="002C29FA" w:rsidP="002D129A">
            <w:pPr>
              <w:pStyle w:val="NormalGS"/>
              <w:rPr>
                <w:color w:val="auto"/>
              </w:rPr>
            </w:pPr>
            <w:r>
              <w:rPr>
                <w:color w:val="auto"/>
              </w:rPr>
              <w:t>EDF</w:t>
            </w:r>
          </w:p>
          <w:p w:rsidR="002C29FA" w:rsidRDefault="002C7851">
            <w:pPr>
              <w:pStyle w:val="NormalGS"/>
              <w:rPr>
                <w:color w:val="auto"/>
                <w:lang w:eastAsia="en-US"/>
              </w:rPr>
            </w:pPr>
            <w:r>
              <w:rPr>
                <w:color w:val="auto"/>
              </w:rPr>
              <w:t>EON</w:t>
            </w:r>
          </w:p>
        </w:tc>
        <w:tc>
          <w:tcPr>
            <w:tcW w:w="1780" w:type="dxa"/>
          </w:tcPr>
          <w:p w:rsidR="002C29FA" w:rsidRDefault="002C29FA" w:rsidP="00116937">
            <w:pPr>
              <w:pStyle w:val="NormalGS"/>
              <w:rPr>
                <w:color w:val="auto"/>
              </w:rPr>
            </w:pPr>
          </w:p>
        </w:tc>
        <w:tc>
          <w:tcPr>
            <w:tcW w:w="2086" w:type="dxa"/>
          </w:tcPr>
          <w:p w:rsidR="00404A34" w:rsidRDefault="00404A34">
            <w:pPr>
              <w:pStyle w:val="NormalGS"/>
              <w:rPr>
                <w:color w:val="auto"/>
              </w:rPr>
            </w:pPr>
            <w:r>
              <w:rPr>
                <w:color w:val="auto"/>
              </w:rPr>
              <w:t>Only the data specified within this PIA will be provided via an API and / or telephone service. There is legitimate justification for each of these data items</w:t>
            </w:r>
            <w:r w:rsidR="00A75D91">
              <w:rPr>
                <w:color w:val="auto"/>
              </w:rPr>
              <w:t xml:space="preserve"> being accessed by PCWs</w:t>
            </w:r>
            <w:r>
              <w:rPr>
                <w:color w:val="auto"/>
              </w:rPr>
              <w:t>.</w:t>
            </w:r>
          </w:p>
          <w:p w:rsidR="002C29FA" w:rsidRPr="00E7360A" w:rsidRDefault="002C29FA">
            <w:pPr>
              <w:pStyle w:val="NormalGS"/>
              <w:rPr>
                <w:color w:val="auto"/>
                <w:lang w:eastAsia="en-US"/>
              </w:rPr>
            </w:pPr>
          </w:p>
        </w:tc>
        <w:tc>
          <w:tcPr>
            <w:tcW w:w="1328" w:type="dxa"/>
          </w:tcPr>
          <w:p w:rsidR="002C29FA" w:rsidRPr="008E2837" w:rsidRDefault="002C29FA" w:rsidP="00116937">
            <w:pPr>
              <w:pStyle w:val="NormalGS"/>
              <w:rPr>
                <w:color w:val="auto"/>
              </w:rPr>
            </w:pPr>
          </w:p>
        </w:tc>
        <w:tc>
          <w:tcPr>
            <w:tcW w:w="1924" w:type="dxa"/>
          </w:tcPr>
          <w:p w:rsidR="002C29FA" w:rsidRPr="008E2837" w:rsidRDefault="002C29FA" w:rsidP="00116937">
            <w:pPr>
              <w:pStyle w:val="NormalGS"/>
              <w:rPr>
                <w:color w:val="auto"/>
              </w:rPr>
            </w:pPr>
          </w:p>
        </w:tc>
      </w:tr>
    </w:tbl>
    <w:p w:rsidR="00116937" w:rsidRDefault="00116937" w:rsidP="005771BE">
      <w:pPr>
        <w:pStyle w:val="ListParagraph"/>
      </w:pPr>
    </w:p>
    <w:p w:rsidR="00A75D91" w:rsidRDefault="00A75D91" w:rsidP="005771BE">
      <w:pPr>
        <w:jc w:val="left"/>
        <w:rPr>
          <w:sz w:val="28"/>
          <w:szCs w:val="28"/>
        </w:rPr>
      </w:pPr>
    </w:p>
    <w:p w:rsidR="005771BE" w:rsidRDefault="00116937" w:rsidP="005771BE">
      <w:pPr>
        <w:jc w:val="left"/>
        <w:rPr>
          <w:sz w:val="28"/>
          <w:szCs w:val="28"/>
        </w:rPr>
      </w:pPr>
      <w:r>
        <w:rPr>
          <w:sz w:val="28"/>
          <w:szCs w:val="28"/>
        </w:rPr>
        <w:t>PART FIVE</w:t>
      </w:r>
    </w:p>
    <w:p w:rsidR="00116937" w:rsidRDefault="00116937" w:rsidP="00116937">
      <w:pPr>
        <w:rPr>
          <w:u w:val="single"/>
        </w:rPr>
      </w:pPr>
    </w:p>
    <w:p w:rsidR="00116937" w:rsidRDefault="00116937" w:rsidP="00116937">
      <w:pPr>
        <w:pStyle w:val="ListParagraph"/>
        <w:numPr>
          <w:ilvl w:val="0"/>
          <w:numId w:val="22"/>
        </w:numPr>
        <w:jc w:val="left"/>
        <w:rPr>
          <w:b/>
        </w:rPr>
      </w:pPr>
      <w:r>
        <w:rPr>
          <w:b/>
        </w:rPr>
        <w:t>Who has approved the privacy risks involved in the project? What solutions need to be implemented?</w:t>
      </w:r>
    </w:p>
    <w:p w:rsidR="00116937" w:rsidRDefault="00116937" w:rsidP="00116937">
      <w:pPr>
        <w:pStyle w:val="ListParagraph"/>
        <w:jc w:val="left"/>
        <w:rPr>
          <w:b/>
        </w:rPr>
      </w:pPr>
    </w:p>
    <w:tbl>
      <w:tblPr>
        <w:tblStyle w:val="TableGrid"/>
        <w:tblW w:w="0" w:type="auto"/>
        <w:tblLook w:val="04A0" w:firstRow="1" w:lastRow="0" w:firstColumn="1" w:lastColumn="0" w:noHBand="0" w:noVBand="1"/>
      </w:tblPr>
      <w:tblGrid>
        <w:gridCol w:w="3239"/>
        <w:gridCol w:w="3411"/>
        <w:gridCol w:w="3411"/>
      </w:tblGrid>
      <w:tr w:rsidR="00116937" w:rsidRPr="002A047F" w:rsidTr="00116937">
        <w:tc>
          <w:tcPr>
            <w:tcW w:w="4551" w:type="dxa"/>
          </w:tcPr>
          <w:p w:rsidR="00116937" w:rsidRPr="002A047F" w:rsidRDefault="00116937" w:rsidP="00116937">
            <w:pPr>
              <w:rPr>
                <w:b/>
              </w:rPr>
            </w:pPr>
            <w:r w:rsidRPr="002A047F">
              <w:rPr>
                <w:b/>
              </w:rPr>
              <w:t>Risk</w:t>
            </w:r>
          </w:p>
        </w:tc>
        <w:tc>
          <w:tcPr>
            <w:tcW w:w="4551" w:type="dxa"/>
          </w:tcPr>
          <w:p w:rsidR="00116937" w:rsidRPr="002A047F" w:rsidRDefault="00116937" w:rsidP="00116937">
            <w:pPr>
              <w:rPr>
                <w:b/>
              </w:rPr>
            </w:pPr>
            <w:r w:rsidRPr="002A047F">
              <w:rPr>
                <w:b/>
              </w:rPr>
              <w:t>Approved solution</w:t>
            </w:r>
          </w:p>
        </w:tc>
        <w:tc>
          <w:tcPr>
            <w:tcW w:w="4552" w:type="dxa"/>
          </w:tcPr>
          <w:p w:rsidR="00116937" w:rsidRPr="002A047F" w:rsidRDefault="00116937" w:rsidP="00116937">
            <w:pPr>
              <w:rPr>
                <w:b/>
              </w:rPr>
            </w:pPr>
            <w:r w:rsidRPr="002A047F">
              <w:rPr>
                <w:b/>
              </w:rPr>
              <w:t>Approved by</w:t>
            </w:r>
          </w:p>
        </w:tc>
      </w:tr>
      <w:tr w:rsidR="00116937" w:rsidTr="00116937">
        <w:tc>
          <w:tcPr>
            <w:tcW w:w="4551" w:type="dxa"/>
          </w:tcPr>
          <w:p w:rsidR="00116937" w:rsidRDefault="00116937" w:rsidP="00116937">
            <w:pPr>
              <w:pStyle w:val="Heading2"/>
              <w:numPr>
                <w:ilvl w:val="0"/>
                <w:numId w:val="0"/>
              </w:numPr>
              <w:jc w:val="left"/>
              <w:outlineLvl w:val="1"/>
            </w:pPr>
          </w:p>
        </w:tc>
        <w:tc>
          <w:tcPr>
            <w:tcW w:w="4551" w:type="dxa"/>
          </w:tcPr>
          <w:p w:rsidR="00116937" w:rsidRDefault="00116937" w:rsidP="00116937">
            <w:pPr>
              <w:pStyle w:val="Heading2"/>
              <w:numPr>
                <w:ilvl w:val="0"/>
                <w:numId w:val="0"/>
              </w:numPr>
              <w:jc w:val="left"/>
              <w:outlineLvl w:val="1"/>
            </w:pPr>
          </w:p>
        </w:tc>
        <w:tc>
          <w:tcPr>
            <w:tcW w:w="4552" w:type="dxa"/>
          </w:tcPr>
          <w:p w:rsidR="00116937" w:rsidRDefault="00116937" w:rsidP="00116937">
            <w:pPr>
              <w:pStyle w:val="Heading2"/>
              <w:numPr>
                <w:ilvl w:val="0"/>
                <w:numId w:val="0"/>
              </w:numPr>
              <w:jc w:val="left"/>
              <w:outlineLvl w:val="1"/>
            </w:pPr>
          </w:p>
        </w:tc>
      </w:tr>
    </w:tbl>
    <w:p w:rsidR="00116937" w:rsidRDefault="00116937" w:rsidP="00116937">
      <w:pPr>
        <w:pStyle w:val="ListParagraph"/>
        <w:jc w:val="left"/>
        <w:rPr>
          <w:b/>
        </w:rPr>
      </w:pPr>
    </w:p>
    <w:p w:rsidR="00C15D51" w:rsidRDefault="00C15D51" w:rsidP="00C15D51">
      <w:pPr>
        <w:jc w:val="left"/>
        <w:rPr>
          <w:sz w:val="28"/>
          <w:szCs w:val="28"/>
        </w:rPr>
      </w:pPr>
      <w:r>
        <w:rPr>
          <w:sz w:val="28"/>
          <w:szCs w:val="28"/>
        </w:rPr>
        <w:t>PART SIX</w:t>
      </w:r>
    </w:p>
    <w:p w:rsidR="00C15D51" w:rsidRDefault="00C15D51" w:rsidP="00C15D51">
      <w:pPr>
        <w:jc w:val="left"/>
        <w:rPr>
          <w:sz w:val="28"/>
          <w:szCs w:val="28"/>
        </w:rPr>
      </w:pPr>
    </w:p>
    <w:p w:rsidR="00C15D51" w:rsidRDefault="00C15D51" w:rsidP="00C15D51">
      <w:pPr>
        <w:pStyle w:val="ListParagraph"/>
        <w:numPr>
          <w:ilvl w:val="0"/>
          <w:numId w:val="23"/>
        </w:numPr>
        <w:jc w:val="left"/>
        <w:rPr>
          <w:b/>
        </w:rPr>
      </w:pPr>
      <w:r>
        <w:rPr>
          <w:b/>
        </w:rPr>
        <w:t xml:space="preserve">Who is responsible for integrating the PIA outcomes back into the project plan and updating any project management paperwork? Who is responsible for implementing the solutions that have been approved? Who is </w:t>
      </w:r>
      <w:r w:rsidR="00720806">
        <w:rPr>
          <w:b/>
        </w:rPr>
        <w:t xml:space="preserve">the contact </w:t>
      </w:r>
      <w:r>
        <w:rPr>
          <w:b/>
        </w:rPr>
        <w:t>for any privacy concerns which may arise in the future?</w:t>
      </w:r>
    </w:p>
    <w:p w:rsidR="00B14C09" w:rsidRDefault="00B14C09" w:rsidP="0057780F">
      <w:pPr>
        <w:jc w:val="left"/>
        <w:rPr>
          <w:b/>
        </w:rPr>
      </w:pPr>
    </w:p>
    <w:p w:rsidR="00B14C09" w:rsidRPr="0057780F" w:rsidRDefault="00B14C09" w:rsidP="0057780F">
      <w:pPr>
        <w:jc w:val="left"/>
        <w:rPr>
          <w:b/>
        </w:rPr>
      </w:pPr>
    </w:p>
    <w:p w:rsidR="00C15D51" w:rsidRDefault="00C15D51" w:rsidP="00C15D51">
      <w:pPr>
        <w:pStyle w:val="ListParagraph"/>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2561"/>
        <w:gridCol w:w="5071"/>
      </w:tblGrid>
      <w:tr w:rsidR="00C15D51" w:rsidTr="00051F49">
        <w:tc>
          <w:tcPr>
            <w:tcW w:w="3095" w:type="dxa"/>
            <w:shd w:val="pct12" w:color="auto" w:fill="auto"/>
          </w:tcPr>
          <w:p w:rsidR="00C15D51" w:rsidRPr="006557F6" w:rsidRDefault="00C15D51" w:rsidP="00051F49">
            <w:pPr>
              <w:rPr>
                <w:b/>
              </w:rPr>
            </w:pPr>
            <w:r w:rsidRPr="006557F6">
              <w:rPr>
                <w:b/>
              </w:rPr>
              <w:t>Action to be taken</w:t>
            </w:r>
          </w:p>
        </w:tc>
        <w:tc>
          <w:tcPr>
            <w:tcW w:w="3096" w:type="dxa"/>
            <w:shd w:val="pct12" w:color="auto" w:fill="auto"/>
          </w:tcPr>
          <w:p w:rsidR="00C15D51" w:rsidRPr="006557F6" w:rsidRDefault="00C15D51" w:rsidP="00051F49">
            <w:pPr>
              <w:rPr>
                <w:b/>
              </w:rPr>
            </w:pPr>
            <w:r w:rsidRPr="006557F6">
              <w:rPr>
                <w:b/>
              </w:rPr>
              <w:t>Date for completion of actions</w:t>
            </w:r>
          </w:p>
        </w:tc>
        <w:tc>
          <w:tcPr>
            <w:tcW w:w="6533" w:type="dxa"/>
            <w:shd w:val="pct12" w:color="auto" w:fill="auto"/>
          </w:tcPr>
          <w:p w:rsidR="00C15D51" w:rsidRPr="006557F6" w:rsidRDefault="00C15D51" w:rsidP="00051F49">
            <w:pPr>
              <w:rPr>
                <w:b/>
              </w:rPr>
            </w:pPr>
            <w:r w:rsidRPr="006557F6">
              <w:rPr>
                <w:b/>
              </w:rPr>
              <w:t>Responsibility for action</w:t>
            </w:r>
          </w:p>
        </w:tc>
      </w:tr>
      <w:tr w:rsidR="00C15D51" w:rsidTr="00051F49">
        <w:tc>
          <w:tcPr>
            <w:tcW w:w="3095" w:type="dxa"/>
            <w:shd w:val="clear" w:color="auto" w:fill="auto"/>
          </w:tcPr>
          <w:p w:rsidR="00C15D51" w:rsidRDefault="00C15D51" w:rsidP="00051F49"/>
        </w:tc>
        <w:tc>
          <w:tcPr>
            <w:tcW w:w="3096" w:type="dxa"/>
            <w:shd w:val="clear" w:color="auto" w:fill="auto"/>
          </w:tcPr>
          <w:p w:rsidR="00C15D51" w:rsidRDefault="00C15D51" w:rsidP="00051F49"/>
        </w:tc>
        <w:tc>
          <w:tcPr>
            <w:tcW w:w="6533" w:type="dxa"/>
            <w:shd w:val="clear" w:color="auto" w:fill="auto"/>
          </w:tcPr>
          <w:p w:rsidR="00C15D51" w:rsidRDefault="00C15D51" w:rsidP="00051F49"/>
        </w:tc>
      </w:tr>
    </w:tbl>
    <w:p w:rsidR="00C15D51" w:rsidRDefault="00C15D51" w:rsidP="00C15D51">
      <w:pPr>
        <w:pStyle w:val="ListParagraph"/>
        <w:jc w:val="left"/>
        <w:rPr>
          <w:b/>
        </w:rPr>
      </w:pPr>
    </w:p>
    <w:p w:rsidR="00C15D51" w:rsidRDefault="00C15D51" w:rsidP="00C15D51">
      <w:pPr>
        <w:pStyle w:val="ListParagraph"/>
        <w:jc w:val="left"/>
        <w:rPr>
          <w:b/>
        </w:rPr>
      </w:pPr>
    </w:p>
    <w:p w:rsidR="00116937" w:rsidRPr="00C55E28" w:rsidRDefault="00C15D51" w:rsidP="00C15D51">
      <w:pPr>
        <w:pStyle w:val="ListParagraph"/>
        <w:numPr>
          <w:ilvl w:val="0"/>
          <w:numId w:val="23"/>
        </w:numPr>
        <w:jc w:val="left"/>
        <w:rPr>
          <w:b/>
        </w:rPr>
      </w:pPr>
      <w:r w:rsidRPr="00C55E28">
        <w:rPr>
          <w:b/>
        </w:rPr>
        <w:t>Contact point for future privacy concerns</w:t>
      </w:r>
    </w:p>
    <w:p w:rsidR="00BF6632" w:rsidRPr="00285931" w:rsidRDefault="00BF6632" w:rsidP="00F3065B">
      <w:pPr>
        <w:sectPr w:rsidR="00BF6632" w:rsidRPr="00285931">
          <w:headerReference w:type="default" r:id="rId14"/>
          <w:footerReference w:type="default" r:id="rId15"/>
          <w:pgSz w:w="11905" w:h="16840"/>
          <w:pgMar w:top="1480" w:right="1040" w:bottom="280" w:left="1020" w:header="0" w:footer="0" w:gutter="0"/>
          <w:cols w:space="720"/>
        </w:sectPr>
      </w:pPr>
    </w:p>
    <w:p w:rsidR="00F3065B" w:rsidRPr="001F3203" w:rsidRDefault="00F3065B" w:rsidP="001F3203">
      <w:pPr>
        <w:rPr>
          <w:rFonts w:eastAsia="Arial"/>
          <w:szCs w:val="24"/>
        </w:rPr>
      </w:pPr>
    </w:p>
    <w:p w:rsidR="006D4878" w:rsidRDefault="00CE6E7D" w:rsidP="006D4878">
      <w:pPr>
        <w:jc w:val="center"/>
        <w:rPr>
          <w:sz w:val="28"/>
          <w:szCs w:val="28"/>
        </w:rPr>
      </w:pPr>
      <w:r>
        <w:rPr>
          <w:sz w:val="28"/>
          <w:szCs w:val="28"/>
        </w:rPr>
        <w:t>Appendix</w:t>
      </w:r>
    </w:p>
    <w:p w:rsidR="005976D6" w:rsidRDefault="005976D6" w:rsidP="006D4878">
      <w:pPr>
        <w:jc w:val="center"/>
        <w:rPr>
          <w:sz w:val="28"/>
          <w:szCs w:val="28"/>
        </w:rPr>
      </w:pPr>
    </w:p>
    <w:p w:rsidR="00C15D51" w:rsidRPr="00C15D51" w:rsidRDefault="00C15D51" w:rsidP="00C15D51">
      <w:pPr>
        <w:jc w:val="left"/>
        <w:rPr>
          <w:b/>
        </w:rPr>
      </w:pPr>
      <w:bookmarkStart w:id="1" w:name="_MON_1552810214"/>
      <w:bookmarkEnd w:id="1"/>
    </w:p>
    <w:p w:rsidR="00E315AC" w:rsidRDefault="00E315AC" w:rsidP="0057780F">
      <w:pPr>
        <w:pStyle w:val="ListParagraph"/>
        <w:numPr>
          <w:ilvl w:val="0"/>
          <w:numId w:val="18"/>
        </w:numPr>
        <w:jc w:val="left"/>
        <w:rPr>
          <w:b/>
        </w:rPr>
      </w:pPr>
      <w:r>
        <w:rPr>
          <w:b/>
        </w:rPr>
        <w:t xml:space="preserve">Confidentiality Agreement </w:t>
      </w:r>
    </w:p>
    <w:p w:rsidR="00E315AC" w:rsidRPr="004C106E" w:rsidRDefault="004C106E" w:rsidP="0057780F">
      <w:pPr>
        <w:ind w:left="720"/>
        <w:jc w:val="left"/>
        <w:rPr>
          <w:i/>
        </w:rPr>
      </w:pPr>
      <w:r w:rsidRPr="004C106E">
        <w:rPr>
          <w:i/>
        </w:rPr>
        <w:t>*</w:t>
      </w:r>
      <w:r w:rsidR="0054148B">
        <w:rPr>
          <w:i/>
        </w:rPr>
        <w:t>E</w:t>
      </w:r>
      <w:r w:rsidRPr="004C106E">
        <w:rPr>
          <w:i/>
        </w:rPr>
        <w:t>mailed to DSC Contract Committee members</w:t>
      </w:r>
    </w:p>
    <w:p w:rsidR="00E315AC" w:rsidRPr="0057780F" w:rsidRDefault="00E315AC" w:rsidP="0057780F">
      <w:pPr>
        <w:ind w:left="360"/>
        <w:jc w:val="left"/>
        <w:rPr>
          <w:b/>
        </w:rPr>
      </w:pPr>
    </w:p>
    <w:p w:rsidR="00E315AC" w:rsidRDefault="00E315AC" w:rsidP="0057780F">
      <w:pPr>
        <w:pStyle w:val="ListParagraph"/>
        <w:jc w:val="left"/>
        <w:rPr>
          <w:b/>
        </w:rPr>
      </w:pPr>
    </w:p>
    <w:p w:rsidR="00E315AC" w:rsidRDefault="00E315AC" w:rsidP="0057780F">
      <w:pPr>
        <w:pStyle w:val="ListParagraph"/>
        <w:numPr>
          <w:ilvl w:val="0"/>
          <w:numId w:val="18"/>
        </w:numPr>
        <w:jc w:val="left"/>
        <w:rPr>
          <w:b/>
        </w:rPr>
      </w:pPr>
      <w:r>
        <w:rPr>
          <w:b/>
        </w:rPr>
        <w:t xml:space="preserve">Service Agreement </w:t>
      </w:r>
    </w:p>
    <w:p w:rsidR="00E315AC" w:rsidRPr="0057780F" w:rsidRDefault="004C106E" w:rsidP="0057780F">
      <w:pPr>
        <w:pStyle w:val="ListParagraph"/>
        <w:rPr>
          <w:b/>
        </w:rPr>
      </w:pPr>
      <w:r w:rsidRPr="004C106E">
        <w:rPr>
          <w:i/>
        </w:rPr>
        <w:t>*</w:t>
      </w:r>
      <w:r w:rsidR="0054148B">
        <w:rPr>
          <w:i/>
        </w:rPr>
        <w:t>E</w:t>
      </w:r>
      <w:r w:rsidRPr="004C106E">
        <w:rPr>
          <w:i/>
        </w:rPr>
        <w:t>mailed to DSC Contract Committee members</w:t>
      </w:r>
    </w:p>
    <w:p w:rsidR="00C15D51" w:rsidRDefault="00C15D51" w:rsidP="0057780F">
      <w:pPr>
        <w:pStyle w:val="ListParagraph"/>
        <w:jc w:val="left"/>
        <w:rPr>
          <w:sz w:val="28"/>
          <w:szCs w:val="28"/>
        </w:rPr>
      </w:pPr>
    </w:p>
    <w:p w:rsidR="00500A14" w:rsidRDefault="00500A14" w:rsidP="009B72AA">
      <w:pPr>
        <w:jc w:val="left"/>
        <w:rPr>
          <w:sz w:val="28"/>
          <w:szCs w:val="28"/>
        </w:rPr>
      </w:pPr>
    </w:p>
    <w:p w:rsidR="00500A14" w:rsidRDefault="00500A14" w:rsidP="009B72AA">
      <w:pPr>
        <w:jc w:val="left"/>
        <w:rPr>
          <w:sz w:val="28"/>
          <w:szCs w:val="28"/>
        </w:rPr>
      </w:pPr>
    </w:p>
    <w:p w:rsidR="00500A14" w:rsidRDefault="00500A14" w:rsidP="009B72AA">
      <w:pPr>
        <w:jc w:val="left"/>
        <w:rPr>
          <w:sz w:val="28"/>
          <w:szCs w:val="28"/>
        </w:rPr>
      </w:pPr>
    </w:p>
    <w:p w:rsidR="00500A14" w:rsidRDefault="00500A14" w:rsidP="009B72AA">
      <w:pPr>
        <w:jc w:val="left"/>
        <w:rPr>
          <w:sz w:val="28"/>
          <w:szCs w:val="28"/>
        </w:rPr>
      </w:pPr>
    </w:p>
    <w:p w:rsidR="00500A14" w:rsidRDefault="00500A14" w:rsidP="009B72AA">
      <w:pPr>
        <w:jc w:val="left"/>
        <w:rPr>
          <w:sz w:val="28"/>
          <w:szCs w:val="28"/>
        </w:rPr>
      </w:pPr>
    </w:p>
    <w:p w:rsidR="00500A14" w:rsidRPr="0057780F" w:rsidRDefault="00500A14" w:rsidP="002D129A">
      <w:pPr>
        <w:jc w:val="left"/>
        <w:rPr>
          <w:sz w:val="28"/>
          <w:szCs w:val="28"/>
        </w:rPr>
      </w:pPr>
    </w:p>
    <w:sectPr w:rsidR="00500A14" w:rsidRPr="0057780F" w:rsidSect="006D4878">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793" w:rsidRDefault="00890793" w:rsidP="006D4878">
      <w:pPr>
        <w:spacing w:before="0" w:after="0"/>
      </w:pPr>
      <w:r>
        <w:separator/>
      </w:r>
    </w:p>
  </w:endnote>
  <w:endnote w:type="continuationSeparator" w:id="0">
    <w:p w:rsidR="00890793" w:rsidRDefault="00890793" w:rsidP="006D487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350321"/>
      <w:docPartObj>
        <w:docPartGallery w:val="Page Numbers (Bottom of Page)"/>
        <w:docPartUnique/>
      </w:docPartObj>
    </w:sdtPr>
    <w:sdtEndPr>
      <w:rPr>
        <w:noProof/>
      </w:rPr>
    </w:sdtEndPr>
    <w:sdtContent>
      <w:p w:rsidR="00890793" w:rsidRDefault="00890793">
        <w:pPr>
          <w:pStyle w:val="Footer"/>
          <w:jc w:val="center"/>
        </w:pPr>
        <w:r>
          <w:fldChar w:fldCharType="begin"/>
        </w:r>
        <w:r>
          <w:instrText xml:space="preserve"> PAGE   \* MERGEFORMAT </w:instrText>
        </w:r>
        <w:r>
          <w:fldChar w:fldCharType="separate"/>
        </w:r>
        <w:r w:rsidR="00017AD0">
          <w:rPr>
            <w:noProof/>
          </w:rPr>
          <w:t>1</w:t>
        </w:r>
        <w:r>
          <w:rPr>
            <w:noProof/>
          </w:rPr>
          <w:fldChar w:fldCharType="end"/>
        </w:r>
      </w:p>
    </w:sdtContent>
  </w:sdt>
  <w:p w:rsidR="00890793" w:rsidRDefault="00890793">
    <w:pPr>
      <w:spacing w:line="0" w:lineRule="atLeast"/>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590377"/>
      <w:docPartObj>
        <w:docPartGallery w:val="Page Numbers (Bottom of Page)"/>
        <w:docPartUnique/>
      </w:docPartObj>
    </w:sdtPr>
    <w:sdtEndPr>
      <w:rPr>
        <w:noProof/>
      </w:rPr>
    </w:sdtEndPr>
    <w:sdtContent>
      <w:p w:rsidR="00890793" w:rsidRDefault="00890793">
        <w:pPr>
          <w:pStyle w:val="Footer"/>
          <w:jc w:val="center"/>
        </w:pPr>
        <w:r>
          <w:fldChar w:fldCharType="begin"/>
        </w:r>
        <w:r>
          <w:instrText xml:space="preserve"> PAGE   \* MERGEFORMAT </w:instrText>
        </w:r>
        <w:r>
          <w:fldChar w:fldCharType="separate"/>
        </w:r>
        <w:r w:rsidR="00017AD0">
          <w:rPr>
            <w:noProof/>
          </w:rPr>
          <w:t>8</w:t>
        </w:r>
        <w:r>
          <w:rPr>
            <w:noProof/>
          </w:rPr>
          <w:fldChar w:fldCharType="end"/>
        </w:r>
      </w:p>
    </w:sdtContent>
  </w:sdt>
  <w:p w:rsidR="00890793" w:rsidRDefault="00890793">
    <w:pPr>
      <w:pStyle w:val="Footer"/>
    </w:pPr>
  </w:p>
  <w:p w:rsidR="00890793" w:rsidRDefault="008907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793" w:rsidRDefault="00890793" w:rsidP="006D4878">
      <w:pPr>
        <w:spacing w:before="0" w:after="0"/>
      </w:pPr>
      <w:r>
        <w:separator/>
      </w:r>
    </w:p>
  </w:footnote>
  <w:footnote w:type="continuationSeparator" w:id="0">
    <w:p w:rsidR="00890793" w:rsidRDefault="00890793" w:rsidP="006D487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93" w:rsidRDefault="00890793">
    <w:pPr>
      <w:spacing w:line="0" w:lineRule="atLeast"/>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B4EC7B2"/>
    <w:lvl w:ilvl="0">
      <w:start w:val="1"/>
      <w:numFmt w:val="none"/>
      <w:pStyle w:val="Heading1"/>
      <w:lvlText w:val=""/>
      <w:lvlJc w:val="left"/>
      <w:pPr>
        <w:tabs>
          <w:tab w:val="num" w:pos="0"/>
        </w:tabs>
        <w:ind w:left="0" w:firstLine="0"/>
      </w:pPr>
      <w:rPr>
        <w:rFonts w:ascii="Arial" w:hAnsi="Arial" w:cs="Arial" w:hint="default"/>
        <w:b w:val="0"/>
        <w:i w:val="0"/>
        <w:sz w:val="20"/>
      </w:rPr>
    </w:lvl>
    <w:lvl w:ilvl="1">
      <w:start w:val="1"/>
      <w:numFmt w:val="decimal"/>
      <w:pStyle w:val="Heading2"/>
      <w:lvlText w:val="%2."/>
      <w:lvlJc w:val="left"/>
      <w:pPr>
        <w:tabs>
          <w:tab w:val="num" w:pos="720"/>
        </w:tabs>
        <w:ind w:left="720" w:hanging="720"/>
      </w:pPr>
      <w:rPr>
        <w:rFonts w:ascii="Arial" w:hAnsi="Arial" w:cs="Arial" w:hint="default"/>
        <w:b w:val="0"/>
        <w:i w:val="0"/>
        <w:sz w:val="20"/>
      </w:rPr>
    </w:lvl>
    <w:lvl w:ilvl="2">
      <w:start w:val="1"/>
      <w:numFmt w:val="decimal"/>
      <w:pStyle w:val="Heading3"/>
      <w:lvlText w:val="%2.%3"/>
      <w:lvlJc w:val="left"/>
      <w:pPr>
        <w:tabs>
          <w:tab w:val="num" w:pos="720"/>
        </w:tabs>
        <w:ind w:left="720" w:hanging="720"/>
      </w:pPr>
      <w:rPr>
        <w:rFonts w:ascii="Arial" w:hAnsi="Arial" w:cs="Arial" w:hint="default"/>
        <w:b w:val="0"/>
        <w:i w:val="0"/>
        <w:sz w:val="20"/>
      </w:rPr>
    </w:lvl>
    <w:lvl w:ilvl="3">
      <w:start w:val="1"/>
      <w:numFmt w:val="lowerLetter"/>
      <w:pStyle w:val="Heading4"/>
      <w:lvlText w:val="(%4)"/>
      <w:lvlJc w:val="left"/>
      <w:pPr>
        <w:tabs>
          <w:tab w:val="num" w:pos="1440"/>
        </w:tabs>
        <w:ind w:left="1440" w:hanging="720"/>
      </w:pPr>
      <w:rPr>
        <w:rFonts w:ascii="Arial" w:hAnsi="Arial" w:cs="Arial" w:hint="default"/>
        <w:b w:val="0"/>
        <w:i w:val="0"/>
        <w:sz w:val="20"/>
      </w:rPr>
    </w:lvl>
    <w:lvl w:ilvl="4">
      <w:start w:val="1"/>
      <w:numFmt w:val="lowerRoman"/>
      <w:pStyle w:val="Heading5"/>
      <w:lvlText w:val="(%5)"/>
      <w:lvlJc w:val="left"/>
      <w:pPr>
        <w:tabs>
          <w:tab w:val="num" w:pos="2160"/>
        </w:tabs>
        <w:ind w:left="2160" w:hanging="720"/>
      </w:pPr>
      <w:rPr>
        <w:rFonts w:ascii="Arial" w:hAnsi="Arial" w:cs="Arial" w:hint="default"/>
        <w:b w:val="0"/>
        <w:i w:val="0"/>
        <w:sz w:val="20"/>
      </w:rPr>
    </w:lvl>
    <w:lvl w:ilvl="5">
      <w:start w:val="1"/>
      <w:numFmt w:val="upperLetter"/>
      <w:pStyle w:val="Heading6"/>
      <w:lvlText w:val="(%6)"/>
      <w:lvlJc w:val="left"/>
      <w:pPr>
        <w:tabs>
          <w:tab w:val="num" w:pos="17577"/>
        </w:tabs>
        <w:ind w:left="2880" w:hanging="720"/>
      </w:pPr>
      <w:rPr>
        <w:rFonts w:ascii="Arial" w:hAnsi="Arial" w:cs="Arial" w:hint="default"/>
        <w:b w:val="0"/>
        <w:i w:val="0"/>
        <w:sz w:val="20"/>
      </w:rPr>
    </w:lvl>
    <w:lvl w:ilvl="6">
      <w:start w:val="1"/>
      <w:numFmt w:val="lowerRoman"/>
      <w:pStyle w:val="Heading7"/>
      <w:lvlText w:val="(%7)"/>
      <w:lvlJc w:val="left"/>
      <w:pPr>
        <w:tabs>
          <w:tab w:val="num" w:pos="0"/>
        </w:tabs>
        <w:ind w:left="4298" w:hanging="709"/>
      </w:pPr>
      <w:rPr>
        <w:rFonts w:hint="default"/>
      </w:rPr>
    </w:lvl>
    <w:lvl w:ilvl="7">
      <w:start w:val="1"/>
      <w:numFmt w:val="lowerLetter"/>
      <w:pStyle w:val="Heading8"/>
      <w:lvlText w:val="(%8)"/>
      <w:lvlJc w:val="left"/>
      <w:pPr>
        <w:tabs>
          <w:tab w:val="num" w:pos="0"/>
        </w:tabs>
        <w:ind w:left="5007" w:hanging="709"/>
      </w:pPr>
      <w:rPr>
        <w:rFonts w:hint="default"/>
      </w:rPr>
    </w:lvl>
    <w:lvl w:ilvl="8">
      <w:start w:val="1"/>
      <w:numFmt w:val="lowerRoman"/>
      <w:pStyle w:val="Heading9"/>
      <w:lvlText w:val="(%9)"/>
      <w:lvlJc w:val="left"/>
      <w:pPr>
        <w:tabs>
          <w:tab w:val="num" w:pos="0"/>
        </w:tabs>
        <w:ind w:left="5710" w:hanging="703"/>
      </w:pPr>
      <w:rPr>
        <w:rFonts w:hint="default"/>
      </w:rPr>
    </w:lvl>
  </w:abstractNum>
  <w:abstractNum w:abstractNumId="1">
    <w:nsid w:val="02DA01E9"/>
    <w:multiLevelType w:val="hybridMultilevel"/>
    <w:tmpl w:val="FBDCBC08"/>
    <w:lvl w:ilvl="0" w:tplc="8C2E2AF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79653E"/>
    <w:multiLevelType w:val="hybridMultilevel"/>
    <w:tmpl w:val="976A6A12"/>
    <w:lvl w:ilvl="0" w:tplc="C7CEBCF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37E1F50"/>
    <w:multiLevelType w:val="hybridMultilevel"/>
    <w:tmpl w:val="26F4AB9A"/>
    <w:lvl w:ilvl="0" w:tplc="D8F26B7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1001F8"/>
    <w:multiLevelType w:val="hybridMultilevel"/>
    <w:tmpl w:val="9A30B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5A66004"/>
    <w:multiLevelType w:val="hybridMultilevel"/>
    <w:tmpl w:val="85487F7C"/>
    <w:lvl w:ilvl="0" w:tplc="8C2E2AF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DB1B34"/>
    <w:multiLevelType w:val="hybridMultilevel"/>
    <w:tmpl w:val="C4BCD5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938338D"/>
    <w:multiLevelType w:val="hybridMultilevel"/>
    <w:tmpl w:val="28E68572"/>
    <w:lvl w:ilvl="0" w:tplc="C5B2FB40">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AE6D80"/>
    <w:multiLevelType w:val="hybridMultilevel"/>
    <w:tmpl w:val="27181682"/>
    <w:lvl w:ilvl="0" w:tplc="DAF6AFC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51557DF"/>
    <w:multiLevelType w:val="hybridMultilevel"/>
    <w:tmpl w:val="D2861FE4"/>
    <w:lvl w:ilvl="0" w:tplc="70E6C5F4">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9EB5F1B"/>
    <w:multiLevelType w:val="hybridMultilevel"/>
    <w:tmpl w:val="D00619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EC15F7C"/>
    <w:multiLevelType w:val="hybridMultilevel"/>
    <w:tmpl w:val="A162BDB8"/>
    <w:lvl w:ilvl="0" w:tplc="E8D6F6DC">
      <w:start w:val="1"/>
      <w:numFmt w:val="decimal"/>
      <w:lvlText w:val="(%1)"/>
      <w:lvlJc w:val="left"/>
      <w:pPr>
        <w:ind w:hanging="361"/>
        <w:jc w:val="right"/>
      </w:pPr>
      <w:rPr>
        <w:rFonts w:ascii="Arial" w:eastAsia="Arial" w:hAnsi="Arial" w:hint="default"/>
        <w:spacing w:val="-1"/>
        <w:sz w:val="24"/>
        <w:szCs w:val="24"/>
      </w:rPr>
    </w:lvl>
    <w:lvl w:ilvl="1" w:tplc="D6B8D07A">
      <w:start w:val="1"/>
      <w:numFmt w:val="bullet"/>
      <w:lvlText w:val="•"/>
      <w:lvlJc w:val="left"/>
      <w:pPr>
        <w:ind w:hanging="151"/>
      </w:pPr>
      <w:rPr>
        <w:rFonts w:ascii="Arial" w:eastAsia="Arial" w:hAnsi="Arial" w:hint="default"/>
        <w:sz w:val="24"/>
        <w:szCs w:val="24"/>
      </w:rPr>
    </w:lvl>
    <w:lvl w:ilvl="2" w:tplc="6BD8959A">
      <w:start w:val="1"/>
      <w:numFmt w:val="bullet"/>
      <w:lvlText w:val="•"/>
      <w:lvlJc w:val="left"/>
      <w:rPr>
        <w:rFonts w:hint="default"/>
      </w:rPr>
    </w:lvl>
    <w:lvl w:ilvl="3" w:tplc="AFBAE2C2">
      <w:start w:val="1"/>
      <w:numFmt w:val="bullet"/>
      <w:lvlText w:val="•"/>
      <w:lvlJc w:val="left"/>
      <w:rPr>
        <w:rFonts w:hint="default"/>
      </w:rPr>
    </w:lvl>
    <w:lvl w:ilvl="4" w:tplc="C8B44410">
      <w:start w:val="1"/>
      <w:numFmt w:val="bullet"/>
      <w:lvlText w:val="•"/>
      <w:lvlJc w:val="left"/>
      <w:rPr>
        <w:rFonts w:hint="default"/>
      </w:rPr>
    </w:lvl>
    <w:lvl w:ilvl="5" w:tplc="998E765C">
      <w:start w:val="1"/>
      <w:numFmt w:val="bullet"/>
      <w:lvlText w:val="•"/>
      <w:lvlJc w:val="left"/>
      <w:rPr>
        <w:rFonts w:hint="default"/>
      </w:rPr>
    </w:lvl>
    <w:lvl w:ilvl="6" w:tplc="3E7A25AE">
      <w:start w:val="1"/>
      <w:numFmt w:val="bullet"/>
      <w:lvlText w:val="•"/>
      <w:lvlJc w:val="left"/>
      <w:rPr>
        <w:rFonts w:hint="default"/>
      </w:rPr>
    </w:lvl>
    <w:lvl w:ilvl="7" w:tplc="119A7DBC">
      <w:start w:val="1"/>
      <w:numFmt w:val="bullet"/>
      <w:lvlText w:val="•"/>
      <w:lvlJc w:val="left"/>
      <w:rPr>
        <w:rFonts w:hint="default"/>
      </w:rPr>
    </w:lvl>
    <w:lvl w:ilvl="8" w:tplc="F4F4B59E">
      <w:start w:val="1"/>
      <w:numFmt w:val="bullet"/>
      <w:lvlText w:val="•"/>
      <w:lvlJc w:val="left"/>
      <w:rPr>
        <w:rFonts w:hint="default"/>
      </w:rPr>
    </w:lvl>
  </w:abstractNum>
  <w:abstractNum w:abstractNumId="12">
    <w:nsid w:val="32F2203F"/>
    <w:multiLevelType w:val="hybridMultilevel"/>
    <w:tmpl w:val="9A30B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2270129"/>
    <w:multiLevelType w:val="hybridMultilevel"/>
    <w:tmpl w:val="6E5880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3DC0238"/>
    <w:multiLevelType w:val="hybridMultilevel"/>
    <w:tmpl w:val="B18E1D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5713B71"/>
    <w:multiLevelType w:val="hybridMultilevel"/>
    <w:tmpl w:val="976A6A12"/>
    <w:lvl w:ilvl="0" w:tplc="C7CEBCF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9882EDC"/>
    <w:multiLevelType w:val="hybridMultilevel"/>
    <w:tmpl w:val="22FEC6A2"/>
    <w:lvl w:ilvl="0" w:tplc="3618B868">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A306AEF"/>
    <w:multiLevelType w:val="hybridMultilevel"/>
    <w:tmpl w:val="B9B01B9C"/>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8">
    <w:nsid w:val="50AB0781"/>
    <w:multiLevelType w:val="hybridMultilevel"/>
    <w:tmpl w:val="3EFE27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DD47FD"/>
    <w:multiLevelType w:val="hybridMultilevel"/>
    <w:tmpl w:val="B5E21E2E"/>
    <w:lvl w:ilvl="0" w:tplc="0C14B4D0">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577FF9"/>
    <w:multiLevelType w:val="hybridMultilevel"/>
    <w:tmpl w:val="8D72C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E1C1BB8"/>
    <w:multiLevelType w:val="hybridMultilevel"/>
    <w:tmpl w:val="976A6A12"/>
    <w:lvl w:ilvl="0" w:tplc="C7CEBCF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7E2CAD"/>
    <w:multiLevelType w:val="hybridMultilevel"/>
    <w:tmpl w:val="A97ED28A"/>
    <w:lvl w:ilvl="0" w:tplc="FAE2329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B1C539C"/>
    <w:multiLevelType w:val="hybridMultilevel"/>
    <w:tmpl w:val="3238D464"/>
    <w:lvl w:ilvl="0" w:tplc="2548A7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E6E515C"/>
    <w:multiLevelType w:val="hybridMultilevel"/>
    <w:tmpl w:val="DE8C26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F821C23"/>
    <w:multiLevelType w:val="hybridMultilevel"/>
    <w:tmpl w:val="868AD42C"/>
    <w:lvl w:ilvl="0" w:tplc="3620B7A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6ED3568"/>
    <w:multiLevelType w:val="hybridMultilevel"/>
    <w:tmpl w:val="B08801CA"/>
    <w:lvl w:ilvl="0" w:tplc="DAF6AFC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77B72F6"/>
    <w:multiLevelType w:val="hybridMultilevel"/>
    <w:tmpl w:val="1A32441C"/>
    <w:lvl w:ilvl="0" w:tplc="C7CEBCF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9422BB1"/>
    <w:multiLevelType w:val="hybridMultilevel"/>
    <w:tmpl w:val="976A6A12"/>
    <w:lvl w:ilvl="0" w:tplc="C7CEBCF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97B3C47"/>
    <w:multiLevelType w:val="hybridMultilevel"/>
    <w:tmpl w:val="A08CBECC"/>
    <w:lvl w:ilvl="0" w:tplc="BB14937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4"/>
  </w:num>
  <w:num w:numId="4">
    <w:abstractNumId w:val="8"/>
  </w:num>
  <w:num w:numId="5">
    <w:abstractNumId w:val="26"/>
  </w:num>
  <w:num w:numId="6">
    <w:abstractNumId w:val="18"/>
  </w:num>
  <w:num w:numId="7">
    <w:abstractNumId w:val="12"/>
  </w:num>
  <w:num w:numId="8">
    <w:abstractNumId w:val="4"/>
  </w:num>
  <w:num w:numId="9">
    <w:abstractNumId w:val="25"/>
  </w:num>
  <w:num w:numId="10">
    <w:abstractNumId w:val="19"/>
  </w:num>
  <w:num w:numId="11">
    <w:abstractNumId w:val="11"/>
  </w:num>
  <w:num w:numId="12">
    <w:abstractNumId w:val="29"/>
  </w:num>
  <w:num w:numId="13">
    <w:abstractNumId w:val="3"/>
  </w:num>
  <w:num w:numId="14">
    <w:abstractNumId w:val="13"/>
  </w:num>
  <w:num w:numId="15">
    <w:abstractNumId w:val="6"/>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2"/>
  </w:num>
  <w:num w:numId="19">
    <w:abstractNumId w:val="10"/>
  </w:num>
  <w:num w:numId="20">
    <w:abstractNumId w:val="15"/>
  </w:num>
  <w:num w:numId="21">
    <w:abstractNumId w:val="28"/>
  </w:num>
  <w:num w:numId="22">
    <w:abstractNumId w:val="21"/>
  </w:num>
  <w:num w:numId="23">
    <w:abstractNumId w:val="23"/>
  </w:num>
  <w:num w:numId="24">
    <w:abstractNumId w:val="20"/>
  </w:num>
  <w:num w:numId="25">
    <w:abstractNumId w:val="27"/>
  </w:num>
  <w:num w:numId="26">
    <w:abstractNumId w:val="5"/>
  </w:num>
  <w:num w:numId="27">
    <w:abstractNumId w:val="1"/>
  </w:num>
  <w:num w:numId="28">
    <w:abstractNumId w:val="24"/>
  </w:num>
  <w:num w:numId="29">
    <w:abstractNumId w:val="7"/>
  </w:num>
  <w:num w:numId="30">
    <w:abstractNumId w:val="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878"/>
    <w:rsid w:val="0001144D"/>
    <w:rsid w:val="00011B35"/>
    <w:rsid w:val="00015FC5"/>
    <w:rsid w:val="00017AD0"/>
    <w:rsid w:val="00033B99"/>
    <w:rsid w:val="00041A17"/>
    <w:rsid w:val="00051F49"/>
    <w:rsid w:val="00056D5D"/>
    <w:rsid w:val="00057CE3"/>
    <w:rsid w:val="00092B02"/>
    <w:rsid w:val="00095200"/>
    <w:rsid w:val="000A665B"/>
    <w:rsid w:val="000A754E"/>
    <w:rsid w:val="000C3316"/>
    <w:rsid w:val="000C7218"/>
    <w:rsid w:val="000E338B"/>
    <w:rsid w:val="000E5A3C"/>
    <w:rsid w:val="0011398C"/>
    <w:rsid w:val="00116937"/>
    <w:rsid w:val="00121112"/>
    <w:rsid w:val="001569A0"/>
    <w:rsid w:val="00161D0C"/>
    <w:rsid w:val="00162B15"/>
    <w:rsid w:val="00167770"/>
    <w:rsid w:val="001879EB"/>
    <w:rsid w:val="001B1B16"/>
    <w:rsid w:val="001C349E"/>
    <w:rsid w:val="001C71E5"/>
    <w:rsid w:val="001D6EE5"/>
    <w:rsid w:val="001E67C0"/>
    <w:rsid w:val="001E6C7D"/>
    <w:rsid w:val="001F3203"/>
    <w:rsid w:val="00212F3E"/>
    <w:rsid w:val="00250984"/>
    <w:rsid w:val="00254084"/>
    <w:rsid w:val="00265D06"/>
    <w:rsid w:val="00274DD3"/>
    <w:rsid w:val="002752F5"/>
    <w:rsid w:val="002C29FA"/>
    <w:rsid w:val="002C7851"/>
    <w:rsid w:val="002D129A"/>
    <w:rsid w:val="002D2264"/>
    <w:rsid w:val="002E1686"/>
    <w:rsid w:val="002F436F"/>
    <w:rsid w:val="00301D2D"/>
    <w:rsid w:val="00333926"/>
    <w:rsid w:val="0033579E"/>
    <w:rsid w:val="00336C7B"/>
    <w:rsid w:val="00341984"/>
    <w:rsid w:val="00341A73"/>
    <w:rsid w:val="00343269"/>
    <w:rsid w:val="0035088E"/>
    <w:rsid w:val="003510CA"/>
    <w:rsid w:val="00357AD9"/>
    <w:rsid w:val="00357BB5"/>
    <w:rsid w:val="00382A13"/>
    <w:rsid w:val="00385146"/>
    <w:rsid w:val="003C0375"/>
    <w:rsid w:val="003D1075"/>
    <w:rsid w:val="003D4E1C"/>
    <w:rsid w:val="003F722A"/>
    <w:rsid w:val="00400092"/>
    <w:rsid w:val="00404A34"/>
    <w:rsid w:val="00453C52"/>
    <w:rsid w:val="00467D02"/>
    <w:rsid w:val="0048650E"/>
    <w:rsid w:val="0049098F"/>
    <w:rsid w:val="004C106E"/>
    <w:rsid w:val="004C648B"/>
    <w:rsid w:val="004E2342"/>
    <w:rsid w:val="004F6BFE"/>
    <w:rsid w:val="00500A14"/>
    <w:rsid w:val="00524ACD"/>
    <w:rsid w:val="0054148B"/>
    <w:rsid w:val="0054244E"/>
    <w:rsid w:val="00551FC6"/>
    <w:rsid w:val="00555E44"/>
    <w:rsid w:val="00567B8D"/>
    <w:rsid w:val="005771BE"/>
    <w:rsid w:val="0057780F"/>
    <w:rsid w:val="00583CA3"/>
    <w:rsid w:val="005874A4"/>
    <w:rsid w:val="0059040B"/>
    <w:rsid w:val="005976D6"/>
    <w:rsid w:val="005D16CD"/>
    <w:rsid w:val="00603AF7"/>
    <w:rsid w:val="006041A6"/>
    <w:rsid w:val="00613042"/>
    <w:rsid w:val="00647EE6"/>
    <w:rsid w:val="00654AD3"/>
    <w:rsid w:val="00656B25"/>
    <w:rsid w:val="00666823"/>
    <w:rsid w:val="0067667A"/>
    <w:rsid w:val="00682C64"/>
    <w:rsid w:val="006A0248"/>
    <w:rsid w:val="006C1B30"/>
    <w:rsid w:val="006C292A"/>
    <w:rsid w:val="006D19DE"/>
    <w:rsid w:val="006D4878"/>
    <w:rsid w:val="006E7E15"/>
    <w:rsid w:val="006F2C98"/>
    <w:rsid w:val="00706F14"/>
    <w:rsid w:val="00720806"/>
    <w:rsid w:val="00720FA4"/>
    <w:rsid w:val="007241CB"/>
    <w:rsid w:val="00732814"/>
    <w:rsid w:val="00745A5F"/>
    <w:rsid w:val="007551E2"/>
    <w:rsid w:val="00782451"/>
    <w:rsid w:val="00796CC9"/>
    <w:rsid w:val="007A2617"/>
    <w:rsid w:val="007A44F2"/>
    <w:rsid w:val="007B3086"/>
    <w:rsid w:val="007B5760"/>
    <w:rsid w:val="007B6D2D"/>
    <w:rsid w:val="007D7BB6"/>
    <w:rsid w:val="007F0770"/>
    <w:rsid w:val="00806962"/>
    <w:rsid w:val="00812CC6"/>
    <w:rsid w:val="008222FC"/>
    <w:rsid w:val="00826D10"/>
    <w:rsid w:val="008272D1"/>
    <w:rsid w:val="00833951"/>
    <w:rsid w:val="00835D33"/>
    <w:rsid w:val="008369D0"/>
    <w:rsid w:val="0084039C"/>
    <w:rsid w:val="00857615"/>
    <w:rsid w:val="008712DB"/>
    <w:rsid w:val="00890793"/>
    <w:rsid w:val="008A0A37"/>
    <w:rsid w:val="008B5BAA"/>
    <w:rsid w:val="008D24B9"/>
    <w:rsid w:val="00904EEF"/>
    <w:rsid w:val="00910F8B"/>
    <w:rsid w:val="00922FD6"/>
    <w:rsid w:val="009234DD"/>
    <w:rsid w:val="009367C5"/>
    <w:rsid w:val="00942AEF"/>
    <w:rsid w:val="00950A22"/>
    <w:rsid w:val="00960277"/>
    <w:rsid w:val="00970C52"/>
    <w:rsid w:val="00977B94"/>
    <w:rsid w:val="00982AAE"/>
    <w:rsid w:val="00986E2A"/>
    <w:rsid w:val="009A1AEC"/>
    <w:rsid w:val="009B2D75"/>
    <w:rsid w:val="009B4EE9"/>
    <w:rsid w:val="009B72AA"/>
    <w:rsid w:val="009C1FA1"/>
    <w:rsid w:val="009D4120"/>
    <w:rsid w:val="009E5DC6"/>
    <w:rsid w:val="00A04EA5"/>
    <w:rsid w:val="00A102B4"/>
    <w:rsid w:val="00A12F8E"/>
    <w:rsid w:val="00A237A1"/>
    <w:rsid w:val="00A562BE"/>
    <w:rsid w:val="00A64993"/>
    <w:rsid w:val="00A75D91"/>
    <w:rsid w:val="00A772CB"/>
    <w:rsid w:val="00A90BF0"/>
    <w:rsid w:val="00AA1E53"/>
    <w:rsid w:val="00AE5A10"/>
    <w:rsid w:val="00B012E7"/>
    <w:rsid w:val="00B14C09"/>
    <w:rsid w:val="00B16AAB"/>
    <w:rsid w:val="00B23C3C"/>
    <w:rsid w:val="00B32671"/>
    <w:rsid w:val="00B37B3D"/>
    <w:rsid w:val="00B409D8"/>
    <w:rsid w:val="00B50D5A"/>
    <w:rsid w:val="00B61DFE"/>
    <w:rsid w:val="00B62D4E"/>
    <w:rsid w:val="00B6484C"/>
    <w:rsid w:val="00B64D88"/>
    <w:rsid w:val="00B67FD4"/>
    <w:rsid w:val="00B95A23"/>
    <w:rsid w:val="00B95D09"/>
    <w:rsid w:val="00B977E7"/>
    <w:rsid w:val="00B97BB8"/>
    <w:rsid w:val="00BB0B53"/>
    <w:rsid w:val="00BB6BB8"/>
    <w:rsid w:val="00BF3724"/>
    <w:rsid w:val="00BF6618"/>
    <w:rsid w:val="00BF6632"/>
    <w:rsid w:val="00BF6751"/>
    <w:rsid w:val="00C02CB6"/>
    <w:rsid w:val="00C15D51"/>
    <w:rsid w:val="00C24A51"/>
    <w:rsid w:val="00C55E28"/>
    <w:rsid w:val="00C75C39"/>
    <w:rsid w:val="00CB6C5B"/>
    <w:rsid w:val="00CC65E0"/>
    <w:rsid w:val="00CC66D8"/>
    <w:rsid w:val="00CD347A"/>
    <w:rsid w:val="00CE3C3B"/>
    <w:rsid w:val="00CE5783"/>
    <w:rsid w:val="00CE6E7D"/>
    <w:rsid w:val="00CF4AE2"/>
    <w:rsid w:val="00D11212"/>
    <w:rsid w:val="00D11687"/>
    <w:rsid w:val="00D301D7"/>
    <w:rsid w:val="00D368DF"/>
    <w:rsid w:val="00D47036"/>
    <w:rsid w:val="00D50DDB"/>
    <w:rsid w:val="00D5382C"/>
    <w:rsid w:val="00D642EF"/>
    <w:rsid w:val="00D93F75"/>
    <w:rsid w:val="00DD1DD5"/>
    <w:rsid w:val="00DF1B83"/>
    <w:rsid w:val="00DF6B83"/>
    <w:rsid w:val="00E06005"/>
    <w:rsid w:val="00E14294"/>
    <w:rsid w:val="00E15F44"/>
    <w:rsid w:val="00E17F04"/>
    <w:rsid w:val="00E315AC"/>
    <w:rsid w:val="00E31796"/>
    <w:rsid w:val="00E432F7"/>
    <w:rsid w:val="00E513E8"/>
    <w:rsid w:val="00E61D07"/>
    <w:rsid w:val="00E81966"/>
    <w:rsid w:val="00E83142"/>
    <w:rsid w:val="00E85456"/>
    <w:rsid w:val="00E8616B"/>
    <w:rsid w:val="00EB7A02"/>
    <w:rsid w:val="00F06A2F"/>
    <w:rsid w:val="00F136F3"/>
    <w:rsid w:val="00F252FD"/>
    <w:rsid w:val="00F3065B"/>
    <w:rsid w:val="00F30D41"/>
    <w:rsid w:val="00F5379A"/>
    <w:rsid w:val="00F606A5"/>
    <w:rsid w:val="00F87F15"/>
    <w:rsid w:val="00F921BB"/>
    <w:rsid w:val="00FA2DAF"/>
    <w:rsid w:val="00FC7C16"/>
    <w:rsid w:val="00FD6463"/>
    <w:rsid w:val="00FE17EE"/>
    <w:rsid w:val="00FF6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878"/>
    <w:pPr>
      <w:overflowPunct w:val="0"/>
      <w:autoSpaceDE w:val="0"/>
      <w:autoSpaceDN w:val="0"/>
      <w:adjustRightInd w:val="0"/>
      <w:spacing w:before="120" w:after="120" w:line="240" w:lineRule="auto"/>
      <w:jc w:val="both"/>
      <w:textAlignment w:val="baseline"/>
    </w:pPr>
    <w:rPr>
      <w:rFonts w:ascii="Arial" w:eastAsia="Times New Roman" w:hAnsi="Arial" w:cs="Arial"/>
      <w:sz w:val="20"/>
      <w:szCs w:val="20"/>
    </w:rPr>
  </w:style>
  <w:style w:type="paragraph" w:styleId="Heading1">
    <w:name w:val="heading 1"/>
    <w:basedOn w:val="Normal"/>
    <w:next w:val="Normal"/>
    <w:link w:val="Heading1Char"/>
    <w:qFormat/>
    <w:rsid w:val="006D4878"/>
    <w:pPr>
      <w:keepNext/>
      <w:numPr>
        <w:numId w:val="1"/>
      </w:numPr>
      <w:jc w:val="center"/>
      <w:outlineLvl w:val="0"/>
    </w:pPr>
    <w:rPr>
      <w:b/>
      <w:kern w:val="28"/>
    </w:rPr>
  </w:style>
  <w:style w:type="paragraph" w:styleId="Heading2">
    <w:name w:val="heading 2"/>
    <w:basedOn w:val="Normal"/>
    <w:next w:val="BodyText2"/>
    <w:link w:val="Heading2Char"/>
    <w:qFormat/>
    <w:rsid w:val="006D4878"/>
    <w:pPr>
      <w:keepNext/>
      <w:numPr>
        <w:ilvl w:val="1"/>
        <w:numId w:val="1"/>
      </w:numPr>
      <w:outlineLvl w:val="1"/>
    </w:pPr>
    <w:rPr>
      <w:b/>
    </w:rPr>
  </w:style>
  <w:style w:type="paragraph" w:styleId="Heading3">
    <w:name w:val="heading 3"/>
    <w:basedOn w:val="Normal"/>
    <w:next w:val="BodyText3"/>
    <w:link w:val="Heading3Char"/>
    <w:qFormat/>
    <w:rsid w:val="006D4878"/>
    <w:pPr>
      <w:numPr>
        <w:ilvl w:val="2"/>
        <w:numId w:val="1"/>
      </w:numPr>
      <w:outlineLvl w:val="2"/>
    </w:pPr>
  </w:style>
  <w:style w:type="paragraph" w:styleId="Heading4">
    <w:name w:val="heading 4"/>
    <w:basedOn w:val="Normal"/>
    <w:next w:val="Normal"/>
    <w:link w:val="Heading4Char"/>
    <w:qFormat/>
    <w:rsid w:val="006D4878"/>
    <w:pPr>
      <w:numPr>
        <w:ilvl w:val="3"/>
        <w:numId w:val="1"/>
      </w:numPr>
      <w:outlineLvl w:val="3"/>
    </w:pPr>
  </w:style>
  <w:style w:type="paragraph" w:styleId="Heading5">
    <w:name w:val="heading 5"/>
    <w:basedOn w:val="Normal"/>
    <w:next w:val="Normal"/>
    <w:link w:val="Heading5Char"/>
    <w:qFormat/>
    <w:rsid w:val="006D4878"/>
    <w:pPr>
      <w:numPr>
        <w:ilvl w:val="4"/>
        <w:numId w:val="1"/>
      </w:numPr>
      <w:outlineLvl w:val="4"/>
    </w:pPr>
  </w:style>
  <w:style w:type="paragraph" w:styleId="Heading6">
    <w:name w:val="heading 6"/>
    <w:basedOn w:val="Normal"/>
    <w:next w:val="Normal"/>
    <w:link w:val="Heading6Char"/>
    <w:qFormat/>
    <w:rsid w:val="006D4878"/>
    <w:pPr>
      <w:numPr>
        <w:ilvl w:val="5"/>
        <w:numId w:val="1"/>
      </w:numPr>
      <w:tabs>
        <w:tab w:val="left" w:pos="2880"/>
      </w:tabs>
      <w:outlineLvl w:val="5"/>
    </w:pPr>
  </w:style>
  <w:style w:type="paragraph" w:styleId="Heading7">
    <w:name w:val="heading 7"/>
    <w:basedOn w:val="Normal"/>
    <w:next w:val="Normal"/>
    <w:link w:val="Heading7Char"/>
    <w:qFormat/>
    <w:rsid w:val="006D4878"/>
    <w:pPr>
      <w:numPr>
        <w:ilvl w:val="6"/>
        <w:numId w:val="1"/>
      </w:numPr>
      <w:spacing w:before="240" w:after="60"/>
      <w:outlineLvl w:val="6"/>
    </w:pPr>
  </w:style>
  <w:style w:type="paragraph" w:styleId="Heading8">
    <w:name w:val="heading 8"/>
    <w:basedOn w:val="Normal"/>
    <w:next w:val="Normal"/>
    <w:link w:val="Heading8Char"/>
    <w:qFormat/>
    <w:rsid w:val="006D4878"/>
    <w:pPr>
      <w:numPr>
        <w:ilvl w:val="7"/>
        <w:numId w:val="1"/>
      </w:numPr>
      <w:spacing w:before="240" w:after="60"/>
      <w:outlineLvl w:val="7"/>
    </w:pPr>
    <w:rPr>
      <w:i/>
    </w:rPr>
  </w:style>
  <w:style w:type="paragraph" w:styleId="Heading9">
    <w:name w:val="heading 9"/>
    <w:basedOn w:val="Normal"/>
    <w:next w:val="Normal"/>
    <w:link w:val="Heading9Char"/>
    <w:qFormat/>
    <w:rsid w:val="006D4878"/>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4878"/>
    <w:rPr>
      <w:rFonts w:ascii="Arial" w:eastAsia="Times New Roman" w:hAnsi="Arial" w:cs="Arial"/>
      <w:b/>
      <w:kern w:val="28"/>
      <w:sz w:val="20"/>
      <w:szCs w:val="20"/>
    </w:rPr>
  </w:style>
  <w:style w:type="character" w:customStyle="1" w:styleId="Heading2Char">
    <w:name w:val="Heading 2 Char"/>
    <w:basedOn w:val="DefaultParagraphFont"/>
    <w:link w:val="Heading2"/>
    <w:rsid w:val="006D4878"/>
    <w:rPr>
      <w:rFonts w:ascii="Arial" w:eastAsia="Times New Roman" w:hAnsi="Arial" w:cs="Arial"/>
      <w:b/>
      <w:sz w:val="20"/>
      <w:szCs w:val="20"/>
    </w:rPr>
  </w:style>
  <w:style w:type="character" w:customStyle="1" w:styleId="Heading3Char">
    <w:name w:val="Heading 3 Char"/>
    <w:basedOn w:val="DefaultParagraphFont"/>
    <w:link w:val="Heading3"/>
    <w:rsid w:val="006D4878"/>
    <w:rPr>
      <w:rFonts w:ascii="Arial" w:eastAsia="Times New Roman" w:hAnsi="Arial" w:cs="Arial"/>
      <w:sz w:val="20"/>
      <w:szCs w:val="20"/>
    </w:rPr>
  </w:style>
  <w:style w:type="character" w:customStyle="1" w:styleId="Heading4Char">
    <w:name w:val="Heading 4 Char"/>
    <w:basedOn w:val="DefaultParagraphFont"/>
    <w:link w:val="Heading4"/>
    <w:rsid w:val="006D4878"/>
    <w:rPr>
      <w:rFonts w:ascii="Arial" w:eastAsia="Times New Roman" w:hAnsi="Arial" w:cs="Arial"/>
      <w:sz w:val="20"/>
      <w:szCs w:val="20"/>
    </w:rPr>
  </w:style>
  <w:style w:type="character" w:customStyle="1" w:styleId="Heading5Char">
    <w:name w:val="Heading 5 Char"/>
    <w:basedOn w:val="DefaultParagraphFont"/>
    <w:link w:val="Heading5"/>
    <w:rsid w:val="006D4878"/>
    <w:rPr>
      <w:rFonts w:ascii="Arial" w:eastAsia="Times New Roman" w:hAnsi="Arial" w:cs="Arial"/>
      <w:sz w:val="20"/>
      <w:szCs w:val="20"/>
    </w:rPr>
  </w:style>
  <w:style w:type="character" w:customStyle="1" w:styleId="Heading6Char">
    <w:name w:val="Heading 6 Char"/>
    <w:basedOn w:val="DefaultParagraphFont"/>
    <w:link w:val="Heading6"/>
    <w:rsid w:val="006D4878"/>
    <w:rPr>
      <w:rFonts w:ascii="Arial" w:eastAsia="Times New Roman" w:hAnsi="Arial" w:cs="Arial"/>
      <w:sz w:val="20"/>
      <w:szCs w:val="20"/>
    </w:rPr>
  </w:style>
  <w:style w:type="character" w:customStyle="1" w:styleId="Heading7Char">
    <w:name w:val="Heading 7 Char"/>
    <w:basedOn w:val="DefaultParagraphFont"/>
    <w:link w:val="Heading7"/>
    <w:rsid w:val="006D4878"/>
    <w:rPr>
      <w:rFonts w:ascii="Arial" w:eastAsia="Times New Roman" w:hAnsi="Arial" w:cs="Arial"/>
      <w:sz w:val="20"/>
      <w:szCs w:val="20"/>
    </w:rPr>
  </w:style>
  <w:style w:type="character" w:customStyle="1" w:styleId="Heading8Char">
    <w:name w:val="Heading 8 Char"/>
    <w:basedOn w:val="DefaultParagraphFont"/>
    <w:link w:val="Heading8"/>
    <w:rsid w:val="006D4878"/>
    <w:rPr>
      <w:rFonts w:ascii="Arial" w:eastAsia="Times New Roman" w:hAnsi="Arial" w:cs="Arial"/>
      <w:i/>
      <w:sz w:val="20"/>
      <w:szCs w:val="20"/>
    </w:rPr>
  </w:style>
  <w:style w:type="character" w:customStyle="1" w:styleId="Heading9Char">
    <w:name w:val="Heading 9 Char"/>
    <w:basedOn w:val="DefaultParagraphFont"/>
    <w:link w:val="Heading9"/>
    <w:rsid w:val="006D4878"/>
    <w:rPr>
      <w:rFonts w:ascii="Arial" w:eastAsia="Times New Roman" w:hAnsi="Arial" w:cs="Arial"/>
      <w:b/>
      <w:i/>
      <w:sz w:val="18"/>
      <w:szCs w:val="20"/>
    </w:rPr>
  </w:style>
  <w:style w:type="paragraph" w:styleId="BodyText2">
    <w:name w:val="Body Text 2"/>
    <w:basedOn w:val="Normal"/>
    <w:link w:val="BodyText2Char"/>
    <w:uiPriority w:val="99"/>
    <w:semiHidden/>
    <w:unhideWhenUsed/>
    <w:rsid w:val="006D4878"/>
    <w:pPr>
      <w:spacing w:line="480" w:lineRule="auto"/>
    </w:pPr>
  </w:style>
  <w:style w:type="character" w:customStyle="1" w:styleId="BodyText2Char">
    <w:name w:val="Body Text 2 Char"/>
    <w:basedOn w:val="DefaultParagraphFont"/>
    <w:link w:val="BodyText2"/>
    <w:uiPriority w:val="99"/>
    <w:semiHidden/>
    <w:rsid w:val="006D4878"/>
    <w:rPr>
      <w:rFonts w:ascii="Arial" w:eastAsia="Times New Roman" w:hAnsi="Arial" w:cs="Arial"/>
      <w:sz w:val="20"/>
      <w:szCs w:val="20"/>
    </w:rPr>
  </w:style>
  <w:style w:type="paragraph" w:styleId="BodyText3">
    <w:name w:val="Body Text 3"/>
    <w:basedOn w:val="Normal"/>
    <w:link w:val="BodyText3Char"/>
    <w:uiPriority w:val="99"/>
    <w:semiHidden/>
    <w:unhideWhenUsed/>
    <w:rsid w:val="006D4878"/>
    <w:rPr>
      <w:sz w:val="16"/>
      <w:szCs w:val="16"/>
    </w:rPr>
  </w:style>
  <w:style w:type="character" w:customStyle="1" w:styleId="BodyText3Char">
    <w:name w:val="Body Text 3 Char"/>
    <w:basedOn w:val="DefaultParagraphFont"/>
    <w:link w:val="BodyText3"/>
    <w:uiPriority w:val="99"/>
    <w:semiHidden/>
    <w:rsid w:val="006D4878"/>
    <w:rPr>
      <w:rFonts w:ascii="Arial" w:eastAsia="Times New Roman" w:hAnsi="Arial" w:cs="Arial"/>
      <w:sz w:val="16"/>
      <w:szCs w:val="16"/>
    </w:rPr>
  </w:style>
  <w:style w:type="paragraph" w:styleId="Header">
    <w:name w:val="header"/>
    <w:basedOn w:val="Normal"/>
    <w:link w:val="HeaderChar"/>
    <w:uiPriority w:val="99"/>
    <w:unhideWhenUsed/>
    <w:rsid w:val="006D4878"/>
    <w:pPr>
      <w:tabs>
        <w:tab w:val="center" w:pos="4513"/>
        <w:tab w:val="right" w:pos="9026"/>
      </w:tabs>
      <w:spacing w:before="0" w:after="0"/>
    </w:pPr>
  </w:style>
  <w:style w:type="character" w:customStyle="1" w:styleId="HeaderChar">
    <w:name w:val="Header Char"/>
    <w:basedOn w:val="DefaultParagraphFont"/>
    <w:link w:val="Header"/>
    <w:uiPriority w:val="99"/>
    <w:rsid w:val="006D4878"/>
    <w:rPr>
      <w:rFonts w:ascii="Arial" w:eastAsia="Times New Roman" w:hAnsi="Arial" w:cs="Arial"/>
      <w:sz w:val="20"/>
      <w:szCs w:val="20"/>
    </w:rPr>
  </w:style>
  <w:style w:type="paragraph" w:styleId="Footer">
    <w:name w:val="footer"/>
    <w:basedOn w:val="Normal"/>
    <w:link w:val="FooterChar"/>
    <w:uiPriority w:val="99"/>
    <w:unhideWhenUsed/>
    <w:rsid w:val="006D4878"/>
    <w:pPr>
      <w:tabs>
        <w:tab w:val="center" w:pos="4513"/>
        <w:tab w:val="right" w:pos="9026"/>
      </w:tabs>
      <w:spacing w:before="0" w:after="0"/>
    </w:pPr>
  </w:style>
  <w:style w:type="character" w:customStyle="1" w:styleId="FooterChar">
    <w:name w:val="Footer Char"/>
    <w:basedOn w:val="DefaultParagraphFont"/>
    <w:link w:val="Footer"/>
    <w:uiPriority w:val="99"/>
    <w:rsid w:val="006D4878"/>
    <w:rPr>
      <w:rFonts w:ascii="Arial" w:eastAsia="Times New Roman" w:hAnsi="Arial" w:cs="Arial"/>
      <w:sz w:val="20"/>
      <w:szCs w:val="20"/>
    </w:rPr>
  </w:style>
  <w:style w:type="paragraph" w:styleId="ListParagraph">
    <w:name w:val="List Paragraph"/>
    <w:basedOn w:val="Normal"/>
    <w:uiPriority w:val="34"/>
    <w:qFormat/>
    <w:rsid w:val="006D4878"/>
    <w:pPr>
      <w:ind w:left="720"/>
      <w:contextualSpacing/>
    </w:pPr>
  </w:style>
  <w:style w:type="paragraph" w:customStyle="1" w:styleId="Default">
    <w:name w:val="Default"/>
    <w:rsid w:val="003D4E1C"/>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D642EF"/>
    <w:rPr>
      <w:sz w:val="16"/>
      <w:szCs w:val="16"/>
    </w:rPr>
  </w:style>
  <w:style w:type="paragraph" w:styleId="CommentText">
    <w:name w:val="annotation text"/>
    <w:basedOn w:val="Normal"/>
    <w:link w:val="CommentTextChar"/>
    <w:uiPriority w:val="99"/>
    <w:semiHidden/>
    <w:unhideWhenUsed/>
    <w:rsid w:val="00D642EF"/>
  </w:style>
  <w:style w:type="character" w:customStyle="1" w:styleId="CommentTextChar">
    <w:name w:val="Comment Text Char"/>
    <w:basedOn w:val="DefaultParagraphFont"/>
    <w:link w:val="CommentText"/>
    <w:uiPriority w:val="99"/>
    <w:semiHidden/>
    <w:rsid w:val="00D642E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D642EF"/>
    <w:rPr>
      <w:b/>
      <w:bCs/>
    </w:rPr>
  </w:style>
  <w:style w:type="character" w:customStyle="1" w:styleId="CommentSubjectChar">
    <w:name w:val="Comment Subject Char"/>
    <w:basedOn w:val="CommentTextChar"/>
    <w:link w:val="CommentSubject"/>
    <w:uiPriority w:val="99"/>
    <w:semiHidden/>
    <w:rsid w:val="00D642EF"/>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D642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2EF"/>
    <w:rPr>
      <w:rFonts w:ascii="Tahoma" w:eastAsia="Times New Roman" w:hAnsi="Tahoma" w:cs="Tahoma"/>
      <w:sz w:val="16"/>
      <w:szCs w:val="16"/>
    </w:rPr>
  </w:style>
  <w:style w:type="character" w:styleId="Hyperlink">
    <w:name w:val="Hyperlink"/>
    <w:basedOn w:val="DefaultParagraphFont"/>
    <w:uiPriority w:val="99"/>
    <w:unhideWhenUsed/>
    <w:rsid w:val="00400092"/>
    <w:rPr>
      <w:color w:val="0000FF" w:themeColor="hyperlink"/>
      <w:u w:val="single"/>
    </w:rPr>
  </w:style>
  <w:style w:type="table" w:styleId="TableGrid">
    <w:name w:val="Table Grid"/>
    <w:basedOn w:val="TableNormal"/>
    <w:uiPriority w:val="59"/>
    <w:rsid w:val="00B32671"/>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GS">
    <w:name w:val="Normal GS"/>
    <w:basedOn w:val="Normal"/>
    <w:link w:val="NormalGSChar"/>
    <w:qFormat/>
    <w:rsid w:val="001879EB"/>
    <w:pPr>
      <w:overflowPunct/>
      <w:autoSpaceDE/>
      <w:autoSpaceDN/>
      <w:adjustRightInd/>
      <w:spacing w:before="0" w:after="0" w:line="360" w:lineRule="auto"/>
      <w:jc w:val="left"/>
      <w:textAlignment w:val="auto"/>
    </w:pPr>
    <w:rPr>
      <w:rFonts w:eastAsiaTheme="minorHAnsi" w:cstheme="minorBidi"/>
      <w:color w:val="005420"/>
      <w:sz w:val="18"/>
      <w:szCs w:val="22"/>
    </w:rPr>
  </w:style>
  <w:style w:type="character" w:customStyle="1" w:styleId="NormalGSChar">
    <w:name w:val="Normal GS Char"/>
    <w:basedOn w:val="DefaultParagraphFont"/>
    <w:link w:val="NormalGS"/>
    <w:rsid w:val="001879EB"/>
    <w:rPr>
      <w:rFonts w:ascii="Arial" w:hAnsi="Arial"/>
      <w:color w:val="005420"/>
      <w:sz w:val="18"/>
    </w:rPr>
  </w:style>
  <w:style w:type="paragraph" w:styleId="BodyText">
    <w:name w:val="Body Text"/>
    <w:basedOn w:val="Normal"/>
    <w:link w:val="BodyTextChar"/>
    <w:uiPriority w:val="99"/>
    <w:semiHidden/>
    <w:unhideWhenUsed/>
    <w:rsid w:val="00F3065B"/>
  </w:style>
  <w:style w:type="character" w:customStyle="1" w:styleId="BodyTextChar">
    <w:name w:val="Body Text Char"/>
    <w:basedOn w:val="DefaultParagraphFont"/>
    <w:link w:val="BodyText"/>
    <w:uiPriority w:val="99"/>
    <w:semiHidden/>
    <w:rsid w:val="00F3065B"/>
    <w:rPr>
      <w:rFonts w:ascii="Arial" w:eastAsia="Times New Roman" w:hAnsi="Arial" w:cs="Arial"/>
      <w:sz w:val="20"/>
      <w:szCs w:val="20"/>
    </w:rPr>
  </w:style>
  <w:style w:type="paragraph" w:customStyle="1" w:styleId="BulletList">
    <w:name w:val="Bullet List"/>
    <w:basedOn w:val="Normal"/>
    <w:autoRedefine/>
    <w:rsid w:val="00F3065B"/>
    <w:pPr>
      <w:numPr>
        <w:numId w:val="10"/>
      </w:numPr>
      <w:overflowPunct/>
      <w:autoSpaceDE/>
      <w:autoSpaceDN/>
      <w:adjustRightInd/>
      <w:jc w:val="left"/>
      <w:textAlignment w:val="auto"/>
    </w:pPr>
    <w:rPr>
      <w:rFonts w:ascii="Helvetica" w:eastAsia="Times" w:hAnsi="Helvetica" w:cs="Times New Roman"/>
      <w:sz w:val="24"/>
      <w:lang w:eastAsia="en-GB"/>
    </w:rPr>
  </w:style>
  <w:style w:type="paragraph" w:styleId="NormalWeb">
    <w:name w:val="Normal (Web)"/>
    <w:basedOn w:val="Normal"/>
    <w:uiPriority w:val="99"/>
    <w:semiHidden/>
    <w:unhideWhenUsed/>
    <w:rsid w:val="00682C64"/>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paragraph" w:styleId="Title">
    <w:name w:val="Title"/>
    <w:basedOn w:val="Normal"/>
    <w:link w:val="TitleChar"/>
    <w:qFormat/>
    <w:rsid w:val="00A562BE"/>
    <w:pPr>
      <w:overflowPunct/>
      <w:autoSpaceDE/>
      <w:autoSpaceDN/>
      <w:adjustRightInd/>
      <w:spacing w:before="60" w:after="60"/>
      <w:jc w:val="center"/>
      <w:textAlignment w:val="auto"/>
    </w:pPr>
    <w:rPr>
      <w:rFonts w:ascii="Tahoma" w:hAnsi="Tahoma" w:cs="Tahoma"/>
      <w:b/>
      <w:bCs/>
      <w:sz w:val="28"/>
      <w:szCs w:val="24"/>
    </w:rPr>
  </w:style>
  <w:style w:type="character" w:customStyle="1" w:styleId="TitleChar">
    <w:name w:val="Title Char"/>
    <w:basedOn w:val="DefaultParagraphFont"/>
    <w:link w:val="Title"/>
    <w:rsid w:val="00A562BE"/>
    <w:rPr>
      <w:rFonts w:ascii="Tahoma" w:eastAsia="Times New Roman" w:hAnsi="Tahoma" w:cs="Tahoma"/>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878"/>
    <w:pPr>
      <w:overflowPunct w:val="0"/>
      <w:autoSpaceDE w:val="0"/>
      <w:autoSpaceDN w:val="0"/>
      <w:adjustRightInd w:val="0"/>
      <w:spacing w:before="120" w:after="120" w:line="240" w:lineRule="auto"/>
      <w:jc w:val="both"/>
      <w:textAlignment w:val="baseline"/>
    </w:pPr>
    <w:rPr>
      <w:rFonts w:ascii="Arial" w:eastAsia="Times New Roman" w:hAnsi="Arial" w:cs="Arial"/>
      <w:sz w:val="20"/>
      <w:szCs w:val="20"/>
    </w:rPr>
  </w:style>
  <w:style w:type="paragraph" w:styleId="Heading1">
    <w:name w:val="heading 1"/>
    <w:basedOn w:val="Normal"/>
    <w:next w:val="Normal"/>
    <w:link w:val="Heading1Char"/>
    <w:qFormat/>
    <w:rsid w:val="006D4878"/>
    <w:pPr>
      <w:keepNext/>
      <w:numPr>
        <w:numId w:val="1"/>
      </w:numPr>
      <w:jc w:val="center"/>
      <w:outlineLvl w:val="0"/>
    </w:pPr>
    <w:rPr>
      <w:b/>
      <w:kern w:val="28"/>
    </w:rPr>
  </w:style>
  <w:style w:type="paragraph" w:styleId="Heading2">
    <w:name w:val="heading 2"/>
    <w:basedOn w:val="Normal"/>
    <w:next w:val="BodyText2"/>
    <w:link w:val="Heading2Char"/>
    <w:qFormat/>
    <w:rsid w:val="006D4878"/>
    <w:pPr>
      <w:keepNext/>
      <w:numPr>
        <w:ilvl w:val="1"/>
        <w:numId w:val="1"/>
      </w:numPr>
      <w:outlineLvl w:val="1"/>
    </w:pPr>
    <w:rPr>
      <w:b/>
    </w:rPr>
  </w:style>
  <w:style w:type="paragraph" w:styleId="Heading3">
    <w:name w:val="heading 3"/>
    <w:basedOn w:val="Normal"/>
    <w:next w:val="BodyText3"/>
    <w:link w:val="Heading3Char"/>
    <w:qFormat/>
    <w:rsid w:val="006D4878"/>
    <w:pPr>
      <w:numPr>
        <w:ilvl w:val="2"/>
        <w:numId w:val="1"/>
      </w:numPr>
      <w:outlineLvl w:val="2"/>
    </w:pPr>
  </w:style>
  <w:style w:type="paragraph" w:styleId="Heading4">
    <w:name w:val="heading 4"/>
    <w:basedOn w:val="Normal"/>
    <w:next w:val="Normal"/>
    <w:link w:val="Heading4Char"/>
    <w:qFormat/>
    <w:rsid w:val="006D4878"/>
    <w:pPr>
      <w:numPr>
        <w:ilvl w:val="3"/>
        <w:numId w:val="1"/>
      </w:numPr>
      <w:outlineLvl w:val="3"/>
    </w:pPr>
  </w:style>
  <w:style w:type="paragraph" w:styleId="Heading5">
    <w:name w:val="heading 5"/>
    <w:basedOn w:val="Normal"/>
    <w:next w:val="Normal"/>
    <w:link w:val="Heading5Char"/>
    <w:qFormat/>
    <w:rsid w:val="006D4878"/>
    <w:pPr>
      <w:numPr>
        <w:ilvl w:val="4"/>
        <w:numId w:val="1"/>
      </w:numPr>
      <w:outlineLvl w:val="4"/>
    </w:pPr>
  </w:style>
  <w:style w:type="paragraph" w:styleId="Heading6">
    <w:name w:val="heading 6"/>
    <w:basedOn w:val="Normal"/>
    <w:next w:val="Normal"/>
    <w:link w:val="Heading6Char"/>
    <w:qFormat/>
    <w:rsid w:val="006D4878"/>
    <w:pPr>
      <w:numPr>
        <w:ilvl w:val="5"/>
        <w:numId w:val="1"/>
      </w:numPr>
      <w:tabs>
        <w:tab w:val="left" w:pos="2880"/>
      </w:tabs>
      <w:outlineLvl w:val="5"/>
    </w:pPr>
  </w:style>
  <w:style w:type="paragraph" w:styleId="Heading7">
    <w:name w:val="heading 7"/>
    <w:basedOn w:val="Normal"/>
    <w:next w:val="Normal"/>
    <w:link w:val="Heading7Char"/>
    <w:qFormat/>
    <w:rsid w:val="006D4878"/>
    <w:pPr>
      <w:numPr>
        <w:ilvl w:val="6"/>
        <w:numId w:val="1"/>
      </w:numPr>
      <w:spacing w:before="240" w:after="60"/>
      <w:outlineLvl w:val="6"/>
    </w:pPr>
  </w:style>
  <w:style w:type="paragraph" w:styleId="Heading8">
    <w:name w:val="heading 8"/>
    <w:basedOn w:val="Normal"/>
    <w:next w:val="Normal"/>
    <w:link w:val="Heading8Char"/>
    <w:qFormat/>
    <w:rsid w:val="006D4878"/>
    <w:pPr>
      <w:numPr>
        <w:ilvl w:val="7"/>
        <w:numId w:val="1"/>
      </w:numPr>
      <w:spacing w:before="240" w:after="60"/>
      <w:outlineLvl w:val="7"/>
    </w:pPr>
    <w:rPr>
      <w:i/>
    </w:rPr>
  </w:style>
  <w:style w:type="paragraph" w:styleId="Heading9">
    <w:name w:val="heading 9"/>
    <w:basedOn w:val="Normal"/>
    <w:next w:val="Normal"/>
    <w:link w:val="Heading9Char"/>
    <w:qFormat/>
    <w:rsid w:val="006D4878"/>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4878"/>
    <w:rPr>
      <w:rFonts w:ascii="Arial" w:eastAsia="Times New Roman" w:hAnsi="Arial" w:cs="Arial"/>
      <w:b/>
      <w:kern w:val="28"/>
      <w:sz w:val="20"/>
      <w:szCs w:val="20"/>
    </w:rPr>
  </w:style>
  <w:style w:type="character" w:customStyle="1" w:styleId="Heading2Char">
    <w:name w:val="Heading 2 Char"/>
    <w:basedOn w:val="DefaultParagraphFont"/>
    <w:link w:val="Heading2"/>
    <w:rsid w:val="006D4878"/>
    <w:rPr>
      <w:rFonts w:ascii="Arial" w:eastAsia="Times New Roman" w:hAnsi="Arial" w:cs="Arial"/>
      <w:b/>
      <w:sz w:val="20"/>
      <w:szCs w:val="20"/>
    </w:rPr>
  </w:style>
  <w:style w:type="character" w:customStyle="1" w:styleId="Heading3Char">
    <w:name w:val="Heading 3 Char"/>
    <w:basedOn w:val="DefaultParagraphFont"/>
    <w:link w:val="Heading3"/>
    <w:rsid w:val="006D4878"/>
    <w:rPr>
      <w:rFonts w:ascii="Arial" w:eastAsia="Times New Roman" w:hAnsi="Arial" w:cs="Arial"/>
      <w:sz w:val="20"/>
      <w:szCs w:val="20"/>
    </w:rPr>
  </w:style>
  <w:style w:type="character" w:customStyle="1" w:styleId="Heading4Char">
    <w:name w:val="Heading 4 Char"/>
    <w:basedOn w:val="DefaultParagraphFont"/>
    <w:link w:val="Heading4"/>
    <w:rsid w:val="006D4878"/>
    <w:rPr>
      <w:rFonts w:ascii="Arial" w:eastAsia="Times New Roman" w:hAnsi="Arial" w:cs="Arial"/>
      <w:sz w:val="20"/>
      <w:szCs w:val="20"/>
    </w:rPr>
  </w:style>
  <w:style w:type="character" w:customStyle="1" w:styleId="Heading5Char">
    <w:name w:val="Heading 5 Char"/>
    <w:basedOn w:val="DefaultParagraphFont"/>
    <w:link w:val="Heading5"/>
    <w:rsid w:val="006D4878"/>
    <w:rPr>
      <w:rFonts w:ascii="Arial" w:eastAsia="Times New Roman" w:hAnsi="Arial" w:cs="Arial"/>
      <w:sz w:val="20"/>
      <w:szCs w:val="20"/>
    </w:rPr>
  </w:style>
  <w:style w:type="character" w:customStyle="1" w:styleId="Heading6Char">
    <w:name w:val="Heading 6 Char"/>
    <w:basedOn w:val="DefaultParagraphFont"/>
    <w:link w:val="Heading6"/>
    <w:rsid w:val="006D4878"/>
    <w:rPr>
      <w:rFonts w:ascii="Arial" w:eastAsia="Times New Roman" w:hAnsi="Arial" w:cs="Arial"/>
      <w:sz w:val="20"/>
      <w:szCs w:val="20"/>
    </w:rPr>
  </w:style>
  <w:style w:type="character" w:customStyle="1" w:styleId="Heading7Char">
    <w:name w:val="Heading 7 Char"/>
    <w:basedOn w:val="DefaultParagraphFont"/>
    <w:link w:val="Heading7"/>
    <w:rsid w:val="006D4878"/>
    <w:rPr>
      <w:rFonts w:ascii="Arial" w:eastAsia="Times New Roman" w:hAnsi="Arial" w:cs="Arial"/>
      <w:sz w:val="20"/>
      <w:szCs w:val="20"/>
    </w:rPr>
  </w:style>
  <w:style w:type="character" w:customStyle="1" w:styleId="Heading8Char">
    <w:name w:val="Heading 8 Char"/>
    <w:basedOn w:val="DefaultParagraphFont"/>
    <w:link w:val="Heading8"/>
    <w:rsid w:val="006D4878"/>
    <w:rPr>
      <w:rFonts w:ascii="Arial" w:eastAsia="Times New Roman" w:hAnsi="Arial" w:cs="Arial"/>
      <w:i/>
      <w:sz w:val="20"/>
      <w:szCs w:val="20"/>
    </w:rPr>
  </w:style>
  <w:style w:type="character" w:customStyle="1" w:styleId="Heading9Char">
    <w:name w:val="Heading 9 Char"/>
    <w:basedOn w:val="DefaultParagraphFont"/>
    <w:link w:val="Heading9"/>
    <w:rsid w:val="006D4878"/>
    <w:rPr>
      <w:rFonts w:ascii="Arial" w:eastAsia="Times New Roman" w:hAnsi="Arial" w:cs="Arial"/>
      <w:b/>
      <w:i/>
      <w:sz w:val="18"/>
      <w:szCs w:val="20"/>
    </w:rPr>
  </w:style>
  <w:style w:type="paragraph" w:styleId="BodyText2">
    <w:name w:val="Body Text 2"/>
    <w:basedOn w:val="Normal"/>
    <w:link w:val="BodyText2Char"/>
    <w:uiPriority w:val="99"/>
    <w:semiHidden/>
    <w:unhideWhenUsed/>
    <w:rsid w:val="006D4878"/>
    <w:pPr>
      <w:spacing w:line="480" w:lineRule="auto"/>
    </w:pPr>
  </w:style>
  <w:style w:type="character" w:customStyle="1" w:styleId="BodyText2Char">
    <w:name w:val="Body Text 2 Char"/>
    <w:basedOn w:val="DefaultParagraphFont"/>
    <w:link w:val="BodyText2"/>
    <w:uiPriority w:val="99"/>
    <w:semiHidden/>
    <w:rsid w:val="006D4878"/>
    <w:rPr>
      <w:rFonts w:ascii="Arial" w:eastAsia="Times New Roman" w:hAnsi="Arial" w:cs="Arial"/>
      <w:sz w:val="20"/>
      <w:szCs w:val="20"/>
    </w:rPr>
  </w:style>
  <w:style w:type="paragraph" w:styleId="BodyText3">
    <w:name w:val="Body Text 3"/>
    <w:basedOn w:val="Normal"/>
    <w:link w:val="BodyText3Char"/>
    <w:uiPriority w:val="99"/>
    <w:semiHidden/>
    <w:unhideWhenUsed/>
    <w:rsid w:val="006D4878"/>
    <w:rPr>
      <w:sz w:val="16"/>
      <w:szCs w:val="16"/>
    </w:rPr>
  </w:style>
  <w:style w:type="character" w:customStyle="1" w:styleId="BodyText3Char">
    <w:name w:val="Body Text 3 Char"/>
    <w:basedOn w:val="DefaultParagraphFont"/>
    <w:link w:val="BodyText3"/>
    <w:uiPriority w:val="99"/>
    <w:semiHidden/>
    <w:rsid w:val="006D4878"/>
    <w:rPr>
      <w:rFonts w:ascii="Arial" w:eastAsia="Times New Roman" w:hAnsi="Arial" w:cs="Arial"/>
      <w:sz w:val="16"/>
      <w:szCs w:val="16"/>
    </w:rPr>
  </w:style>
  <w:style w:type="paragraph" w:styleId="Header">
    <w:name w:val="header"/>
    <w:basedOn w:val="Normal"/>
    <w:link w:val="HeaderChar"/>
    <w:uiPriority w:val="99"/>
    <w:unhideWhenUsed/>
    <w:rsid w:val="006D4878"/>
    <w:pPr>
      <w:tabs>
        <w:tab w:val="center" w:pos="4513"/>
        <w:tab w:val="right" w:pos="9026"/>
      </w:tabs>
      <w:spacing w:before="0" w:after="0"/>
    </w:pPr>
  </w:style>
  <w:style w:type="character" w:customStyle="1" w:styleId="HeaderChar">
    <w:name w:val="Header Char"/>
    <w:basedOn w:val="DefaultParagraphFont"/>
    <w:link w:val="Header"/>
    <w:uiPriority w:val="99"/>
    <w:rsid w:val="006D4878"/>
    <w:rPr>
      <w:rFonts w:ascii="Arial" w:eastAsia="Times New Roman" w:hAnsi="Arial" w:cs="Arial"/>
      <w:sz w:val="20"/>
      <w:szCs w:val="20"/>
    </w:rPr>
  </w:style>
  <w:style w:type="paragraph" w:styleId="Footer">
    <w:name w:val="footer"/>
    <w:basedOn w:val="Normal"/>
    <w:link w:val="FooterChar"/>
    <w:uiPriority w:val="99"/>
    <w:unhideWhenUsed/>
    <w:rsid w:val="006D4878"/>
    <w:pPr>
      <w:tabs>
        <w:tab w:val="center" w:pos="4513"/>
        <w:tab w:val="right" w:pos="9026"/>
      </w:tabs>
      <w:spacing w:before="0" w:after="0"/>
    </w:pPr>
  </w:style>
  <w:style w:type="character" w:customStyle="1" w:styleId="FooterChar">
    <w:name w:val="Footer Char"/>
    <w:basedOn w:val="DefaultParagraphFont"/>
    <w:link w:val="Footer"/>
    <w:uiPriority w:val="99"/>
    <w:rsid w:val="006D4878"/>
    <w:rPr>
      <w:rFonts w:ascii="Arial" w:eastAsia="Times New Roman" w:hAnsi="Arial" w:cs="Arial"/>
      <w:sz w:val="20"/>
      <w:szCs w:val="20"/>
    </w:rPr>
  </w:style>
  <w:style w:type="paragraph" w:styleId="ListParagraph">
    <w:name w:val="List Paragraph"/>
    <w:basedOn w:val="Normal"/>
    <w:uiPriority w:val="34"/>
    <w:qFormat/>
    <w:rsid w:val="006D4878"/>
    <w:pPr>
      <w:ind w:left="720"/>
      <w:contextualSpacing/>
    </w:pPr>
  </w:style>
  <w:style w:type="paragraph" w:customStyle="1" w:styleId="Default">
    <w:name w:val="Default"/>
    <w:rsid w:val="003D4E1C"/>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D642EF"/>
    <w:rPr>
      <w:sz w:val="16"/>
      <w:szCs w:val="16"/>
    </w:rPr>
  </w:style>
  <w:style w:type="paragraph" w:styleId="CommentText">
    <w:name w:val="annotation text"/>
    <w:basedOn w:val="Normal"/>
    <w:link w:val="CommentTextChar"/>
    <w:uiPriority w:val="99"/>
    <w:semiHidden/>
    <w:unhideWhenUsed/>
    <w:rsid w:val="00D642EF"/>
  </w:style>
  <w:style w:type="character" w:customStyle="1" w:styleId="CommentTextChar">
    <w:name w:val="Comment Text Char"/>
    <w:basedOn w:val="DefaultParagraphFont"/>
    <w:link w:val="CommentText"/>
    <w:uiPriority w:val="99"/>
    <w:semiHidden/>
    <w:rsid w:val="00D642E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D642EF"/>
    <w:rPr>
      <w:b/>
      <w:bCs/>
    </w:rPr>
  </w:style>
  <w:style w:type="character" w:customStyle="1" w:styleId="CommentSubjectChar">
    <w:name w:val="Comment Subject Char"/>
    <w:basedOn w:val="CommentTextChar"/>
    <w:link w:val="CommentSubject"/>
    <w:uiPriority w:val="99"/>
    <w:semiHidden/>
    <w:rsid w:val="00D642EF"/>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D642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2EF"/>
    <w:rPr>
      <w:rFonts w:ascii="Tahoma" w:eastAsia="Times New Roman" w:hAnsi="Tahoma" w:cs="Tahoma"/>
      <w:sz w:val="16"/>
      <w:szCs w:val="16"/>
    </w:rPr>
  </w:style>
  <w:style w:type="character" w:styleId="Hyperlink">
    <w:name w:val="Hyperlink"/>
    <w:basedOn w:val="DefaultParagraphFont"/>
    <w:uiPriority w:val="99"/>
    <w:unhideWhenUsed/>
    <w:rsid w:val="00400092"/>
    <w:rPr>
      <w:color w:val="0000FF" w:themeColor="hyperlink"/>
      <w:u w:val="single"/>
    </w:rPr>
  </w:style>
  <w:style w:type="table" w:styleId="TableGrid">
    <w:name w:val="Table Grid"/>
    <w:basedOn w:val="TableNormal"/>
    <w:uiPriority w:val="59"/>
    <w:rsid w:val="00B32671"/>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GS">
    <w:name w:val="Normal GS"/>
    <w:basedOn w:val="Normal"/>
    <w:link w:val="NormalGSChar"/>
    <w:qFormat/>
    <w:rsid w:val="001879EB"/>
    <w:pPr>
      <w:overflowPunct/>
      <w:autoSpaceDE/>
      <w:autoSpaceDN/>
      <w:adjustRightInd/>
      <w:spacing w:before="0" w:after="0" w:line="360" w:lineRule="auto"/>
      <w:jc w:val="left"/>
      <w:textAlignment w:val="auto"/>
    </w:pPr>
    <w:rPr>
      <w:rFonts w:eastAsiaTheme="minorHAnsi" w:cstheme="minorBidi"/>
      <w:color w:val="005420"/>
      <w:sz w:val="18"/>
      <w:szCs w:val="22"/>
    </w:rPr>
  </w:style>
  <w:style w:type="character" w:customStyle="1" w:styleId="NormalGSChar">
    <w:name w:val="Normal GS Char"/>
    <w:basedOn w:val="DefaultParagraphFont"/>
    <w:link w:val="NormalGS"/>
    <w:rsid w:val="001879EB"/>
    <w:rPr>
      <w:rFonts w:ascii="Arial" w:hAnsi="Arial"/>
      <w:color w:val="005420"/>
      <w:sz w:val="18"/>
    </w:rPr>
  </w:style>
  <w:style w:type="paragraph" w:styleId="BodyText">
    <w:name w:val="Body Text"/>
    <w:basedOn w:val="Normal"/>
    <w:link w:val="BodyTextChar"/>
    <w:uiPriority w:val="99"/>
    <w:semiHidden/>
    <w:unhideWhenUsed/>
    <w:rsid w:val="00F3065B"/>
  </w:style>
  <w:style w:type="character" w:customStyle="1" w:styleId="BodyTextChar">
    <w:name w:val="Body Text Char"/>
    <w:basedOn w:val="DefaultParagraphFont"/>
    <w:link w:val="BodyText"/>
    <w:uiPriority w:val="99"/>
    <w:semiHidden/>
    <w:rsid w:val="00F3065B"/>
    <w:rPr>
      <w:rFonts w:ascii="Arial" w:eastAsia="Times New Roman" w:hAnsi="Arial" w:cs="Arial"/>
      <w:sz w:val="20"/>
      <w:szCs w:val="20"/>
    </w:rPr>
  </w:style>
  <w:style w:type="paragraph" w:customStyle="1" w:styleId="BulletList">
    <w:name w:val="Bullet List"/>
    <w:basedOn w:val="Normal"/>
    <w:autoRedefine/>
    <w:rsid w:val="00F3065B"/>
    <w:pPr>
      <w:numPr>
        <w:numId w:val="10"/>
      </w:numPr>
      <w:overflowPunct/>
      <w:autoSpaceDE/>
      <w:autoSpaceDN/>
      <w:adjustRightInd/>
      <w:jc w:val="left"/>
      <w:textAlignment w:val="auto"/>
    </w:pPr>
    <w:rPr>
      <w:rFonts w:ascii="Helvetica" w:eastAsia="Times" w:hAnsi="Helvetica" w:cs="Times New Roman"/>
      <w:sz w:val="24"/>
      <w:lang w:eastAsia="en-GB"/>
    </w:rPr>
  </w:style>
  <w:style w:type="paragraph" w:styleId="NormalWeb">
    <w:name w:val="Normal (Web)"/>
    <w:basedOn w:val="Normal"/>
    <w:uiPriority w:val="99"/>
    <w:semiHidden/>
    <w:unhideWhenUsed/>
    <w:rsid w:val="00682C64"/>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paragraph" w:styleId="Title">
    <w:name w:val="Title"/>
    <w:basedOn w:val="Normal"/>
    <w:link w:val="TitleChar"/>
    <w:qFormat/>
    <w:rsid w:val="00A562BE"/>
    <w:pPr>
      <w:overflowPunct/>
      <w:autoSpaceDE/>
      <w:autoSpaceDN/>
      <w:adjustRightInd/>
      <w:spacing w:before="60" w:after="60"/>
      <w:jc w:val="center"/>
      <w:textAlignment w:val="auto"/>
    </w:pPr>
    <w:rPr>
      <w:rFonts w:ascii="Tahoma" w:hAnsi="Tahoma" w:cs="Tahoma"/>
      <w:b/>
      <w:bCs/>
      <w:sz w:val="28"/>
      <w:szCs w:val="24"/>
    </w:rPr>
  </w:style>
  <w:style w:type="character" w:customStyle="1" w:styleId="TitleChar">
    <w:name w:val="Title Char"/>
    <w:basedOn w:val="DefaultParagraphFont"/>
    <w:link w:val="Title"/>
    <w:rsid w:val="00A562BE"/>
    <w:rPr>
      <w:rFonts w:ascii="Tahoma" w:eastAsia="Times New Roman" w:hAnsi="Tahoma" w:cs="Tahoma"/>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3601">
      <w:bodyDiv w:val="1"/>
      <w:marLeft w:val="0"/>
      <w:marRight w:val="0"/>
      <w:marTop w:val="0"/>
      <w:marBottom w:val="0"/>
      <w:divBdr>
        <w:top w:val="none" w:sz="0" w:space="0" w:color="auto"/>
        <w:left w:val="none" w:sz="0" w:space="0" w:color="auto"/>
        <w:bottom w:val="none" w:sz="0" w:space="0" w:color="auto"/>
        <w:right w:val="none" w:sz="0" w:space="0" w:color="auto"/>
      </w:divBdr>
      <w:divsChild>
        <w:div w:id="1192106815">
          <w:marLeft w:val="0"/>
          <w:marRight w:val="0"/>
          <w:marTop w:val="0"/>
          <w:marBottom w:val="0"/>
          <w:divBdr>
            <w:top w:val="none" w:sz="0" w:space="0" w:color="auto"/>
            <w:left w:val="none" w:sz="0" w:space="0" w:color="auto"/>
            <w:bottom w:val="none" w:sz="0" w:space="0" w:color="auto"/>
            <w:right w:val="none" w:sz="0" w:space="0" w:color="auto"/>
          </w:divBdr>
        </w:div>
      </w:divsChild>
    </w:div>
    <w:div w:id="1307710042">
      <w:bodyDiv w:val="1"/>
      <w:marLeft w:val="0"/>
      <w:marRight w:val="0"/>
      <w:marTop w:val="0"/>
      <w:marBottom w:val="0"/>
      <w:divBdr>
        <w:top w:val="none" w:sz="0" w:space="0" w:color="auto"/>
        <w:left w:val="none" w:sz="0" w:space="0" w:color="auto"/>
        <w:bottom w:val="none" w:sz="0" w:space="0" w:color="auto"/>
        <w:right w:val="none" w:sz="0" w:space="0" w:color="auto"/>
      </w:divBdr>
    </w:div>
    <w:div w:id="175446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ssets.publishing.service.gov.uk/media/5773de34e5274a0da3000113/final-report-energymarketinvestigation.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gov.uk/government/uploads/system/uploads/attachment_data/file/585019/energy-market-ECOES-DES-order-2016.pdf" TargetMode="External"/><Relationship Id="rId4" Type="http://schemas.microsoft.com/office/2007/relationships/stylesWithEffects" Target="stylesWithEffects.xml"/><Relationship Id="rId9" Type="http://schemas.openxmlformats.org/officeDocument/2006/relationships/hyperlink" Target="https://www.gov.uk/cma-cases/energy-market-investigatio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B8377-DE07-422D-B77B-587820DAB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1980</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2</cp:revision>
  <cp:lastPrinted>2017-04-03T15:26:00Z</cp:lastPrinted>
  <dcterms:created xsi:type="dcterms:W3CDTF">2017-06-19T15:19:00Z</dcterms:created>
  <dcterms:modified xsi:type="dcterms:W3CDTF">2017-06-19T15:19:00Z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648145129</vt:i4>
  </property>
  <property fmtid="{D5CDD505-2E9C-101B-9397-08002B2CF9AE}" pid="3" name="_NewReviewCycle">
    <vt:lpwstr/>
  </property>
  <property fmtid="{D5CDD505-2E9C-101B-9397-08002B2CF9AE}" pid="4" name="_EmailSubject">
    <vt:lpwstr>Mod 593 - PIA for workgroup </vt:lpwstr>
  </property>
  <property fmtid="{D5CDD505-2E9C-101B-9397-08002B2CF9AE}" pid="5" name="_AuthorEmail">
    <vt:lpwstr>Tahera.Choudhury@xoserve.com</vt:lpwstr>
  </property>
  <property fmtid="{D5CDD505-2E9C-101B-9397-08002B2CF9AE}" pid="6" name="_AuthorEmailDisplayName">
    <vt:lpwstr>Choudhury, Tahera</vt:lpwstr>
  </property>
</Properties>
</file>