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1" w:type="dxa"/>
        <w:tblInd w:w="-206" w:type="dxa"/>
        <w:shd w:val="clear" w:color="auto" w:fill="CCE0DA"/>
        <w:tblLayout w:type="fixed"/>
        <w:tblCellMar>
          <w:left w:w="0" w:type="dxa"/>
          <w:right w:w="0" w:type="dxa"/>
        </w:tblCellMar>
        <w:tblLook w:val="01E0" w:firstRow="1" w:lastRow="1" w:firstColumn="1" w:lastColumn="1" w:noHBand="0" w:noVBand="0"/>
      </w:tblPr>
      <w:tblGrid>
        <w:gridCol w:w="915"/>
        <w:gridCol w:w="7074"/>
        <w:gridCol w:w="152"/>
        <w:gridCol w:w="2130"/>
        <w:gridCol w:w="30"/>
      </w:tblGrid>
      <w:tr w:rsidR="00C471ED" w:rsidRPr="009469BE" w14:paraId="4D2DF2FD" w14:textId="77777777" w:rsidTr="0097577A">
        <w:trPr>
          <w:trHeight w:val="826"/>
        </w:trPr>
        <w:tc>
          <w:tcPr>
            <w:tcW w:w="7993" w:type="dxa"/>
            <w:gridSpan w:val="2"/>
            <w:tcBorders>
              <w:top w:val="single" w:sz="4" w:space="0" w:color="4A8958"/>
              <w:left w:val="single" w:sz="4" w:space="0" w:color="4A8958"/>
              <w:bottom w:val="single" w:sz="4" w:space="0" w:color="4A8958"/>
              <w:right w:val="single" w:sz="4" w:space="0" w:color="4A8958"/>
            </w:tcBorders>
            <w:shd w:val="clear" w:color="auto" w:fill="0096D7"/>
          </w:tcPr>
          <w:p w14:paraId="753687F6" w14:textId="77777777" w:rsidR="00C471ED" w:rsidRPr="009469BE" w:rsidRDefault="0097577A" w:rsidP="00774F15">
            <w:pPr>
              <w:spacing w:before="240" w:after="240"/>
              <w:ind w:left="206"/>
              <w:rPr>
                <w:color w:val="FFFFFF"/>
                <w:sz w:val="28"/>
                <w:szCs w:val="28"/>
              </w:rPr>
            </w:pPr>
            <w:r w:rsidRPr="008C182E">
              <w:rPr>
                <w:b/>
                <w:color w:val="FFFFFF"/>
                <w:sz w:val="28"/>
                <w:szCs w:val="28"/>
              </w:rPr>
              <w:t>Stage 02:</w:t>
            </w:r>
            <w:r w:rsidRPr="008C182E">
              <w:rPr>
                <w:color w:val="FFFFFF"/>
                <w:sz w:val="28"/>
                <w:szCs w:val="28"/>
              </w:rPr>
              <w:t xml:space="preserve"> Workgroup Report</w:t>
            </w:r>
          </w:p>
        </w:tc>
        <w:tc>
          <w:tcPr>
            <w:tcW w:w="152" w:type="dxa"/>
            <w:tcBorders>
              <w:top w:val="single" w:sz="4" w:space="0" w:color="4A8958"/>
              <w:left w:val="single" w:sz="4" w:space="0" w:color="4A8958"/>
              <w:bottom w:val="single" w:sz="4" w:space="0" w:color="FFFFFF"/>
              <w:right w:val="single" w:sz="4" w:space="0" w:color="4A8958"/>
            </w:tcBorders>
            <w:shd w:val="clear" w:color="auto" w:fill="auto"/>
          </w:tcPr>
          <w:p w14:paraId="480AD338" w14:textId="77777777" w:rsidR="00C471ED" w:rsidRPr="009469BE" w:rsidRDefault="00C471ED" w:rsidP="00731B99"/>
        </w:tc>
        <w:tc>
          <w:tcPr>
            <w:tcW w:w="2131" w:type="dxa"/>
            <w:tcBorders>
              <w:top w:val="single" w:sz="4" w:space="0" w:color="4A8958"/>
              <w:left w:val="single" w:sz="4" w:space="0" w:color="4A8958"/>
              <w:bottom w:val="single" w:sz="4" w:space="0" w:color="4A8958"/>
              <w:right w:val="single" w:sz="4" w:space="0" w:color="4A8958"/>
            </w:tcBorders>
            <w:shd w:val="clear" w:color="auto" w:fill="0096D7"/>
          </w:tcPr>
          <w:p w14:paraId="6255D6A5" w14:textId="77777777" w:rsidR="00C471ED" w:rsidRPr="009469BE" w:rsidRDefault="00F14070" w:rsidP="00F14070">
            <w:pPr>
              <w:pStyle w:val="BlockText"/>
              <w:spacing w:line="240" w:lineRule="auto"/>
              <w:ind w:left="57" w:right="-57"/>
              <w:rPr>
                <w:sz w:val="20"/>
              </w:rPr>
            </w:pPr>
            <w:r w:rsidRPr="009469BE">
              <w:rPr>
                <w:sz w:val="20"/>
              </w:rPr>
              <w:t>At w</w:t>
            </w:r>
            <w:r w:rsidR="00C471ED" w:rsidRPr="009469BE">
              <w:rPr>
                <w:sz w:val="20"/>
              </w:rPr>
              <w:t>hat stage is this document in the process?</w:t>
            </w:r>
          </w:p>
        </w:tc>
        <w:tc>
          <w:tcPr>
            <w:tcW w:w="25" w:type="dxa"/>
            <w:vMerge w:val="restart"/>
            <w:tcBorders>
              <w:top w:val="single" w:sz="4" w:space="0" w:color="FFFFFF"/>
              <w:left w:val="single" w:sz="4" w:space="0" w:color="4A8958"/>
              <w:right w:val="single" w:sz="4" w:space="0" w:color="FFFFFF"/>
            </w:tcBorders>
            <w:shd w:val="clear" w:color="auto" w:fill="auto"/>
          </w:tcPr>
          <w:p w14:paraId="121866D7" w14:textId="77777777" w:rsidR="00C471ED" w:rsidRPr="009469BE" w:rsidRDefault="00C471ED" w:rsidP="00731B99"/>
        </w:tc>
      </w:tr>
      <w:tr w:rsidR="003D41D8" w:rsidRPr="009469BE" w14:paraId="676F20BF" w14:textId="77777777" w:rsidTr="00E81739">
        <w:trPr>
          <w:trHeight w:val="2597"/>
        </w:trPr>
        <w:tc>
          <w:tcPr>
            <w:tcW w:w="7993" w:type="dxa"/>
            <w:gridSpan w:val="2"/>
            <w:tcBorders>
              <w:top w:val="single" w:sz="4" w:space="0" w:color="4A8958"/>
              <w:left w:val="single" w:sz="4" w:space="0" w:color="4A8958"/>
              <w:bottom w:val="single" w:sz="4" w:space="0" w:color="4A8958"/>
              <w:right w:val="single" w:sz="4" w:space="0" w:color="4A8958"/>
            </w:tcBorders>
            <w:shd w:val="clear" w:color="auto" w:fill="CCE0DA"/>
          </w:tcPr>
          <w:p w14:paraId="76CFA62E" w14:textId="77777777" w:rsidR="003D41D8" w:rsidRPr="00622259" w:rsidRDefault="002034ED" w:rsidP="00A50878">
            <w:pPr>
              <w:ind w:left="206"/>
              <w:rPr>
                <w:i/>
                <w:color w:val="00B274"/>
                <w:sz w:val="24"/>
              </w:rPr>
            </w:pPr>
            <w:r w:rsidRPr="00DC4325">
              <w:rPr>
                <w:color w:val="000000"/>
                <w:sz w:val="80"/>
                <w:szCs w:val="80"/>
              </w:rPr>
              <w:t>0506</w:t>
            </w:r>
            <w:r>
              <w:rPr>
                <w:color w:val="008576"/>
                <w:sz w:val="80"/>
                <w:szCs w:val="80"/>
              </w:rPr>
              <w:t xml:space="preserve"> </w:t>
            </w:r>
            <w:r w:rsidRPr="00486F4B">
              <w:rPr>
                <w:color w:val="0000FF"/>
                <w:sz w:val="80"/>
                <w:szCs w:val="80"/>
              </w:rPr>
              <w:t>0506A</w:t>
            </w:r>
            <w:r w:rsidR="00726171" w:rsidRPr="009469BE">
              <w:rPr>
                <w:color w:val="008576"/>
                <w:sz w:val="80"/>
                <w:szCs w:val="80"/>
              </w:rPr>
              <w:t>:</w:t>
            </w:r>
            <w:bookmarkStart w:id="0" w:name="_GoBack"/>
            <w:bookmarkEnd w:id="0"/>
          </w:p>
          <w:p w14:paraId="17271D7D" w14:textId="77777777" w:rsidR="009E1A09" w:rsidRPr="005079E0" w:rsidRDefault="002034ED" w:rsidP="0097577A">
            <w:pPr>
              <w:ind w:left="204"/>
              <w:rPr>
                <w:i/>
                <w:color w:val="00B274"/>
                <w:sz w:val="24"/>
              </w:rPr>
            </w:pPr>
            <w:r w:rsidRPr="005E7348">
              <w:rPr>
                <w:color w:val="008000"/>
                <w:sz w:val="48"/>
                <w:szCs w:val="48"/>
              </w:rPr>
              <w:t>Gas Performance Assurance Framework and Governance Arrangements</w:t>
            </w:r>
          </w:p>
        </w:tc>
        <w:tc>
          <w:tcPr>
            <w:tcW w:w="152" w:type="dxa"/>
            <w:tcBorders>
              <w:top w:val="single" w:sz="4" w:space="0" w:color="FFFFFF"/>
              <w:left w:val="single" w:sz="4" w:space="0" w:color="4A8958"/>
              <w:bottom w:val="single" w:sz="4" w:space="0" w:color="FFFFFF"/>
              <w:right w:val="single" w:sz="4" w:space="0" w:color="FFFFFF"/>
            </w:tcBorders>
            <w:shd w:val="clear" w:color="auto" w:fill="auto"/>
          </w:tcPr>
          <w:p w14:paraId="52A2F1BE" w14:textId="77777777" w:rsidR="00926F0E" w:rsidRPr="009469BE" w:rsidRDefault="00926F0E" w:rsidP="00926F0E">
            <w:pPr>
              <w:spacing w:line="240" w:lineRule="auto"/>
              <w:rPr>
                <w:rFonts w:eastAsia="ＭＳ 明朝"/>
                <w:color w:val="00B200"/>
                <w:lang w:val="en-US"/>
              </w:rPr>
            </w:pPr>
          </w:p>
          <w:p w14:paraId="5020DBBE" w14:textId="77777777" w:rsidR="003D41D8" w:rsidRDefault="003D41D8" w:rsidP="005079E0">
            <w:pPr>
              <w:spacing w:before="60" w:line="240" w:lineRule="auto"/>
              <w:rPr>
                <w:rFonts w:eastAsia="ＭＳ 明朝"/>
                <w:color w:val="008576"/>
                <w:lang w:val="en-US"/>
              </w:rPr>
            </w:pPr>
          </w:p>
          <w:p w14:paraId="179ADA13" w14:textId="77777777" w:rsidR="004B53C8" w:rsidRDefault="004B53C8" w:rsidP="005079E0">
            <w:pPr>
              <w:spacing w:before="60" w:line="240" w:lineRule="auto"/>
              <w:rPr>
                <w:rFonts w:eastAsia="ＭＳ 明朝"/>
                <w:color w:val="008576"/>
                <w:lang w:val="en-US"/>
              </w:rPr>
            </w:pPr>
          </w:p>
          <w:p w14:paraId="2AACBA69" w14:textId="77777777" w:rsidR="004B53C8" w:rsidRPr="009469BE" w:rsidRDefault="004B53C8" w:rsidP="005079E0">
            <w:pPr>
              <w:spacing w:before="60" w:line="240" w:lineRule="auto"/>
              <w:rPr>
                <w:color w:val="008576"/>
              </w:rPr>
            </w:pPr>
          </w:p>
        </w:tc>
        <w:tc>
          <w:tcPr>
            <w:tcW w:w="2131" w:type="dxa"/>
            <w:tcBorders>
              <w:top w:val="single" w:sz="4" w:space="0" w:color="4A8958"/>
              <w:left w:val="single" w:sz="4" w:space="0" w:color="FFFFFF"/>
              <w:bottom w:val="single" w:sz="4" w:space="0" w:color="FFFFFF"/>
              <w:right w:val="single" w:sz="4" w:space="0" w:color="4A8958"/>
            </w:tcBorders>
            <w:shd w:val="clear" w:color="auto" w:fill="auto"/>
          </w:tcPr>
          <w:p w14:paraId="3F7807C4" w14:textId="77777777" w:rsidR="003D41D8" w:rsidRPr="009469BE" w:rsidRDefault="00204D61" w:rsidP="00F2335B">
            <w:pPr>
              <w:spacing w:line="240" w:lineRule="auto"/>
              <w:rPr>
                <w:color w:val="008576"/>
              </w:rPr>
            </w:pPr>
            <w:r>
              <w:rPr>
                <w:noProof/>
                <w:lang w:val="en-US"/>
              </w:rPr>
              <w:drawing>
                <wp:inline distT="0" distB="0" distL="0" distR="0" wp14:anchorId="3CEB9D49" wp14:editId="35FDCDBD">
                  <wp:extent cx="1238885" cy="1531620"/>
                  <wp:effectExtent l="101600" t="76200" r="31115" b="144780"/>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25" w:type="dxa"/>
            <w:vMerge/>
            <w:tcBorders>
              <w:left w:val="single" w:sz="4" w:space="0" w:color="4A8958"/>
              <w:bottom w:val="single" w:sz="4" w:space="0" w:color="FFFFFF"/>
              <w:right w:val="single" w:sz="4" w:space="0" w:color="FFFFFF"/>
            </w:tcBorders>
            <w:shd w:val="clear" w:color="auto" w:fill="auto"/>
          </w:tcPr>
          <w:p w14:paraId="7ACEB7D3" w14:textId="77777777" w:rsidR="003D41D8" w:rsidRPr="009469BE" w:rsidRDefault="003D41D8" w:rsidP="00731B99"/>
        </w:tc>
      </w:tr>
      <w:tr w:rsidR="009E63A4" w:rsidRPr="009469BE" w14:paraId="5B693DA4" w14:textId="77777777" w:rsidTr="004B53C8">
        <w:trPr>
          <w:gridAfter w:val="1"/>
          <w:wAfter w:w="25" w:type="dxa"/>
          <w:trHeight w:val="1375"/>
        </w:trPr>
        <w:tc>
          <w:tcPr>
            <w:tcW w:w="7993" w:type="dxa"/>
            <w:gridSpan w:val="2"/>
            <w:tcBorders>
              <w:top w:val="single" w:sz="4" w:space="0" w:color="4A8958"/>
              <w:left w:val="single" w:sz="4" w:space="0" w:color="4A8958"/>
              <w:bottom w:val="single" w:sz="4" w:space="0" w:color="4A8958"/>
              <w:right w:val="single" w:sz="4" w:space="0" w:color="4A8958"/>
            </w:tcBorders>
            <w:shd w:val="clear" w:color="auto" w:fill="CCE0DA"/>
          </w:tcPr>
          <w:p w14:paraId="2D482C69" w14:textId="77777777" w:rsidR="002034ED" w:rsidRPr="005C19CA" w:rsidRDefault="00E86FE0" w:rsidP="006F4254">
            <w:pPr>
              <w:pStyle w:val="BodyText2"/>
              <w:spacing w:line="300" w:lineRule="atLeast"/>
              <w:ind w:left="57" w:right="57"/>
              <w:rPr>
                <w:sz w:val="24"/>
                <w:szCs w:val="28"/>
              </w:rPr>
            </w:pPr>
            <w:r>
              <w:rPr>
                <w:sz w:val="24"/>
                <w:szCs w:val="28"/>
              </w:rPr>
              <w:t>These</w:t>
            </w:r>
            <w:r w:rsidR="002034ED" w:rsidRPr="005C19CA">
              <w:rPr>
                <w:sz w:val="24"/>
                <w:szCs w:val="28"/>
              </w:rPr>
              <w:t xml:space="preserve"> modification</w:t>
            </w:r>
            <w:r>
              <w:rPr>
                <w:sz w:val="24"/>
                <w:szCs w:val="28"/>
              </w:rPr>
              <w:t>s seek</w:t>
            </w:r>
            <w:r w:rsidR="002034ED" w:rsidRPr="005C19CA">
              <w:rPr>
                <w:sz w:val="24"/>
                <w:szCs w:val="28"/>
              </w:rPr>
              <w:t xml:space="preserve"> to introduce a Gas Performance Assurance Framework to be used to facilitate assurance and incentivisation of settlement accuracy post-implementation of Project Nexus.</w:t>
            </w:r>
          </w:p>
          <w:p w14:paraId="44DC76A2" w14:textId="77777777" w:rsidR="009E63A4" w:rsidRPr="00291083" w:rsidRDefault="00E86FE0" w:rsidP="006F4254">
            <w:pPr>
              <w:pStyle w:val="BodyText2"/>
              <w:spacing w:line="300" w:lineRule="atLeast"/>
              <w:ind w:left="57" w:right="57"/>
              <w:rPr>
                <w:i/>
                <w:sz w:val="24"/>
              </w:rPr>
            </w:pPr>
            <w:r>
              <w:rPr>
                <w:sz w:val="24"/>
                <w:szCs w:val="28"/>
              </w:rPr>
              <w:t xml:space="preserve">These modifications </w:t>
            </w:r>
            <w:r w:rsidR="006F4254">
              <w:rPr>
                <w:sz w:val="24"/>
                <w:szCs w:val="28"/>
              </w:rPr>
              <w:t>only apply</w:t>
            </w:r>
            <w:r w:rsidR="002034ED" w:rsidRPr="00F75AC6">
              <w:rPr>
                <w:sz w:val="24"/>
                <w:szCs w:val="28"/>
              </w:rPr>
              <w:t xml:space="preserve"> to energy and supply points within LDZs (including Connected System Exit Supply Points), it does not apply to the National Transmission System and supply points connected to it.</w:t>
            </w:r>
          </w:p>
        </w:tc>
        <w:tc>
          <w:tcPr>
            <w:tcW w:w="2283" w:type="dxa"/>
            <w:gridSpan w:val="2"/>
            <w:vMerge w:val="restart"/>
            <w:tcBorders>
              <w:left w:val="single" w:sz="4" w:space="0" w:color="4A8958"/>
              <w:bottom w:val="single" w:sz="4" w:space="0" w:color="4A8958"/>
              <w:right w:val="single" w:sz="4" w:space="0" w:color="4A8958"/>
            </w:tcBorders>
            <w:shd w:val="clear" w:color="auto" w:fill="auto"/>
          </w:tcPr>
          <w:p w14:paraId="58C0116C" w14:textId="77777777" w:rsidR="009E63A4" w:rsidRPr="009469BE" w:rsidRDefault="009E63A4" w:rsidP="00731B99"/>
        </w:tc>
      </w:tr>
      <w:tr w:rsidR="009E63A4" w:rsidRPr="009469BE" w14:paraId="4755D138" w14:textId="77777777" w:rsidTr="00E81739">
        <w:trPr>
          <w:gridAfter w:val="1"/>
          <w:wAfter w:w="25" w:type="dxa"/>
          <w:trHeight w:val="899"/>
        </w:trPr>
        <w:tc>
          <w:tcPr>
            <w:tcW w:w="916" w:type="dxa"/>
            <w:tcBorders>
              <w:top w:val="single" w:sz="4" w:space="0" w:color="4A8958"/>
              <w:left w:val="single" w:sz="4" w:space="0" w:color="4A8958"/>
              <w:bottom w:val="single" w:sz="4" w:space="0" w:color="4A8958"/>
              <w:right w:val="single" w:sz="4" w:space="0" w:color="BFBFBF"/>
            </w:tcBorders>
            <w:shd w:val="clear" w:color="auto" w:fill="CCE0DA"/>
            <w:vAlign w:val="center"/>
          </w:tcPr>
          <w:p w14:paraId="6F6E9B82" w14:textId="77777777" w:rsidR="009E63A4" w:rsidRPr="009469BE" w:rsidRDefault="00204D61" w:rsidP="00731B99">
            <w:pPr>
              <w:ind w:firstLine="9"/>
              <w:jc w:val="center"/>
            </w:pPr>
            <w:r>
              <w:rPr>
                <w:noProof/>
                <w:lang w:val="en-US"/>
              </w:rPr>
              <w:drawing>
                <wp:inline distT="0" distB="0" distL="0" distR="0" wp14:anchorId="64CAABCB" wp14:editId="4E2D664F">
                  <wp:extent cx="476885" cy="476885"/>
                  <wp:effectExtent l="0" t="0" r="5715" b="5715"/>
                  <wp:docPr id="2" name="Picture 1" descr="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ES_GREEN"/>
                          <pic:cNvPicPr>
                            <a:picLocks noChangeAspect="1" noChangeArrowheads="1"/>
                          </pic:cNvPicPr>
                        </pic:nvPicPr>
                        <pic:blipFill>
                          <a:blip r:embed="rId14">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7077" w:type="dxa"/>
            <w:tcBorders>
              <w:top w:val="single" w:sz="4" w:space="0" w:color="4A8958"/>
              <w:left w:val="single" w:sz="4" w:space="0" w:color="BFBFBF"/>
              <w:bottom w:val="single" w:sz="4" w:space="0" w:color="4A8958"/>
              <w:right w:val="single" w:sz="4" w:space="0" w:color="4A8958"/>
            </w:tcBorders>
            <w:shd w:val="clear" w:color="auto" w:fill="CCE0DA"/>
          </w:tcPr>
          <w:p w14:paraId="0150CFC1" w14:textId="77777777" w:rsidR="00F14070" w:rsidRPr="009469BE" w:rsidRDefault="0097577A" w:rsidP="0097577A">
            <w:pPr>
              <w:pStyle w:val="BodyText3"/>
              <w:ind w:left="57" w:right="57"/>
            </w:pPr>
            <w:r w:rsidRPr="008C182E">
              <w:t>Th</w:t>
            </w:r>
            <w:r w:rsidR="002034ED">
              <w:t xml:space="preserve">e Workgroup recommends that these </w:t>
            </w:r>
            <w:r w:rsidRPr="008C182E">
              <w:t>modification</w:t>
            </w:r>
            <w:r w:rsidR="002034ED">
              <w:t>s</w:t>
            </w:r>
            <w:r w:rsidRPr="008C182E">
              <w:t xml:space="preserve"> </w:t>
            </w:r>
            <w:r w:rsidRPr="008C182E">
              <w:rPr>
                <w:lang w:val="en-US"/>
              </w:rPr>
              <w:t>should now proceed to consultation.</w:t>
            </w:r>
          </w:p>
        </w:tc>
        <w:tc>
          <w:tcPr>
            <w:tcW w:w="2283" w:type="dxa"/>
            <w:gridSpan w:val="2"/>
            <w:vMerge/>
            <w:tcBorders>
              <w:left w:val="single" w:sz="4" w:space="0" w:color="4A8958"/>
              <w:bottom w:val="single" w:sz="4" w:space="0" w:color="4A8958"/>
              <w:right w:val="single" w:sz="4" w:space="0" w:color="4A8958"/>
            </w:tcBorders>
            <w:shd w:val="clear" w:color="auto" w:fill="auto"/>
          </w:tcPr>
          <w:p w14:paraId="143EC69A" w14:textId="77777777" w:rsidR="009E63A4" w:rsidRPr="009469BE" w:rsidRDefault="009E63A4" w:rsidP="00731B99"/>
        </w:tc>
      </w:tr>
      <w:tr w:rsidR="009E63A4" w:rsidRPr="009469BE" w14:paraId="3BA27B85" w14:textId="77777777" w:rsidTr="00E81739">
        <w:trPr>
          <w:gridAfter w:val="1"/>
          <w:wAfter w:w="25" w:type="dxa"/>
          <w:trHeight w:val="739"/>
        </w:trPr>
        <w:tc>
          <w:tcPr>
            <w:tcW w:w="916" w:type="dxa"/>
            <w:tcBorders>
              <w:top w:val="single" w:sz="4" w:space="0" w:color="4A8958"/>
              <w:left w:val="single" w:sz="4" w:space="0" w:color="4A8958"/>
              <w:bottom w:val="single" w:sz="4" w:space="0" w:color="4A8958"/>
              <w:right w:val="single" w:sz="4" w:space="0" w:color="BFBFBF"/>
            </w:tcBorders>
            <w:shd w:val="clear" w:color="auto" w:fill="CCE0DA"/>
            <w:vAlign w:val="center"/>
          </w:tcPr>
          <w:p w14:paraId="42483D6E" w14:textId="77777777" w:rsidR="009E63A4" w:rsidRPr="009469BE" w:rsidRDefault="00204D61" w:rsidP="005079E0">
            <w:pPr>
              <w:spacing w:before="60" w:after="60"/>
              <w:ind w:firstLine="9"/>
              <w:jc w:val="center"/>
            </w:pPr>
            <w:r>
              <w:rPr>
                <w:noProof/>
                <w:lang w:val="en-US"/>
              </w:rPr>
              <w:drawing>
                <wp:inline distT="0" distB="0" distL="0" distR="0" wp14:anchorId="3EBABD31" wp14:editId="1CF8C823">
                  <wp:extent cx="470535" cy="470535"/>
                  <wp:effectExtent l="0" t="0" r="12065" b="12065"/>
                  <wp:docPr id="3" name="Picture 3" descr="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igh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inline>
              </w:drawing>
            </w:r>
          </w:p>
        </w:tc>
        <w:tc>
          <w:tcPr>
            <w:tcW w:w="7077" w:type="dxa"/>
            <w:tcBorders>
              <w:top w:val="single" w:sz="4" w:space="0" w:color="4A8958"/>
              <w:left w:val="single" w:sz="4" w:space="0" w:color="BFBFBF"/>
              <w:bottom w:val="single" w:sz="4" w:space="0" w:color="4A8958"/>
              <w:right w:val="single" w:sz="4" w:space="0" w:color="4A8958"/>
            </w:tcBorders>
            <w:shd w:val="clear" w:color="auto" w:fill="CCE0DA"/>
          </w:tcPr>
          <w:p w14:paraId="68696C4A" w14:textId="77777777" w:rsidR="009E63A4" w:rsidRPr="00876FA4" w:rsidRDefault="009E63A4" w:rsidP="005079E0">
            <w:pPr>
              <w:pStyle w:val="BodyText3"/>
              <w:spacing w:before="60" w:after="60"/>
              <w:ind w:left="57" w:right="57"/>
            </w:pPr>
            <w:r w:rsidRPr="00876FA4">
              <w:t>High Impact:</w:t>
            </w:r>
          </w:p>
          <w:p w14:paraId="2F6C5017" w14:textId="77777777" w:rsidR="009E63A4" w:rsidRPr="00876FA4" w:rsidRDefault="002034ED" w:rsidP="005079E0">
            <w:pPr>
              <w:pStyle w:val="BodyText3"/>
              <w:spacing w:before="60" w:after="60"/>
              <w:ind w:left="57" w:right="57"/>
            </w:pPr>
            <w:r w:rsidRPr="005E7348">
              <w:t>Shippers and Transporters</w:t>
            </w:r>
          </w:p>
        </w:tc>
        <w:tc>
          <w:tcPr>
            <w:tcW w:w="2283" w:type="dxa"/>
            <w:gridSpan w:val="2"/>
            <w:vMerge/>
            <w:tcBorders>
              <w:left w:val="single" w:sz="4" w:space="0" w:color="4A8958"/>
              <w:bottom w:val="single" w:sz="4" w:space="0" w:color="4A8958"/>
              <w:right w:val="single" w:sz="4" w:space="0" w:color="4A8958"/>
            </w:tcBorders>
            <w:shd w:val="clear" w:color="auto" w:fill="auto"/>
          </w:tcPr>
          <w:p w14:paraId="694949D6" w14:textId="77777777" w:rsidR="009E63A4" w:rsidRPr="009469BE" w:rsidRDefault="009E63A4" w:rsidP="00731B99"/>
        </w:tc>
      </w:tr>
      <w:tr w:rsidR="009E63A4" w:rsidRPr="009469BE" w14:paraId="0203C34A" w14:textId="77777777" w:rsidTr="00E81739">
        <w:trPr>
          <w:gridAfter w:val="1"/>
          <w:wAfter w:w="25" w:type="dxa"/>
          <w:trHeight w:val="582"/>
        </w:trPr>
        <w:tc>
          <w:tcPr>
            <w:tcW w:w="916" w:type="dxa"/>
            <w:tcBorders>
              <w:top w:val="single" w:sz="4" w:space="0" w:color="4A8958"/>
              <w:left w:val="single" w:sz="4" w:space="0" w:color="4A8958"/>
              <w:bottom w:val="single" w:sz="4" w:space="0" w:color="4A8958"/>
              <w:right w:val="single" w:sz="4" w:space="0" w:color="BFBFBF"/>
            </w:tcBorders>
            <w:shd w:val="clear" w:color="auto" w:fill="CCE0DA"/>
            <w:vAlign w:val="center"/>
          </w:tcPr>
          <w:p w14:paraId="636982EB" w14:textId="77777777" w:rsidR="009E63A4" w:rsidRPr="009469BE" w:rsidRDefault="00204D61" w:rsidP="005079E0">
            <w:pPr>
              <w:spacing w:before="60" w:after="60"/>
              <w:ind w:firstLine="9"/>
              <w:jc w:val="center"/>
            </w:pPr>
            <w:r>
              <w:rPr>
                <w:noProof/>
                <w:lang w:val="en-US"/>
              </w:rPr>
              <w:drawing>
                <wp:inline distT="0" distB="0" distL="0" distR="0" wp14:anchorId="0F229732" wp14:editId="3D0F20A5">
                  <wp:extent cx="437515" cy="437515"/>
                  <wp:effectExtent l="0" t="0" r="0" b="0"/>
                  <wp:docPr id="4" name="Picture 4" descr="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w_Impact"/>
                          <pic:cNvPicPr>
                            <a:picLocks noChangeAspect="1" noChangeArrowheads="1"/>
                          </pic:cNvPicPr>
                        </pic:nvPicPr>
                        <pic:blipFill>
                          <a:blip r:embed="rId16">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tc>
        <w:tc>
          <w:tcPr>
            <w:tcW w:w="7077" w:type="dxa"/>
            <w:tcBorders>
              <w:top w:val="single" w:sz="4" w:space="0" w:color="4A8958"/>
              <w:left w:val="single" w:sz="4" w:space="0" w:color="BFBFBF"/>
              <w:bottom w:val="single" w:sz="4" w:space="0" w:color="4A8958"/>
              <w:right w:val="single" w:sz="4" w:space="0" w:color="4A8958"/>
            </w:tcBorders>
            <w:shd w:val="clear" w:color="auto" w:fill="CCE0DA"/>
          </w:tcPr>
          <w:p w14:paraId="61D056E6" w14:textId="77777777" w:rsidR="009E63A4" w:rsidRPr="00876FA4" w:rsidRDefault="009E63A4" w:rsidP="005079E0">
            <w:pPr>
              <w:pStyle w:val="BodyText3"/>
              <w:spacing w:before="60" w:after="60"/>
              <w:ind w:left="57" w:right="57"/>
            </w:pPr>
            <w:r w:rsidRPr="00876FA4">
              <w:t>Medium Impact:</w:t>
            </w:r>
          </w:p>
          <w:p w14:paraId="10A2941E" w14:textId="77777777" w:rsidR="009E63A4" w:rsidRPr="00876FA4" w:rsidRDefault="002034ED" w:rsidP="005079E0">
            <w:pPr>
              <w:pStyle w:val="BodyText3"/>
              <w:spacing w:before="60" w:after="60"/>
              <w:ind w:left="57" w:right="57"/>
            </w:pPr>
            <w:r>
              <w:t>None</w:t>
            </w:r>
          </w:p>
        </w:tc>
        <w:tc>
          <w:tcPr>
            <w:tcW w:w="2283" w:type="dxa"/>
            <w:gridSpan w:val="2"/>
            <w:vMerge/>
            <w:tcBorders>
              <w:left w:val="single" w:sz="4" w:space="0" w:color="4A8958"/>
              <w:bottom w:val="single" w:sz="4" w:space="0" w:color="4A8958"/>
              <w:right w:val="single" w:sz="4" w:space="0" w:color="4A8958"/>
            </w:tcBorders>
            <w:shd w:val="clear" w:color="auto" w:fill="auto"/>
          </w:tcPr>
          <w:p w14:paraId="4818FF37" w14:textId="77777777" w:rsidR="009E63A4" w:rsidRPr="009469BE" w:rsidRDefault="009E63A4" w:rsidP="00731B99"/>
        </w:tc>
      </w:tr>
      <w:tr w:rsidR="009E63A4" w:rsidRPr="009469BE" w14:paraId="7852A647" w14:textId="77777777" w:rsidTr="00E81739">
        <w:trPr>
          <w:gridAfter w:val="1"/>
          <w:wAfter w:w="25" w:type="dxa"/>
          <w:trHeight w:val="484"/>
        </w:trPr>
        <w:tc>
          <w:tcPr>
            <w:tcW w:w="916" w:type="dxa"/>
            <w:tcBorders>
              <w:top w:val="single" w:sz="4" w:space="0" w:color="4A8958"/>
              <w:left w:val="single" w:sz="4" w:space="0" w:color="4A8958"/>
              <w:bottom w:val="single" w:sz="4" w:space="0" w:color="4A8958"/>
              <w:right w:val="single" w:sz="4" w:space="0" w:color="BFBFBF"/>
            </w:tcBorders>
            <w:shd w:val="clear" w:color="auto" w:fill="CCE0DA"/>
          </w:tcPr>
          <w:p w14:paraId="6567AD58" w14:textId="77777777" w:rsidR="009E63A4" w:rsidRPr="009469BE" w:rsidRDefault="00204D61" w:rsidP="005079E0">
            <w:pPr>
              <w:spacing w:before="60" w:after="60"/>
              <w:ind w:firstLine="11"/>
              <w:jc w:val="center"/>
            </w:pPr>
            <w:r>
              <w:rPr>
                <w:noProof/>
                <w:lang w:val="en-US"/>
              </w:rPr>
              <w:drawing>
                <wp:inline distT="0" distB="0" distL="0" distR="0" wp14:anchorId="08643EB9" wp14:editId="08C6FE73">
                  <wp:extent cx="470535" cy="470535"/>
                  <wp:effectExtent l="0" t="0" r="12065" b="12065"/>
                  <wp:docPr id="5" name="Picture 2" descr="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dium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inline>
              </w:drawing>
            </w:r>
          </w:p>
        </w:tc>
        <w:tc>
          <w:tcPr>
            <w:tcW w:w="7077" w:type="dxa"/>
            <w:tcBorders>
              <w:top w:val="single" w:sz="4" w:space="0" w:color="4A8958"/>
              <w:left w:val="single" w:sz="4" w:space="0" w:color="BFBFBF"/>
              <w:bottom w:val="single" w:sz="4" w:space="0" w:color="4A8958"/>
              <w:right w:val="single" w:sz="4" w:space="0" w:color="4A8958"/>
            </w:tcBorders>
            <w:shd w:val="clear" w:color="auto" w:fill="CCE0DA"/>
          </w:tcPr>
          <w:p w14:paraId="55720367" w14:textId="77777777" w:rsidR="009E63A4" w:rsidRDefault="009E63A4" w:rsidP="005079E0">
            <w:pPr>
              <w:pStyle w:val="BodyText3"/>
              <w:spacing w:before="60" w:after="60"/>
              <w:ind w:left="57" w:right="57"/>
            </w:pPr>
            <w:r w:rsidRPr="00876FA4">
              <w:t>Low Impact:</w:t>
            </w:r>
          </w:p>
          <w:p w14:paraId="11F96F9F" w14:textId="77777777" w:rsidR="009E63A4" w:rsidRPr="00876FA4" w:rsidRDefault="002034ED" w:rsidP="005079E0">
            <w:pPr>
              <w:pStyle w:val="BodyText3"/>
              <w:spacing w:before="60" w:after="60"/>
              <w:ind w:left="57" w:right="57"/>
            </w:pPr>
            <w:r>
              <w:t>None</w:t>
            </w:r>
          </w:p>
        </w:tc>
        <w:tc>
          <w:tcPr>
            <w:tcW w:w="2283" w:type="dxa"/>
            <w:gridSpan w:val="2"/>
            <w:vMerge/>
            <w:tcBorders>
              <w:left w:val="single" w:sz="4" w:space="0" w:color="4A8958"/>
              <w:bottom w:val="single" w:sz="4" w:space="0" w:color="4A8958"/>
              <w:right w:val="single" w:sz="4" w:space="0" w:color="4A8958"/>
            </w:tcBorders>
            <w:shd w:val="clear" w:color="auto" w:fill="auto"/>
          </w:tcPr>
          <w:p w14:paraId="293BDB23" w14:textId="77777777" w:rsidR="009E63A4" w:rsidRPr="009469BE" w:rsidRDefault="009E63A4" w:rsidP="00731B99"/>
        </w:tc>
      </w:tr>
    </w:tbl>
    <w:p w14:paraId="15C1E676" w14:textId="77777777" w:rsidR="005B378E" w:rsidRDefault="005B378E" w:rsidP="005B378E"/>
    <w:p w14:paraId="4AB2E94D" w14:textId="77777777" w:rsidR="00C72782" w:rsidRDefault="00C72782" w:rsidP="005B378E"/>
    <w:p w14:paraId="4CACFDCC" w14:textId="77777777" w:rsidR="005079E0" w:rsidRDefault="005079E0" w:rsidP="005B378E"/>
    <w:p w14:paraId="2391583F" w14:textId="77777777" w:rsidR="005079E0" w:rsidRDefault="005079E0" w:rsidP="005B378E"/>
    <w:p w14:paraId="19F33A43" w14:textId="77777777" w:rsidR="005079E0" w:rsidRDefault="005079E0" w:rsidP="005B378E"/>
    <w:p w14:paraId="230ED9DC" w14:textId="77777777" w:rsidR="005079E0" w:rsidRDefault="005079E0" w:rsidP="005B378E"/>
    <w:p w14:paraId="0BC88545" w14:textId="77777777" w:rsidR="005079E0" w:rsidRDefault="005079E0" w:rsidP="005B378E"/>
    <w:p w14:paraId="26AD7252" w14:textId="77777777" w:rsidR="005079E0" w:rsidRDefault="005079E0" w:rsidP="005B378E"/>
    <w:p w14:paraId="67078DDA" w14:textId="77777777" w:rsidR="005079E0" w:rsidRPr="009469BE" w:rsidRDefault="005079E0" w:rsidP="005B378E"/>
    <w:p w14:paraId="27D9CAC6" w14:textId="77777777" w:rsidR="00A81AA5" w:rsidRDefault="00A81AA5"/>
    <w:p w14:paraId="6944DAF4" w14:textId="77777777" w:rsidR="008D5B54" w:rsidRDefault="008D5B54"/>
    <w:p w14:paraId="1190B85B" w14:textId="77777777" w:rsidR="008D5B54" w:rsidRDefault="008D5B54"/>
    <w:p w14:paraId="77FD3C3E" w14:textId="77777777" w:rsidR="008D5B54" w:rsidRDefault="008D5B54"/>
    <w:tbl>
      <w:tblPr>
        <w:tblW w:w="10173" w:type="dxa"/>
        <w:tblInd w:w="-34" w:type="dxa"/>
        <w:tblLayout w:type="fixed"/>
        <w:tblLook w:val="04A0" w:firstRow="1" w:lastRow="0" w:firstColumn="1" w:lastColumn="0" w:noHBand="0" w:noVBand="1"/>
      </w:tblPr>
      <w:tblGrid>
        <w:gridCol w:w="7905"/>
        <w:gridCol w:w="2268"/>
      </w:tblGrid>
      <w:tr w:rsidR="00F10E14" w:rsidRPr="009469BE" w14:paraId="21160E05" w14:textId="77777777" w:rsidTr="009E1A09">
        <w:trPr>
          <w:trHeight w:val="617"/>
        </w:trPr>
        <w:tc>
          <w:tcPr>
            <w:tcW w:w="7905"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48FD17C6" w14:textId="77777777" w:rsidR="00F10E14" w:rsidRPr="009469BE" w:rsidRDefault="00F10E14" w:rsidP="0097577A">
            <w:pPr>
              <w:pStyle w:val="Contents02"/>
              <w:rPr>
                <w:noProof/>
              </w:rPr>
            </w:pPr>
            <w:r w:rsidRPr="009469BE">
              <w:rPr>
                <w:noProof/>
              </w:rPr>
              <w:t>Contents</w:t>
            </w:r>
          </w:p>
          <w:p w14:paraId="3085ED82" w14:textId="77777777" w:rsidR="00B52044" w:rsidRPr="0097577A" w:rsidRDefault="00F10E14" w:rsidP="00B52044">
            <w:pPr>
              <w:pStyle w:val="TOCMOD"/>
              <w:rPr>
                <w:color w:val="0096D7"/>
              </w:rPr>
            </w:pPr>
            <w:r w:rsidRPr="009469BE">
              <w:fldChar w:fldCharType="begin"/>
            </w:r>
            <w:r w:rsidRPr="009469BE">
              <w:instrText xml:space="preserve"> TOC \o "1-1" </w:instrText>
            </w:r>
            <w:r w:rsidRPr="009469BE">
              <w:fldChar w:fldCharType="separate"/>
            </w:r>
            <w:r w:rsidR="00B52044" w:rsidRPr="0097577A">
              <w:rPr>
                <w:color w:val="0096D7"/>
              </w:rPr>
              <w:t>1</w:t>
            </w:r>
            <w:r w:rsidR="00B52044" w:rsidRPr="0097577A">
              <w:rPr>
                <w:color w:val="0096D7"/>
              </w:rPr>
              <w:tab/>
              <w:t>Summary</w:t>
            </w:r>
            <w:r w:rsidR="00B52044" w:rsidRPr="0097577A">
              <w:rPr>
                <w:color w:val="0096D7"/>
              </w:rPr>
              <w:tab/>
            </w:r>
            <w:r w:rsidR="00B52044" w:rsidRPr="0097577A">
              <w:rPr>
                <w:color w:val="0096D7"/>
              </w:rPr>
              <w:fldChar w:fldCharType="begin"/>
            </w:r>
            <w:r w:rsidR="00B52044" w:rsidRPr="0097577A">
              <w:rPr>
                <w:color w:val="0096D7"/>
              </w:rPr>
              <w:instrText xml:space="preserve"> PAGEREF _Toc275420900 \h </w:instrText>
            </w:r>
            <w:r w:rsidR="00B52044" w:rsidRPr="0097577A">
              <w:rPr>
                <w:color w:val="0096D7"/>
              </w:rPr>
            </w:r>
            <w:r w:rsidR="00B52044" w:rsidRPr="0097577A">
              <w:rPr>
                <w:color w:val="0096D7"/>
              </w:rPr>
              <w:fldChar w:fldCharType="separate"/>
            </w:r>
            <w:r w:rsidR="000B010D">
              <w:rPr>
                <w:color w:val="0096D7"/>
              </w:rPr>
              <w:t>3</w:t>
            </w:r>
            <w:r w:rsidR="00B52044" w:rsidRPr="0097577A">
              <w:rPr>
                <w:color w:val="0096D7"/>
              </w:rPr>
              <w:fldChar w:fldCharType="end"/>
            </w:r>
          </w:p>
          <w:p w14:paraId="1CF56141" w14:textId="77777777" w:rsidR="00B52044" w:rsidRPr="0097577A" w:rsidRDefault="00B52044" w:rsidP="00B52044">
            <w:pPr>
              <w:pStyle w:val="TOCMOD"/>
              <w:rPr>
                <w:color w:val="0096D7"/>
              </w:rPr>
            </w:pPr>
            <w:r w:rsidRPr="0097577A">
              <w:rPr>
                <w:color w:val="0096D7"/>
              </w:rPr>
              <w:t>2</w:t>
            </w:r>
            <w:r w:rsidRPr="0097577A">
              <w:rPr>
                <w:color w:val="0096D7"/>
              </w:rPr>
              <w:tab/>
              <w:t>Why Change?</w:t>
            </w:r>
            <w:r w:rsidRPr="0097577A">
              <w:rPr>
                <w:color w:val="0096D7"/>
              </w:rPr>
              <w:tab/>
            </w:r>
            <w:r w:rsidRPr="0097577A">
              <w:rPr>
                <w:color w:val="0096D7"/>
              </w:rPr>
              <w:fldChar w:fldCharType="begin"/>
            </w:r>
            <w:r w:rsidRPr="0097577A">
              <w:rPr>
                <w:color w:val="0096D7"/>
              </w:rPr>
              <w:instrText xml:space="preserve"> PAGEREF _Toc275420901 \h </w:instrText>
            </w:r>
            <w:r w:rsidRPr="0097577A">
              <w:rPr>
                <w:color w:val="0096D7"/>
              </w:rPr>
            </w:r>
            <w:r w:rsidRPr="0097577A">
              <w:rPr>
                <w:color w:val="0096D7"/>
              </w:rPr>
              <w:fldChar w:fldCharType="separate"/>
            </w:r>
            <w:r w:rsidR="000B010D">
              <w:rPr>
                <w:color w:val="0096D7"/>
              </w:rPr>
              <w:t>4</w:t>
            </w:r>
            <w:r w:rsidRPr="0097577A">
              <w:rPr>
                <w:color w:val="0096D7"/>
              </w:rPr>
              <w:fldChar w:fldCharType="end"/>
            </w:r>
          </w:p>
          <w:p w14:paraId="0CA0C9F7" w14:textId="77777777" w:rsidR="00B52044" w:rsidRPr="0097577A" w:rsidRDefault="00B52044" w:rsidP="00B52044">
            <w:pPr>
              <w:pStyle w:val="TOCMOD"/>
              <w:rPr>
                <w:color w:val="0096D7"/>
              </w:rPr>
            </w:pPr>
            <w:r w:rsidRPr="0097577A">
              <w:rPr>
                <w:color w:val="0096D7"/>
              </w:rPr>
              <w:t>3</w:t>
            </w:r>
            <w:r w:rsidRPr="0097577A">
              <w:rPr>
                <w:color w:val="0096D7"/>
              </w:rPr>
              <w:tab/>
              <w:t>Solution</w:t>
            </w:r>
            <w:r w:rsidRPr="0097577A">
              <w:rPr>
                <w:color w:val="0096D7"/>
              </w:rPr>
              <w:tab/>
            </w:r>
            <w:r w:rsidRPr="0097577A">
              <w:rPr>
                <w:color w:val="0096D7"/>
              </w:rPr>
              <w:fldChar w:fldCharType="begin"/>
            </w:r>
            <w:r w:rsidRPr="0097577A">
              <w:rPr>
                <w:color w:val="0096D7"/>
              </w:rPr>
              <w:instrText xml:space="preserve"> PAGEREF _Toc275420902 \h </w:instrText>
            </w:r>
            <w:r w:rsidRPr="0097577A">
              <w:rPr>
                <w:color w:val="0096D7"/>
              </w:rPr>
            </w:r>
            <w:r w:rsidRPr="0097577A">
              <w:rPr>
                <w:color w:val="0096D7"/>
              </w:rPr>
              <w:fldChar w:fldCharType="separate"/>
            </w:r>
            <w:r w:rsidR="000B010D">
              <w:rPr>
                <w:color w:val="0096D7"/>
              </w:rPr>
              <w:t>4</w:t>
            </w:r>
            <w:r w:rsidRPr="0097577A">
              <w:rPr>
                <w:color w:val="0096D7"/>
              </w:rPr>
              <w:fldChar w:fldCharType="end"/>
            </w:r>
          </w:p>
          <w:p w14:paraId="0F70C9EC" w14:textId="77777777" w:rsidR="00B52044" w:rsidRPr="0097577A" w:rsidRDefault="00B52044" w:rsidP="00B52044">
            <w:pPr>
              <w:pStyle w:val="TOCMOD"/>
              <w:rPr>
                <w:color w:val="0096D7"/>
              </w:rPr>
            </w:pPr>
            <w:r w:rsidRPr="0097577A">
              <w:rPr>
                <w:color w:val="0096D7"/>
              </w:rPr>
              <w:t>4</w:t>
            </w:r>
            <w:r w:rsidRPr="0097577A">
              <w:rPr>
                <w:color w:val="0096D7"/>
              </w:rPr>
              <w:tab/>
              <w:t>Relevant Objectives</w:t>
            </w:r>
            <w:r w:rsidRPr="0097577A">
              <w:rPr>
                <w:color w:val="0096D7"/>
              </w:rPr>
              <w:tab/>
            </w:r>
            <w:r w:rsidRPr="0097577A">
              <w:rPr>
                <w:color w:val="0096D7"/>
              </w:rPr>
              <w:fldChar w:fldCharType="begin"/>
            </w:r>
            <w:r w:rsidRPr="0097577A">
              <w:rPr>
                <w:color w:val="0096D7"/>
              </w:rPr>
              <w:instrText xml:space="preserve"> PAGEREF _Toc275420903 \h </w:instrText>
            </w:r>
            <w:r w:rsidRPr="0097577A">
              <w:rPr>
                <w:color w:val="0096D7"/>
              </w:rPr>
            </w:r>
            <w:r w:rsidRPr="0097577A">
              <w:rPr>
                <w:color w:val="0096D7"/>
              </w:rPr>
              <w:fldChar w:fldCharType="separate"/>
            </w:r>
            <w:r w:rsidR="000B010D">
              <w:rPr>
                <w:color w:val="0096D7"/>
              </w:rPr>
              <w:t>8</w:t>
            </w:r>
            <w:r w:rsidRPr="0097577A">
              <w:rPr>
                <w:color w:val="0096D7"/>
              </w:rPr>
              <w:fldChar w:fldCharType="end"/>
            </w:r>
          </w:p>
          <w:p w14:paraId="74FF1742" w14:textId="77777777" w:rsidR="00B52044" w:rsidRPr="0097577A" w:rsidRDefault="00B52044" w:rsidP="00B52044">
            <w:pPr>
              <w:pStyle w:val="TOCMOD"/>
              <w:rPr>
                <w:color w:val="0096D7"/>
              </w:rPr>
            </w:pPr>
            <w:r w:rsidRPr="0097577A">
              <w:rPr>
                <w:color w:val="0096D7"/>
              </w:rPr>
              <w:t>5</w:t>
            </w:r>
            <w:r w:rsidRPr="0097577A">
              <w:rPr>
                <w:color w:val="0096D7"/>
              </w:rPr>
              <w:tab/>
              <w:t>Implementation</w:t>
            </w:r>
            <w:r w:rsidRPr="0097577A">
              <w:rPr>
                <w:color w:val="0096D7"/>
              </w:rPr>
              <w:tab/>
            </w:r>
            <w:r w:rsidRPr="0097577A">
              <w:rPr>
                <w:color w:val="0096D7"/>
              </w:rPr>
              <w:fldChar w:fldCharType="begin"/>
            </w:r>
            <w:r w:rsidRPr="0097577A">
              <w:rPr>
                <w:color w:val="0096D7"/>
              </w:rPr>
              <w:instrText xml:space="preserve"> PAGEREF _Toc275420904 \h </w:instrText>
            </w:r>
            <w:r w:rsidRPr="0097577A">
              <w:rPr>
                <w:color w:val="0096D7"/>
              </w:rPr>
            </w:r>
            <w:r w:rsidRPr="0097577A">
              <w:rPr>
                <w:color w:val="0096D7"/>
              </w:rPr>
              <w:fldChar w:fldCharType="separate"/>
            </w:r>
            <w:r w:rsidR="000B010D">
              <w:rPr>
                <w:color w:val="0096D7"/>
              </w:rPr>
              <w:t>9</w:t>
            </w:r>
            <w:r w:rsidRPr="0097577A">
              <w:rPr>
                <w:color w:val="0096D7"/>
              </w:rPr>
              <w:fldChar w:fldCharType="end"/>
            </w:r>
          </w:p>
          <w:p w14:paraId="792C257A" w14:textId="77777777" w:rsidR="00B52044" w:rsidRPr="0097577A" w:rsidRDefault="00B52044" w:rsidP="00B52044">
            <w:pPr>
              <w:pStyle w:val="TOCMOD"/>
              <w:rPr>
                <w:color w:val="0096D7"/>
              </w:rPr>
            </w:pPr>
            <w:r w:rsidRPr="0097577A">
              <w:rPr>
                <w:color w:val="0096D7"/>
              </w:rPr>
              <w:t>6</w:t>
            </w:r>
            <w:r w:rsidRPr="0097577A">
              <w:rPr>
                <w:color w:val="0096D7"/>
              </w:rPr>
              <w:tab/>
              <w:t>Impacts</w:t>
            </w:r>
            <w:r w:rsidRPr="0097577A">
              <w:rPr>
                <w:color w:val="0096D7"/>
              </w:rPr>
              <w:tab/>
            </w:r>
            <w:r w:rsidRPr="0097577A">
              <w:rPr>
                <w:color w:val="0096D7"/>
              </w:rPr>
              <w:fldChar w:fldCharType="begin"/>
            </w:r>
            <w:r w:rsidRPr="0097577A">
              <w:rPr>
                <w:color w:val="0096D7"/>
              </w:rPr>
              <w:instrText xml:space="preserve"> PAGEREF _Toc275420905 \h </w:instrText>
            </w:r>
            <w:r w:rsidRPr="0097577A">
              <w:rPr>
                <w:color w:val="0096D7"/>
              </w:rPr>
            </w:r>
            <w:r w:rsidRPr="0097577A">
              <w:rPr>
                <w:color w:val="0096D7"/>
              </w:rPr>
              <w:fldChar w:fldCharType="separate"/>
            </w:r>
            <w:r w:rsidR="000B010D">
              <w:rPr>
                <w:color w:val="0096D7"/>
              </w:rPr>
              <w:t>10</w:t>
            </w:r>
            <w:r w:rsidRPr="0097577A">
              <w:rPr>
                <w:color w:val="0096D7"/>
              </w:rPr>
              <w:fldChar w:fldCharType="end"/>
            </w:r>
          </w:p>
          <w:p w14:paraId="2DA6A5BE" w14:textId="77777777" w:rsidR="00B52044" w:rsidRPr="0097577A" w:rsidRDefault="00B52044" w:rsidP="00B52044">
            <w:pPr>
              <w:pStyle w:val="TOCMOD"/>
              <w:rPr>
                <w:color w:val="0096D7"/>
              </w:rPr>
            </w:pPr>
            <w:r w:rsidRPr="0097577A">
              <w:rPr>
                <w:color w:val="0096D7"/>
              </w:rPr>
              <w:t>7</w:t>
            </w:r>
            <w:r w:rsidRPr="0097577A">
              <w:rPr>
                <w:color w:val="0096D7"/>
              </w:rPr>
              <w:tab/>
              <w:t>Legal Text</w:t>
            </w:r>
            <w:r w:rsidRPr="0097577A">
              <w:rPr>
                <w:color w:val="0096D7"/>
              </w:rPr>
              <w:tab/>
            </w:r>
            <w:r w:rsidRPr="0097577A">
              <w:rPr>
                <w:color w:val="0096D7"/>
              </w:rPr>
              <w:fldChar w:fldCharType="begin"/>
            </w:r>
            <w:r w:rsidRPr="0097577A">
              <w:rPr>
                <w:color w:val="0096D7"/>
              </w:rPr>
              <w:instrText xml:space="preserve"> PAGEREF _Toc275420906 \h </w:instrText>
            </w:r>
            <w:r w:rsidRPr="0097577A">
              <w:rPr>
                <w:color w:val="0096D7"/>
              </w:rPr>
            </w:r>
            <w:r w:rsidRPr="0097577A">
              <w:rPr>
                <w:color w:val="0096D7"/>
              </w:rPr>
              <w:fldChar w:fldCharType="separate"/>
            </w:r>
            <w:r w:rsidR="000B010D">
              <w:rPr>
                <w:color w:val="0096D7"/>
              </w:rPr>
              <w:t>10</w:t>
            </w:r>
            <w:r w:rsidRPr="0097577A">
              <w:rPr>
                <w:color w:val="0096D7"/>
              </w:rPr>
              <w:fldChar w:fldCharType="end"/>
            </w:r>
          </w:p>
          <w:p w14:paraId="6D313D91" w14:textId="77777777" w:rsidR="00B52044" w:rsidRPr="00B52044" w:rsidRDefault="00B52044" w:rsidP="00B52044">
            <w:pPr>
              <w:pStyle w:val="TOCMOD"/>
            </w:pPr>
            <w:r w:rsidRPr="0097577A">
              <w:rPr>
                <w:color w:val="0096D7"/>
              </w:rPr>
              <w:t>8</w:t>
            </w:r>
            <w:r w:rsidRPr="0097577A">
              <w:rPr>
                <w:color w:val="0096D7"/>
              </w:rPr>
              <w:tab/>
              <w:t>Recommendation</w:t>
            </w:r>
            <w:r w:rsidRPr="0097577A">
              <w:rPr>
                <w:color w:val="0096D7"/>
              </w:rPr>
              <w:tab/>
            </w:r>
            <w:r w:rsidRPr="0097577A">
              <w:rPr>
                <w:color w:val="0096D7"/>
              </w:rPr>
              <w:fldChar w:fldCharType="begin"/>
            </w:r>
            <w:r w:rsidRPr="0097577A">
              <w:rPr>
                <w:color w:val="0096D7"/>
              </w:rPr>
              <w:instrText xml:space="preserve"> PAGEREF _Toc275420907 \h </w:instrText>
            </w:r>
            <w:r w:rsidRPr="0097577A">
              <w:rPr>
                <w:color w:val="0096D7"/>
              </w:rPr>
            </w:r>
            <w:r w:rsidRPr="0097577A">
              <w:rPr>
                <w:color w:val="0096D7"/>
              </w:rPr>
              <w:fldChar w:fldCharType="separate"/>
            </w:r>
            <w:r w:rsidR="000B010D">
              <w:rPr>
                <w:color w:val="0096D7"/>
              </w:rPr>
              <w:t>11</w:t>
            </w:r>
            <w:r w:rsidRPr="0097577A">
              <w:rPr>
                <w:color w:val="0096D7"/>
              </w:rPr>
              <w:fldChar w:fldCharType="end"/>
            </w:r>
          </w:p>
          <w:p w14:paraId="1513D1D3" w14:textId="77777777" w:rsidR="00F10E14" w:rsidRPr="009469BE" w:rsidRDefault="00F10E14" w:rsidP="00B52044">
            <w:pPr>
              <w:pStyle w:val="TOCMOD"/>
            </w:pPr>
            <w:r w:rsidRPr="009469BE">
              <w:fldChar w:fldCharType="end"/>
            </w:r>
          </w:p>
          <w:p w14:paraId="34653FBB" w14:textId="77777777" w:rsidR="00F10E14" w:rsidRPr="009469BE" w:rsidRDefault="00F10E14" w:rsidP="0097577A">
            <w:pPr>
              <w:pStyle w:val="About02"/>
            </w:pPr>
            <w:r w:rsidRPr="009469BE">
              <w:t>About this document:</w:t>
            </w:r>
          </w:p>
          <w:p w14:paraId="2B4AA5A1" w14:textId="77777777" w:rsidR="0097577A" w:rsidRPr="008C182E" w:rsidRDefault="0097577A" w:rsidP="004A43B0">
            <w:r w:rsidRPr="008C182E">
              <w:t>This report will be p</w:t>
            </w:r>
            <w:r w:rsidR="00D4254B">
              <w:t xml:space="preserve">resented to the panel on 20 August </w:t>
            </w:r>
            <w:r>
              <w:t>2015</w:t>
            </w:r>
            <w:r w:rsidRPr="008C182E">
              <w:t>.</w:t>
            </w:r>
          </w:p>
          <w:p w14:paraId="69C0C9E8" w14:textId="77777777" w:rsidR="00924F3F" w:rsidRPr="00924F3F" w:rsidRDefault="0097577A" w:rsidP="004A43B0">
            <w:pPr>
              <w:rPr>
                <w:lang w:val="en-US"/>
              </w:rPr>
            </w:pPr>
            <w:r>
              <w:rPr>
                <w:lang w:val="en-US"/>
              </w:rPr>
              <w:t>The panel will consider whether the modification should proceed to consultation or be returned to the workgroup for further assessment.</w:t>
            </w:r>
          </w:p>
          <w:p w14:paraId="240EC0DE" w14:textId="77777777" w:rsidR="0097577A" w:rsidRDefault="0097577A" w:rsidP="0097577A">
            <w:pPr>
              <w:spacing w:before="240"/>
            </w:pP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301DAF" w14:paraId="4613B9CF" w14:textId="77777777" w:rsidTr="00E81739">
              <w:tc>
                <w:tcPr>
                  <w:tcW w:w="7933" w:type="dxa"/>
                  <w:gridSpan w:val="2"/>
                  <w:shd w:val="clear" w:color="auto" w:fill="auto"/>
                </w:tcPr>
                <w:p w14:paraId="6509DA97" w14:textId="77777777" w:rsidR="00AA69EF" w:rsidRPr="009E1A09" w:rsidRDefault="00AA69EF" w:rsidP="00D4254B">
                  <w:r w:rsidRPr="009E1A09">
                    <w:t xml:space="preserve">The </w:t>
                  </w:r>
                  <w:r w:rsidR="001F79B8">
                    <w:t xml:space="preserve">Workgroup </w:t>
                  </w:r>
                  <w:r w:rsidRPr="009E1A09">
                    <w:t>recommends the following timetable:</w:t>
                  </w:r>
                  <w:r w:rsidRPr="009E1A09">
                    <w:rPr>
                      <w:i/>
                    </w:rPr>
                    <w:t xml:space="preserve"> </w:t>
                  </w:r>
                </w:p>
              </w:tc>
            </w:tr>
            <w:tr w:rsidR="00D4254B" w:rsidRPr="00301DAF" w14:paraId="035B7E91" w14:textId="77777777" w:rsidTr="00E81739">
              <w:tc>
                <w:tcPr>
                  <w:tcW w:w="4673" w:type="dxa"/>
                  <w:shd w:val="clear" w:color="auto" w:fill="auto"/>
                </w:tcPr>
                <w:p w14:paraId="7DCC03B3" w14:textId="77777777" w:rsidR="00D4254B" w:rsidRPr="009E1A09" w:rsidRDefault="00D4254B" w:rsidP="00D4254B">
                  <w:pPr>
                    <w:tabs>
                      <w:tab w:val="left" w:pos="171"/>
                    </w:tabs>
                    <w:spacing w:before="60" w:after="60"/>
                  </w:pPr>
                  <w:r w:rsidRPr="009E1A09">
                    <w:t>Initial consideration by Workgroup</w:t>
                  </w:r>
                </w:p>
              </w:tc>
              <w:tc>
                <w:tcPr>
                  <w:tcW w:w="3260" w:type="dxa"/>
                  <w:shd w:val="clear" w:color="auto" w:fill="auto"/>
                  <w:vAlign w:val="center"/>
                </w:tcPr>
                <w:p w14:paraId="16B6F180" w14:textId="77777777" w:rsidR="00D4254B" w:rsidRPr="005E7348" w:rsidRDefault="00D4254B" w:rsidP="00D4254B">
                  <w:pPr>
                    <w:spacing w:before="40" w:after="40"/>
                  </w:pPr>
                  <w:r w:rsidRPr="005E7348">
                    <w:t>05 August 2014</w:t>
                  </w:r>
                </w:p>
              </w:tc>
            </w:tr>
            <w:tr w:rsidR="00D4254B" w:rsidRPr="00301DAF" w14:paraId="33B8E0A9" w14:textId="77777777" w:rsidTr="00E81739">
              <w:tc>
                <w:tcPr>
                  <w:tcW w:w="4673" w:type="dxa"/>
                  <w:shd w:val="clear" w:color="auto" w:fill="auto"/>
                </w:tcPr>
                <w:p w14:paraId="68132397" w14:textId="77777777" w:rsidR="00D4254B" w:rsidRPr="009E1A09" w:rsidRDefault="00D4254B" w:rsidP="00D4254B">
                  <w:pPr>
                    <w:tabs>
                      <w:tab w:val="left" w:pos="171"/>
                    </w:tabs>
                    <w:spacing w:before="60" w:after="60"/>
                  </w:pPr>
                  <w:r w:rsidRPr="009E1A09">
                    <w:t>Amended Modification considered by Workgroup</w:t>
                  </w:r>
                </w:p>
              </w:tc>
              <w:tc>
                <w:tcPr>
                  <w:tcW w:w="3260" w:type="dxa"/>
                  <w:shd w:val="clear" w:color="auto" w:fill="auto"/>
                  <w:vAlign w:val="center"/>
                </w:tcPr>
                <w:p w14:paraId="41494A6C" w14:textId="77777777" w:rsidR="00D4254B" w:rsidRPr="005E7348" w:rsidRDefault="00D4254B" w:rsidP="00D4254B">
                  <w:pPr>
                    <w:spacing w:before="40" w:after="40"/>
                  </w:pPr>
                  <w:r w:rsidRPr="005E7348">
                    <w:t>18 May 2015</w:t>
                  </w:r>
                </w:p>
              </w:tc>
            </w:tr>
            <w:tr w:rsidR="00D4254B" w:rsidRPr="00301DAF" w14:paraId="2AAA1ECA" w14:textId="77777777" w:rsidTr="00E81739">
              <w:tc>
                <w:tcPr>
                  <w:tcW w:w="4673" w:type="dxa"/>
                  <w:shd w:val="clear" w:color="auto" w:fill="auto"/>
                </w:tcPr>
                <w:p w14:paraId="568F7B8D" w14:textId="77777777" w:rsidR="00D4254B" w:rsidRPr="009E1A09" w:rsidRDefault="00D4254B" w:rsidP="00D4254B">
                  <w:pPr>
                    <w:tabs>
                      <w:tab w:val="left" w:pos="171"/>
                    </w:tabs>
                    <w:spacing w:before="60" w:after="60"/>
                  </w:pPr>
                  <w:r w:rsidRPr="009E1A09">
                    <w:t>Workgroup Report presented to Panel</w:t>
                  </w:r>
                </w:p>
              </w:tc>
              <w:tc>
                <w:tcPr>
                  <w:tcW w:w="3260" w:type="dxa"/>
                  <w:shd w:val="clear" w:color="auto" w:fill="auto"/>
                  <w:vAlign w:val="center"/>
                </w:tcPr>
                <w:p w14:paraId="5983A6FD" w14:textId="77777777" w:rsidR="00D4254B" w:rsidRPr="005E7348" w:rsidRDefault="00D4254B" w:rsidP="00D4254B">
                  <w:pPr>
                    <w:spacing w:before="40" w:after="40"/>
                  </w:pPr>
                  <w:r>
                    <w:t>20 August</w:t>
                  </w:r>
                  <w:r w:rsidRPr="005E7348">
                    <w:t xml:space="preserve"> 2015</w:t>
                  </w:r>
                </w:p>
              </w:tc>
            </w:tr>
            <w:tr w:rsidR="00D4254B" w:rsidRPr="00301DAF" w14:paraId="687C17A1" w14:textId="77777777" w:rsidTr="00E81739">
              <w:tc>
                <w:tcPr>
                  <w:tcW w:w="4673" w:type="dxa"/>
                  <w:shd w:val="clear" w:color="auto" w:fill="auto"/>
                </w:tcPr>
                <w:p w14:paraId="5B6BEDEB" w14:textId="77777777" w:rsidR="00D4254B" w:rsidRPr="009E1A09" w:rsidRDefault="00D4254B" w:rsidP="00D4254B">
                  <w:pPr>
                    <w:tabs>
                      <w:tab w:val="left" w:pos="171"/>
                    </w:tabs>
                    <w:spacing w:before="60" w:after="60"/>
                  </w:pPr>
                  <w:r w:rsidRPr="009E1A09">
                    <w:t>Draft Modification Report issued for consultation</w:t>
                  </w:r>
                </w:p>
              </w:tc>
              <w:tc>
                <w:tcPr>
                  <w:tcW w:w="3260" w:type="dxa"/>
                  <w:shd w:val="clear" w:color="auto" w:fill="auto"/>
                  <w:vAlign w:val="center"/>
                </w:tcPr>
                <w:p w14:paraId="56933599" w14:textId="77777777" w:rsidR="00D4254B" w:rsidRPr="005E7348" w:rsidRDefault="00D4254B" w:rsidP="00D4254B">
                  <w:pPr>
                    <w:spacing w:before="40" w:after="40"/>
                  </w:pPr>
                  <w:r>
                    <w:t>21</w:t>
                  </w:r>
                  <w:r w:rsidR="008842EF">
                    <w:t xml:space="preserve"> August</w:t>
                  </w:r>
                  <w:r w:rsidRPr="005E7348">
                    <w:t xml:space="preserve"> 2015</w:t>
                  </w:r>
                </w:p>
              </w:tc>
            </w:tr>
            <w:tr w:rsidR="00D4254B" w:rsidRPr="00301DAF" w14:paraId="65B55EDE" w14:textId="77777777" w:rsidTr="00E81739">
              <w:tc>
                <w:tcPr>
                  <w:tcW w:w="4673" w:type="dxa"/>
                  <w:shd w:val="clear" w:color="auto" w:fill="auto"/>
                </w:tcPr>
                <w:p w14:paraId="7BA36EA6" w14:textId="77777777" w:rsidR="00D4254B" w:rsidRPr="009E1A09" w:rsidRDefault="00D4254B" w:rsidP="00D4254B">
                  <w:pPr>
                    <w:tabs>
                      <w:tab w:val="left" w:pos="171"/>
                    </w:tabs>
                    <w:spacing w:before="60" w:after="60"/>
                  </w:pPr>
                  <w:r w:rsidRPr="009E1A09">
                    <w:t>Consultation Close-out for representations</w:t>
                  </w:r>
                </w:p>
              </w:tc>
              <w:tc>
                <w:tcPr>
                  <w:tcW w:w="3260" w:type="dxa"/>
                  <w:shd w:val="clear" w:color="auto" w:fill="auto"/>
                  <w:vAlign w:val="center"/>
                </w:tcPr>
                <w:p w14:paraId="47D8DD7A" w14:textId="77777777" w:rsidR="00D4254B" w:rsidRPr="005E7348" w:rsidRDefault="008842EF" w:rsidP="008842EF">
                  <w:pPr>
                    <w:spacing w:before="40" w:after="40"/>
                  </w:pPr>
                  <w:r>
                    <w:t>25 September</w:t>
                  </w:r>
                  <w:r w:rsidR="00D4254B" w:rsidRPr="005E7348">
                    <w:t xml:space="preserve"> 2015</w:t>
                  </w:r>
                </w:p>
              </w:tc>
            </w:tr>
            <w:tr w:rsidR="00D4254B" w:rsidRPr="00301DAF" w14:paraId="3057FA39" w14:textId="77777777" w:rsidTr="00E81739">
              <w:tc>
                <w:tcPr>
                  <w:tcW w:w="4673" w:type="dxa"/>
                  <w:shd w:val="clear" w:color="auto" w:fill="auto"/>
                </w:tcPr>
                <w:p w14:paraId="7A056AC6" w14:textId="77777777" w:rsidR="00D4254B" w:rsidRPr="009E1A09" w:rsidRDefault="00D4254B" w:rsidP="00D4254B">
                  <w:pPr>
                    <w:tabs>
                      <w:tab w:val="left" w:pos="171"/>
                    </w:tabs>
                    <w:spacing w:before="60" w:after="60"/>
                  </w:pPr>
                  <w:r w:rsidRPr="0078779D">
                    <w:t xml:space="preserve">Final Modification Report </w:t>
                  </w:r>
                  <w:r w:rsidRPr="00532F3F">
                    <w:rPr>
                      <w:lang w:val="en-US"/>
                    </w:rPr>
                    <w:t>published for Panel</w:t>
                  </w:r>
                </w:p>
              </w:tc>
              <w:tc>
                <w:tcPr>
                  <w:tcW w:w="3260" w:type="dxa"/>
                  <w:shd w:val="clear" w:color="auto" w:fill="auto"/>
                  <w:vAlign w:val="center"/>
                </w:tcPr>
                <w:p w14:paraId="3CDE1EFF" w14:textId="77777777" w:rsidR="00D4254B" w:rsidRPr="005E7348" w:rsidRDefault="008842EF" w:rsidP="00D4254B">
                  <w:pPr>
                    <w:spacing w:before="40" w:after="40"/>
                  </w:pPr>
                  <w:r>
                    <w:t>29 September</w:t>
                  </w:r>
                  <w:r w:rsidR="00D4254B" w:rsidRPr="005E7348">
                    <w:t xml:space="preserve"> 2015</w:t>
                  </w:r>
                </w:p>
              </w:tc>
            </w:tr>
            <w:tr w:rsidR="00D4254B" w:rsidRPr="00301DAF" w14:paraId="03EA0620" w14:textId="77777777" w:rsidTr="00E81739">
              <w:trPr>
                <w:trHeight w:val="93"/>
              </w:trPr>
              <w:tc>
                <w:tcPr>
                  <w:tcW w:w="4673" w:type="dxa"/>
                  <w:shd w:val="clear" w:color="auto" w:fill="auto"/>
                </w:tcPr>
                <w:p w14:paraId="3A273187" w14:textId="77777777" w:rsidR="00D4254B" w:rsidRPr="009E1A09" w:rsidRDefault="00D4254B" w:rsidP="00D4254B">
                  <w:pPr>
                    <w:tabs>
                      <w:tab w:val="left" w:pos="171"/>
                    </w:tabs>
                    <w:spacing w:before="60" w:after="60"/>
                  </w:pPr>
                  <w:r w:rsidRPr="009E1A09">
                    <w:t>UNC Modification Panel decision</w:t>
                  </w:r>
                </w:p>
              </w:tc>
              <w:tc>
                <w:tcPr>
                  <w:tcW w:w="3260" w:type="dxa"/>
                  <w:shd w:val="clear" w:color="auto" w:fill="auto"/>
                  <w:vAlign w:val="center"/>
                </w:tcPr>
                <w:p w14:paraId="0CA3D333" w14:textId="77777777" w:rsidR="00D4254B" w:rsidRPr="005E7348" w:rsidRDefault="008842EF" w:rsidP="00D4254B">
                  <w:pPr>
                    <w:spacing w:before="40" w:after="40"/>
                  </w:pPr>
                  <w:r>
                    <w:t>15 October</w:t>
                  </w:r>
                  <w:r w:rsidR="00D4254B">
                    <w:t xml:space="preserve"> 2015</w:t>
                  </w:r>
                </w:p>
              </w:tc>
            </w:tr>
            <w:tr w:rsidR="00D4254B" w:rsidRPr="00301DAF" w14:paraId="2C1CC1E2" w14:textId="77777777" w:rsidTr="00E81739">
              <w:trPr>
                <w:trHeight w:val="93"/>
              </w:trPr>
              <w:tc>
                <w:tcPr>
                  <w:tcW w:w="4673" w:type="dxa"/>
                  <w:shd w:val="clear" w:color="auto" w:fill="auto"/>
                </w:tcPr>
                <w:p w14:paraId="43F9AEC0" w14:textId="77777777" w:rsidR="00D4254B" w:rsidRPr="009E1A09" w:rsidRDefault="00D4254B" w:rsidP="00D4254B">
                  <w:pPr>
                    <w:tabs>
                      <w:tab w:val="left" w:pos="171"/>
                    </w:tabs>
                    <w:spacing w:before="60" w:after="60"/>
                  </w:pPr>
                </w:p>
              </w:tc>
              <w:tc>
                <w:tcPr>
                  <w:tcW w:w="3260" w:type="dxa"/>
                  <w:shd w:val="clear" w:color="auto" w:fill="auto"/>
                  <w:vAlign w:val="center"/>
                </w:tcPr>
                <w:p w14:paraId="5CB1CD45" w14:textId="77777777" w:rsidR="00D4254B" w:rsidRPr="005E7348" w:rsidRDefault="00D4254B" w:rsidP="00D4254B">
                  <w:pPr>
                    <w:spacing w:before="40" w:after="40"/>
                  </w:pPr>
                </w:p>
              </w:tc>
            </w:tr>
          </w:tbl>
          <w:p w14:paraId="6646D191" w14:textId="77777777" w:rsidR="006551B8" w:rsidRPr="00A81AA5" w:rsidRDefault="006551B8" w:rsidP="007E718E">
            <w:pPr>
              <w:pStyle w:val="BodyTextFirstIndent"/>
              <w:ind w:firstLine="0"/>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5E2990B" w14:textId="77777777" w:rsidR="00F10E14" w:rsidRPr="009469BE" w:rsidRDefault="00204D61" w:rsidP="00291083">
            <w:pPr>
              <w:pStyle w:val="BodyText"/>
              <w:spacing w:before="60" w:after="60" w:line="240" w:lineRule="auto"/>
            </w:pPr>
            <w:r>
              <w:rPr>
                <w:noProof/>
                <w:lang w:val="en-US"/>
              </w:rPr>
              <w:drawing>
                <wp:inline distT="0" distB="0" distL="0" distR="0" wp14:anchorId="551C40F1" wp14:editId="37F43C1C">
                  <wp:extent cx="287655" cy="287655"/>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F10E14" w:rsidRPr="009469BE">
              <w:rPr>
                <w:b/>
                <w:color w:val="008576"/>
              </w:rPr>
              <w:t xml:space="preserve"> Any questions?</w:t>
            </w:r>
          </w:p>
        </w:tc>
      </w:tr>
      <w:tr w:rsidR="00F10E14" w:rsidRPr="009469BE" w14:paraId="4050DCD5"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6624932E" w14:textId="77777777" w:rsidR="00F10E14" w:rsidRPr="009469BE"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42F42D9" w14:textId="77777777" w:rsidR="00F10E14" w:rsidRPr="009469BE" w:rsidRDefault="00F10E14" w:rsidP="00A81AA5">
            <w:pPr>
              <w:spacing w:before="60" w:after="60" w:line="240" w:lineRule="auto"/>
              <w:rPr>
                <w:color w:val="008576"/>
              </w:rPr>
            </w:pPr>
            <w:r w:rsidRPr="009469BE">
              <w:rPr>
                <w:color w:val="008576"/>
              </w:rPr>
              <w:t>Contact:</w:t>
            </w:r>
          </w:p>
          <w:p w14:paraId="44245154" w14:textId="77777777" w:rsidR="00F10E14" w:rsidRPr="009469BE" w:rsidRDefault="00F10E14" w:rsidP="00A81AA5">
            <w:pPr>
              <w:pStyle w:val="BodyText"/>
              <w:spacing w:before="60" w:after="60" w:line="240" w:lineRule="auto"/>
              <w:rPr>
                <w:color w:val="008576"/>
              </w:rPr>
            </w:pPr>
            <w:r w:rsidRPr="009469BE">
              <w:rPr>
                <w:b/>
                <w:color w:val="008576"/>
              </w:rPr>
              <w:t>Code Administrator</w:t>
            </w:r>
          </w:p>
        </w:tc>
      </w:tr>
      <w:tr w:rsidR="00F10E14" w:rsidRPr="009469BE" w14:paraId="639B751B"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79349EA2" w14:textId="77777777" w:rsidR="00F10E14" w:rsidRPr="009469BE"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2B6A316" w14:textId="77777777" w:rsidR="00F10E14" w:rsidRPr="009469BE" w:rsidRDefault="00204D61" w:rsidP="00A81AA5">
            <w:pPr>
              <w:pStyle w:val="BodyText"/>
              <w:spacing w:before="60" w:after="60" w:line="240" w:lineRule="auto"/>
              <w:rPr>
                <w:color w:val="008576"/>
              </w:rPr>
            </w:pPr>
            <w:r>
              <w:rPr>
                <w:b/>
                <w:noProof/>
                <w:color w:val="008576"/>
                <w:lang w:val="en-US"/>
              </w:rPr>
              <w:drawing>
                <wp:inline distT="0" distB="0" distL="0" distR="0" wp14:anchorId="2FB2E0DB" wp14:editId="7C68ED7F">
                  <wp:extent cx="287655" cy="287655"/>
                  <wp:effectExtent l="0" t="0" r="0" b="0"/>
                  <wp:docPr id="7" name="Picture 11"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F10E14" w:rsidRPr="009469BE">
              <w:rPr>
                <w:b/>
                <w:color w:val="008576"/>
                <w:lang w:val="en-US"/>
              </w:rPr>
              <w:t>enquiries@gasgovernance.co.uk</w:t>
            </w:r>
          </w:p>
        </w:tc>
      </w:tr>
      <w:tr w:rsidR="00F10E14" w:rsidRPr="009469BE" w14:paraId="43275F59"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5DE87F39" w14:textId="77777777" w:rsidR="00F10E14" w:rsidRPr="009469BE"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B65958F" w14:textId="77777777" w:rsidR="00F10E14" w:rsidRPr="009469BE" w:rsidRDefault="00204D61" w:rsidP="00A81AA5">
            <w:pPr>
              <w:pStyle w:val="BodyText"/>
              <w:spacing w:before="60" w:after="60" w:line="240" w:lineRule="auto"/>
              <w:rPr>
                <w:color w:val="008576"/>
              </w:rPr>
            </w:pPr>
            <w:r>
              <w:rPr>
                <w:b/>
                <w:noProof/>
                <w:color w:val="008576"/>
                <w:lang w:val="en-US"/>
              </w:rPr>
              <w:drawing>
                <wp:inline distT="0" distB="0" distL="0" distR="0" wp14:anchorId="606C2D53" wp14:editId="3113C3A9">
                  <wp:extent cx="287655" cy="287655"/>
                  <wp:effectExtent l="0" t="0" r="0" b="0"/>
                  <wp:docPr id="8" name="Picture 12" descr="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F10E14" w:rsidRPr="009469BE">
              <w:rPr>
                <w:b/>
                <w:color w:val="008576"/>
              </w:rPr>
              <w:t>0121 288 2107</w:t>
            </w:r>
          </w:p>
        </w:tc>
      </w:tr>
      <w:tr w:rsidR="008842EF" w:rsidRPr="009469BE" w14:paraId="79C0211E"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5881AF59"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230D742" w14:textId="77777777" w:rsidR="008842EF" w:rsidRPr="005E7348" w:rsidRDefault="008842EF" w:rsidP="00B77A7C">
            <w:pPr>
              <w:spacing w:line="240" w:lineRule="auto"/>
              <w:rPr>
                <w:color w:val="008576"/>
              </w:rPr>
            </w:pPr>
            <w:r w:rsidRPr="005E7348">
              <w:rPr>
                <w:color w:val="008576"/>
              </w:rPr>
              <w:t>Proposer</w:t>
            </w:r>
            <w:r>
              <w:rPr>
                <w:color w:val="008576"/>
              </w:rPr>
              <w:t xml:space="preserve"> 0506</w:t>
            </w:r>
            <w:r w:rsidRPr="005E7348">
              <w:rPr>
                <w:color w:val="008576"/>
              </w:rPr>
              <w:t>:</w:t>
            </w:r>
          </w:p>
          <w:p w14:paraId="26BE9E00" w14:textId="77777777" w:rsidR="008842EF" w:rsidRPr="005C19CA" w:rsidRDefault="008842EF" w:rsidP="00B77A7C">
            <w:pPr>
              <w:pStyle w:val="BodyText"/>
              <w:spacing w:after="0" w:line="240" w:lineRule="auto"/>
              <w:rPr>
                <w:color w:val="008576"/>
                <w:szCs w:val="24"/>
              </w:rPr>
            </w:pPr>
            <w:r w:rsidRPr="005C19CA">
              <w:rPr>
                <w:b/>
                <w:color w:val="008576"/>
                <w:szCs w:val="24"/>
              </w:rPr>
              <w:t>Angela Love</w:t>
            </w:r>
            <w:r>
              <w:rPr>
                <w:b/>
                <w:color w:val="008576"/>
                <w:szCs w:val="24"/>
              </w:rPr>
              <w:t xml:space="preserve"> </w:t>
            </w:r>
          </w:p>
        </w:tc>
      </w:tr>
      <w:tr w:rsidR="008842EF" w:rsidRPr="009469BE" w14:paraId="113EDBF9"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5AC378CD"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7FE48E3" w14:textId="77777777" w:rsidR="008842EF" w:rsidRPr="005C19CA" w:rsidRDefault="00204D61" w:rsidP="00B77A7C">
            <w:pPr>
              <w:pStyle w:val="BodyText"/>
              <w:spacing w:after="0" w:line="240" w:lineRule="auto"/>
              <w:rPr>
                <w:b/>
                <w:color w:val="008576"/>
                <w:szCs w:val="24"/>
              </w:rPr>
            </w:pPr>
            <w:r>
              <w:rPr>
                <w:b/>
                <w:noProof/>
                <w:color w:val="008576"/>
                <w:szCs w:val="24"/>
                <w:lang w:val="en-US"/>
              </w:rPr>
              <w:drawing>
                <wp:inline distT="0" distB="0" distL="0" distR="0" wp14:anchorId="5E46038F" wp14:editId="3F0364A2">
                  <wp:extent cx="287655" cy="28765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5C19CA">
              <w:rPr>
                <w:b/>
                <w:color w:val="008576"/>
                <w:szCs w:val="24"/>
              </w:rPr>
              <w:t xml:space="preserve"> </w:t>
            </w:r>
            <w:hyperlink r:id="rId21" w:history="1">
              <w:r w:rsidR="008842EF" w:rsidRPr="005C19CA">
                <w:rPr>
                  <w:rStyle w:val="Hyperlink"/>
                  <w:b/>
                  <w:szCs w:val="24"/>
                </w:rPr>
                <w:t>angela.love@scottishpower.com</w:t>
              </w:r>
            </w:hyperlink>
          </w:p>
        </w:tc>
      </w:tr>
      <w:tr w:rsidR="008842EF" w:rsidRPr="009469BE" w14:paraId="7C32488F"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33899914"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0C261E4" w14:textId="77777777" w:rsidR="008842EF" w:rsidRPr="005C19CA" w:rsidRDefault="00204D61" w:rsidP="00B77A7C">
            <w:pPr>
              <w:pStyle w:val="BodyText"/>
              <w:spacing w:line="240" w:lineRule="auto"/>
              <w:rPr>
                <w:color w:val="008576"/>
                <w:szCs w:val="24"/>
              </w:rPr>
            </w:pPr>
            <w:r>
              <w:rPr>
                <w:b/>
                <w:noProof/>
                <w:color w:val="008576"/>
                <w:szCs w:val="24"/>
                <w:lang w:val="en-US"/>
              </w:rPr>
              <w:drawing>
                <wp:inline distT="0" distB="0" distL="0" distR="0" wp14:anchorId="003872F9" wp14:editId="109F5EF3">
                  <wp:extent cx="287655" cy="287655"/>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5C19CA">
              <w:rPr>
                <w:b/>
                <w:color w:val="008576"/>
                <w:szCs w:val="24"/>
              </w:rPr>
              <w:t xml:space="preserve"> 0141 614 3365/07725 999391</w:t>
            </w:r>
          </w:p>
        </w:tc>
      </w:tr>
      <w:tr w:rsidR="008842EF" w:rsidRPr="009469BE" w14:paraId="0F01F209"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301682E5"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AA86939" w14:textId="77777777" w:rsidR="008842EF" w:rsidRPr="005E7348" w:rsidRDefault="008842EF" w:rsidP="00B77A7C">
            <w:pPr>
              <w:spacing w:line="240" w:lineRule="auto"/>
              <w:rPr>
                <w:color w:val="008576"/>
              </w:rPr>
            </w:pPr>
            <w:r w:rsidRPr="005E7348">
              <w:rPr>
                <w:color w:val="008576"/>
              </w:rPr>
              <w:t>Proposer</w:t>
            </w:r>
            <w:r>
              <w:rPr>
                <w:color w:val="008576"/>
              </w:rPr>
              <w:t xml:space="preserve"> 0506A</w:t>
            </w:r>
            <w:r w:rsidRPr="005E7348">
              <w:rPr>
                <w:color w:val="008576"/>
              </w:rPr>
              <w:t>:</w:t>
            </w:r>
          </w:p>
          <w:p w14:paraId="59D9AE56" w14:textId="77777777" w:rsidR="008842EF" w:rsidRPr="005C19CA" w:rsidRDefault="008842EF" w:rsidP="00B77A7C">
            <w:pPr>
              <w:pStyle w:val="BodyText"/>
              <w:spacing w:after="0" w:line="240" w:lineRule="auto"/>
              <w:rPr>
                <w:color w:val="008576"/>
                <w:szCs w:val="24"/>
              </w:rPr>
            </w:pPr>
            <w:r>
              <w:rPr>
                <w:b/>
                <w:color w:val="008576"/>
                <w:szCs w:val="24"/>
              </w:rPr>
              <w:t xml:space="preserve">Mark Jones </w:t>
            </w:r>
          </w:p>
        </w:tc>
      </w:tr>
      <w:tr w:rsidR="008842EF" w:rsidRPr="009469BE" w14:paraId="4F42002C"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58AF001C"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CA41EE4" w14:textId="77777777" w:rsidR="008842EF" w:rsidRPr="005C19CA" w:rsidRDefault="00204D61" w:rsidP="008842EF">
            <w:pPr>
              <w:pStyle w:val="BodyText"/>
              <w:spacing w:after="0" w:line="240" w:lineRule="auto"/>
              <w:rPr>
                <w:b/>
                <w:color w:val="008576"/>
                <w:szCs w:val="24"/>
              </w:rPr>
            </w:pPr>
            <w:r>
              <w:rPr>
                <w:b/>
                <w:noProof/>
                <w:color w:val="008576"/>
                <w:szCs w:val="24"/>
                <w:lang w:val="en-US"/>
              </w:rPr>
              <w:drawing>
                <wp:inline distT="0" distB="0" distL="0" distR="0" wp14:anchorId="4D0A555D" wp14:editId="2079A4C3">
                  <wp:extent cx="287655" cy="287655"/>
                  <wp:effectExtent l="0" t="0" r="0" b="0"/>
                  <wp:docPr id="1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5C19CA">
              <w:rPr>
                <w:b/>
                <w:color w:val="008576"/>
                <w:szCs w:val="24"/>
              </w:rPr>
              <w:t xml:space="preserve"> </w:t>
            </w:r>
            <w:r w:rsidR="008842EF" w:rsidRPr="008842EF">
              <w:rPr>
                <w:b/>
                <w:color w:val="008576"/>
                <w:szCs w:val="24"/>
              </w:rPr>
              <w:t>mark.jones@sse.com</w:t>
            </w:r>
          </w:p>
        </w:tc>
      </w:tr>
      <w:tr w:rsidR="008842EF" w:rsidRPr="009469BE" w14:paraId="034B5323"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320D6EAD"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85BC2C1" w14:textId="77777777" w:rsidR="008842EF" w:rsidRPr="005C19CA" w:rsidRDefault="00204D61" w:rsidP="008842EF">
            <w:pPr>
              <w:pStyle w:val="BodyText"/>
              <w:spacing w:line="240" w:lineRule="auto"/>
              <w:rPr>
                <w:color w:val="008576"/>
                <w:szCs w:val="24"/>
              </w:rPr>
            </w:pPr>
            <w:r>
              <w:rPr>
                <w:b/>
                <w:noProof/>
                <w:color w:val="008576"/>
                <w:szCs w:val="24"/>
                <w:lang w:val="en-US"/>
              </w:rPr>
              <w:drawing>
                <wp:inline distT="0" distB="0" distL="0" distR="0" wp14:anchorId="75B29FEF" wp14:editId="60AE7E85">
                  <wp:extent cx="287655" cy="287655"/>
                  <wp:effectExtent l="0" t="0" r="0" b="0"/>
                  <wp:docPr id="1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Pr>
                <w:b/>
                <w:color w:val="008576"/>
                <w:szCs w:val="24"/>
              </w:rPr>
              <w:t xml:space="preserve"> 0</w:t>
            </w:r>
            <w:r w:rsidR="008842EF" w:rsidRPr="008842EF">
              <w:rPr>
                <w:b/>
                <w:color w:val="008576"/>
                <w:szCs w:val="24"/>
              </w:rPr>
              <w:t>29 2024 9135</w:t>
            </w:r>
          </w:p>
        </w:tc>
      </w:tr>
      <w:tr w:rsidR="008842EF" w:rsidRPr="009469BE" w14:paraId="144887AA" w14:textId="77777777" w:rsidTr="009E1A09">
        <w:trPr>
          <w:trHeight w:val="615"/>
        </w:trPr>
        <w:tc>
          <w:tcPr>
            <w:tcW w:w="7905" w:type="dxa"/>
            <w:vMerge/>
            <w:tcBorders>
              <w:left w:val="single" w:sz="4" w:space="0" w:color="4A8958"/>
              <w:bottom w:val="single" w:sz="4" w:space="0" w:color="4A8958"/>
              <w:right w:val="single" w:sz="4" w:space="0" w:color="4A8958"/>
            </w:tcBorders>
            <w:shd w:val="clear" w:color="auto" w:fill="auto"/>
          </w:tcPr>
          <w:p w14:paraId="7BC12434" w14:textId="77777777" w:rsidR="008842EF" w:rsidRPr="009469BE" w:rsidRDefault="008842EF"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B96CB77" w14:textId="77777777" w:rsidR="008842EF" w:rsidRPr="005E7348" w:rsidRDefault="008842EF" w:rsidP="00B77A7C">
            <w:pPr>
              <w:spacing w:line="240" w:lineRule="auto"/>
              <w:rPr>
                <w:color w:val="008576"/>
              </w:rPr>
            </w:pPr>
            <w:r w:rsidRPr="005E7348">
              <w:rPr>
                <w:color w:val="008576"/>
              </w:rPr>
              <w:t>Transporter:</w:t>
            </w:r>
          </w:p>
          <w:p w14:paraId="23086647" w14:textId="77777777" w:rsidR="008842EF" w:rsidRPr="005C19CA" w:rsidRDefault="008842EF" w:rsidP="00B77A7C">
            <w:pPr>
              <w:pStyle w:val="BodyText"/>
              <w:spacing w:after="0" w:line="240" w:lineRule="auto"/>
              <w:rPr>
                <w:color w:val="008576"/>
                <w:szCs w:val="24"/>
              </w:rPr>
            </w:pPr>
            <w:r w:rsidRPr="005C19CA">
              <w:rPr>
                <w:b/>
                <w:color w:val="008576"/>
                <w:szCs w:val="24"/>
              </w:rPr>
              <w:t>Wales &amp; West Utilities</w:t>
            </w:r>
          </w:p>
        </w:tc>
      </w:tr>
      <w:tr w:rsidR="008842EF" w:rsidRPr="009469BE" w14:paraId="6867EB04" w14:textId="77777777" w:rsidTr="009E1A09">
        <w:trPr>
          <w:trHeight w:val="492"/>
        </w:trPr>
        <w:tc>
          <w:tcPr>
            <w:tcW w:w="7905" w:type="dxa"/>
            <w:vMerge/>
            <w:tcBorders>
              <w:left w:val="single" w:sz="4" w:space="0" w:color="4A8958"/>
              <w:bottom w:val="single" w:sz="4" w:space="0" w:color="4A8958"/>
              <w:right w:val="single" w:sz="4" w:space="0" w:color="4A8958"/>
            </w:tcBorders>
            <w:shd w:val="clear" w:color="auto" w:fill="auto"/>
          </w:tcPr>
          <w:p w14:paraId="3D893E61" w14:textId="77777777" w:rsidR="008842EF" w:rsidRPr="009469BE" w:rsidRDefault="008842EF" w:rsidP="004A3386">
            <w:pPr>
              <w:pStyle w:val="BodyText"/>
              <w:rPr>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52ADCDD" w14:textId="77777777" w:rsidR="008842EF" w:rsidRPr="005C19CA" w:rsidRDefault="00204D61" w:rsidP="00B77A7C">
            <w:pPr>
              <w:pStyle w:val="BodyText"/>
              <w:spacing w:after="0"/>
              <w:rPr>
                <w:b/>
                <w:color w:val="008576"/>
                <w:szCs w:val="24"/>
              </w:rPr>
            </w:pPr>
            <w:r>
              <w:rPr>
                <w:b/>
                <w:noProof/>
                <w:color w:val="008576"/>
                <w:szCs w:val="24"/>
                <w:lang w:val="en-US"/>
              </w:rPr>
              <w:drawing>
                <wp:inline distT="0" distB="0" distL="0" distR="0" wp14:anchorId="2138A755" wp14:editId="15783AC1">
                  <wp:extent cx="287655" cy="287655"/>
                  <wp:effectExtent l="0" t="0" r="0" b="0"/>
                  <wp:docPr id="1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5C19CA">
              <w:rPr>
                <w:b/>
                <w:color w:val="008576"/>
                <w:szCs w:val="24"/>
              </w:rPr>
              <w:t xml:space="preserve"> steven.j.edwards@wwutilities.co.uk</w:t>
            </w:r>
          </w:p>
        </w:tc>
      </w:tr>
      <w:tr w:rsidR="008842EF" w:rsidRPr="009469BE" w14:paraId="1FBEB2B8" w14:textId="77777777" w:rsidTr="009E1A09">
        <w:trPr>
          <w:trHeight w:val="492"/>
        </w:trPr>
        <w:tc>
          <w:tcPr>
            <w:tcW w:w="7905" w:type="dxa"/>
            <w:vMerge/>
            <w:tcBorders>
              <w:left w:val="single" w:sz="4" w:space="0" w:color="4A8958"/>
              <w:bottom w:val="single" w:sz="4" w:space="0" w:color="4A8958"/>
              <w:right w:val="single" w:sz="4" w:space="0" w:color="4A8958"/>
            </w:tcBorders>
            <w:shd w:val="clear" w:color="auto" w:fill="auto"/>
          </w:tcPr>
          <w:p w14:paraId="75AFE565" w14:textId="77777777" w:rsidR="008842EF" w:rsidRPr="009469BE" w:rsidRDefault="008842EF" w:rsidP="004A3386">
            <w:pPr>
              <w:pStyle w:val="BodyText"/>
              <w:rPr>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80057F0" w14:textId="77777777" w:rsidR="008842EF" w:rsidRPr="005E7348" w:rsidRDefault="008842EF" w:rsidP="00B77A7C">
            <w:pPr>
              <w:spacing w:line="240" w:lineRule="auto"/>
              <w:rPr>
                <w:color w:val="008576"/>
              </w:rPr>
            </w:pPr>
            <w:r w:rsidRPr="005E7348">
              <w:rPr>
                <w:color w:val="008576"/>
              </w:rPr>
              <w:t>Systems Provider:</w:t>
            </w:r>
          </w:p>
          <w:p w14:paraId="403A82F4" w14:textId="77777777" w:rsidR="008842EF" w:rsidRPr="005C19CA" w:rsidRDefault="008842EF" w:rsidP="00B77A7C">
            <w:pPr>
              <w:pStyle w:val="BodyText"/>
              <w:spacing w:after="0" w:line="240" w:lineRule="auto"/>
              <w:rPr>
                <w:b/>
                <w:noProof/>
                <w:color w:val="008576"/>
                <w:szCs w:val="24"/>
                <w:lang w:val="en-US"/>
              </w:rPr>
            </w:pPr>
            <w:r w:rsidRPr="005C19CA">
              <w:rPr>
                <w:b/>
                <w:color w:val="008576"/>
                <w:szCs w:val="24"/>
              </w:rPr>
              <w:t>Xoserve</w:t>
            </w:r>
          </w:p>
        </w:tc>
      </w:tr>
      <w:tr w:rsidR="008842EF" w:rsidRPr="009469BE" w14:paraId="2D6B109B" w14:textId="77777777" w:rsidTr="009E1A09">
        <w:trPr>
          <w:trHeight w:val="493"/>
        </w:trPr>
        <w:tc>
          <w:tcPr>
            <w:tcW w:w="7905" w:type="dxa"/>
            <w:vMerge/>
            <w:tcBorders>
              <w:left w:val="single" w:sz="4" w:space="0" w:color="4A8958"/>
              <w:bottom w:val="single" w:sz="4" w:space="0" w:color="4A8958"/>
              <w:right w:val="single" w:sz="4" w:space="0" w:color="4A8958"/>
            </w:tcBorders>
            <w:shd w:val="clear" w:color="auto" w:fill="auto"/>
          </w:tcPr>
          <w:p w14:paraId="71DAFBC8" w14:textId="77777777" w:rsidR="008842EF" w:rsidRPr="009469BE" w:rsidRDefault="008842EF" w:rsidP="004A3386">
            <w:pPr>
              <w:pStyle w:val="BodyText"/>
              <w:rPr>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8FA17AC" w14:textId="77777777" w:rsidR="008842EF" w:rsidRPr="005C19CA" w:rsidRDefault="00204D61" w:rsidP="00B77A7C">
            <w:pPr>
              <w:pStyle w:val="BodyText"/>
              <w:spacing w:after="0"/>
              <w:rPr>
                <w:b/>
                <w:color w:val="008576"/>
                <w:szCs w:val="24"/>
              </w:rPr>
            </w:pPr>
            <w:r>
              <w:rPr>
                <w:b/>
                <w:noProof/>
                <w:color w:val="008576"/>
                <w:szCs w:val="24"/>
                <w:lang w:val="en-US"/>
              </w:rPr>
              <w:drawing>
                <wp:inline distT="0" distB="0" distL="0" distR="0" wp14:anchorId="4072AD8B" wp14:editId="0A788684">
                  <wp:extent cx="287655" cy="287655"/>
                  <wp:effectExtent l="0" t="0" r="0" b="0"/>
                  <wp:docPr id="1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5C19CA">
              <w:rPr>
                <w:b/>
                <w:color w:val="008576"/>
                <w:szCs w:val="24"/>
              </w:rPr>
              <w:t xml:space="preserve"> </w:t>
            </w:r>
            <w:hyperlink r:id="rId22" w:history="1">
              <w:r w:rsidR="008842EF" w:rsidRPr="005C19CA">
                <w:rPr>
                  <w:rStyle w:val="Hyperlink"/>
                  <w:b/>
                  <w:szCs w:val="24"/>
                  <w:u w:color="083AA5"/>
                  <w:lang w:val="en-US"/>
                </w:rPr>
                <w:t>commercial.enquiries@xoserve.com</w:t>
              </w:r>
            </w:hyperlink>
          </w:p>
        </w:tc>
      </w:tr>
      <w:tr w:rsidR="008842EF" w:rsidRPr="009469BE" w14:paraId="6DF55FD8" w14:textId="77777777" w:rsidTr="009E1A09">
        <w:trPr>
          <w:trHeight w:val="492"/>
        </w:trPr>
        <w:tc>
          <w:tcPr>
            <w:tcW w:w="7905" w:type="dxa"/>
            <w:vMerge/>
            <w:tcBorders>
              <w:left w:val="single" w:sz="4" w:space="0" w:color="4A8958"/>
              <w:bottom w:val="single" w:sz="4" w:space="0" w:color="4A8958"/>
              <w:right w:val="single" w:sz="4" w:space="0" w:color="4A8958"/>
            </w:tcBorders>
            <w:shd w:val="clear" w:color="auto" w:fill="auto"/>
          </w:tcPr>
          <w:p w14:paraId="7F68CC2B" w14:textId="77777777" w:rsidR="008842EF" w:rsidRPr="009469BE" w:rsidRDefault="008842EF" w:rsidP="004A3386">
            <w:pPr>
              <w:pStyle w:val="BodyText"/>
              <w:rPr>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26D80DC" w14:textId="77777777" w:rsidR="008842EF" w:rsidRPr="009469BE" w:rsidRDefault="00204D61" w:rsidP="00A81AA5">
            <w:pPr>
              <w:pStyle w:val="BodyText"/>
              <w:spacing w:before="60" w:after="60"/>
              <w:rPr>
                <w:b/>
                <w:color w:val="008576"/>
              </w:rPr>
            </w:pPr>
            <w:r>
              <w:rPr>
                <w:b/>
                <w:noProof/>
                <w:color w:val="008576"/>
                <w:lang w:val="en-US"/>
              </w:rPr>
              <w:drawing>
                <wp:inline distT="0" distB="0" distL="0" distR="0" wp14:anchorId="4CCD2156" wp14:editId="7484C099">
                  <wp:extent cx="287655" cy="287655"/>
                  <wp:effectExtent l="0" t="0" r="0" b="0"/>
                  <wp:docPr id="15" name="Picture 4"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008842EF" w:rsidRPr="009469BE">
              <w:rPr>
                <w:b/>
                <w:color w:val="008576"/>
              </w:rPr>
              <w:t xml:space="preserve"> </w:t>
            </w:r>
            <w:r w:rsidR="008842EF" w:rsidRPr="009469BE">
              <w:rPr>
                <w:b/>
                <w:color w:val="008576"/>
                <w:u w:val="single" w:color="083AA5"/>
                <w:lang w:val="en-US"/>
              </w:rPr>
              <w:t>commercial.enquiries@xoserve.com</w:t>
            </w:r>
          </w:p>
        </w:tc>
      </w:tr>
    </w:tbl>
    <w:p w14:paraId="796ADF45" w14:textId="77777777" w:rsidR="00435CF2" w:rsidRDefault="00435CF2"/>
    <w:p w14:paraId="1404595F" w14:textId="77777777" w:rsidR="00F10E14" w:rsidRDefault="00F10E14"/>
    <w:p w14:paraId="05E55C5E" w14:textId="77777777" w:rsidR="00BF00E3" w:rsidRPr="009469BE" w:rsidRDefault="00BF00E3" w:rsidP="00DD7C82">
      <w:pPr>
        <w:pStyle w:val="BodyText"/>
        <w:spacing w:line="240" w:lineRule="auto"/>
      </w:pPr>
    </w:p>
    <w:p w14:paraId="4B15473B" w14:textId="77777777" w:rsidR="002161A4" w:rsidRPr="006551B8" w:rsidRDefault="00341CAD" w:rsidP="0097577A">
      <w:pPr>
        <w:pStyle w:val="Heading02"/>
        <w:sectPr w:rsidR="002161A4" w:rsidRPr="006551B8" w:rsidSect="00642E53">
          <w:footerReference w:type="default" r:id="rId23"/>
          <w:type w:val="continuous"/>
          <w:pgSz w:w="11906" w:h="16838"/>
          <w:pgMar w:top="993" w:right="1416" w:bottom="567" w:left="1134" w:header="567" w:footer="256" w:gutter="0"/>
          <w:cols w:space="720"/>
          <w:docGrid w:linePitch="360"/>
        </w:sectPr>
      </w:pPr>
      <w:bookmarkStart w:id="1" w:name="_Toc275420900"/>
      <w:r w:rsidRPr="009469BE">
        <w:t>Summary</w:t>
      </w:r>
      <w:bookmarkEnd w:id="1"/>
    </w:p>
    <w:p w14:paraId="0A5A8E69" w14:textId="77777777" w:rsidR="00994B34" w:rsidRPr="009469BE" w:rsidRDefault="00994B34" w:rsidP="00913148">
      <w:pPr>
        <w:pStyle w:val="Heading4"/>
        <w:keepLines w:val="0"/>
        <w:numPr>
          <w:ilvl w:val="0"/>
          <w:numId w:val="0"/>
        </w:numPr>
        <w:spacing w:before="120"/>
        <w:ind w:left="864" w:hanging="864"/>
        <w:rPr>
          <w:rFonts w:ascii="Arial" w:eastAsia="Times New Roman" w:hAnsi="Arial" w:cs="Arial"/>
          <w:i w:val="0"/>
          <w:iCs w:val="0"/>
          <w:color w:val="008576"/>
          <w:sz w:val="24"/>
          <w:szCs w:val="28"/>
        </w:rPr>
      </w:pPr>
      <w:r w:rsidRPr="009469BE">
        <w:rPr>
          <w:rFonts w:ascii="Arial" w:eastAsia="Times New Roman" w:hAnsi="Arial" w:cs="Arial"/>
          <w:i w:val="0"/>
          <w:iCs w:val="0"/>
          <w:color w:val="008576"/>
          <w:sz w:val="24"/>
          <w:szCs w:val="28"/>
        </w:rPr>
        <w:t xml:space="preserve">Is this a Self-Governance </w:t>
      </w:r>
      <w:r w:rsidRPr="00876FA4">
        <w:rPr>
          <w:rFonts w:ascii="Arial" w:eastAsia="Times New Roman" w:hAnsi="Arial" w:cs="Arial"/>
          <w:i w:val="0"/>
          <w:iCs w:val="0"/>
          <w:color w:val="008576"/>
          <w:sz w:val="24"/>
          <w:szCs w:val="28"/>
        </w:rPr>
        <w:t>Modification</w:t>
      </w:r>
      <w:r w:rsidRPr="009469BE">
        <w:rPr>
          <w:rFonts w:ascii="Arial" w:eastAsia="Times New Roman" w:hAnsi="Arial" w:cs="Arial"/>
          <w:i w:val="0"/>
          <w:iCs w:val="0"/>
          <w:color w:val="008576"/>
          <w:sz w:val="24"/>
          <w:szCs w:val="28"/>
        </w:rPr>
        <w:t>?</w:t>
      </w:r>
    </w:p>
    <w:p w14:paraId="4F15FBCE" w14:textId="77777777" w:rsidR="00CE3A2D" w:rsidRPr="00CE3A2D" w:rsidRDefault="00CE3A2D" w:rsidP="00E07DD7">
      <w:r w:rsidRPr="00CE3A2D">
        <w:t>The Modific</w:t>
      </w:r>
      <w:r w:rsidR="00B77A7C">
        <w:t xml:space="preserve">ation Panel determined that these are not </w:t>
      </w:r>
      <w:r w:rsidRPr="00CE3A2D">
        <w:t>self-governance modification</w:t>
      </w:r>
      <w:r w:rsidR="00B77A7C">
        <w:t>s</w:t>
      </w:r>
      <w:r w:rsidR="004C61EF">
        <w:t>,</w:t>
      </w:r>
      <w:r w:rsidRPr="00CE3A2D">
        <w:t xml:space="preserve"> because </w:t>
      </w:r>
      <w:r w:rsidR="00B77A7C">
        <w:t xml:space="preserve">they are </w:t>
      </w:r>
      <w:r w:rsidRPr="00CE3A2D">
        <w:t xml:space="preserve">likely to have material effect on </w:t>
      </w:r>
      <w:r w:rsidR="00B77A7C">
        <w:t>competition and</w:t>
      </w:r>
      <w:r w:rsidRPr="00CE3A2D">
        <w:t xml:space="preserve"> </w:t>
      </w:r>
      <w:r w:rsidR="00B77A7C">
        <w:t>t</w:t>
      </w:r>
      <w:r w:rsidRPr="00CE3A2D">
        <w:t xml:space="preserve">he uniform network code governance procedures </w:t>
      </w:r>
      <w:r w:rsidR="00B77A7C">
        <w:t xml:space="preserve">as these modifications propose to put in place a framework to incentivise the </w:t>
      </w:r>
      <w:r w:rsidR="004C61EF">
        <w:t xml:space="preserve">accuracy of data that is used in </w:t>
      </w:r>
      <w:r w:rsidR="00B77A7C">
        <w:t xml:space="preserve">settlement regime </w:t>
      </w:r>
      <w:r w:rsidR="006F4254">
        <w:t xml:space="preserve">and </w:t>
      </w:r>
      <w:r w:rsidR="004C61EF">
        <w:t>establish a UNC committee to manage the framework. The Workgroup agreed with the Modification Panel views on self-governance.</w:t>
      </w:r>
    </w:p>
    <w:p w14:paraId="1969E761" w14:textId="77777777" w:rsidR="00994B34" w:rsidRPr="009469BE" w:rsidRDefault="00994B34" w:rsidP="00913148">
      <w:pPr>
        <w:pStyle w:val="Heading4"/>
        <w:keepLines w:val="0"/>
        <w:numPr>
          <w:ilvl w:val="0"/>
          <w:numId w:val="0"/>
        </w:numPr>
        <w:spacing w:before="120"/>
        <w:rPr>
          <w:rFonts w:ascii="Arial" w:eastAsia="Times New Roman" w:hAnsi="Arial" w:cs="Arial"/>
          <w:i w:val="0"/>
          <w:iCs w:val="0"/>
          <w:color w:val="008576"/>
          <w:sz w:val="24"/>
          <w:szCs w:val="28"/>
        </w:rPr>
      </w:pPr>
      <w:r w:rsidRPr="009469BE">
        <w:rPr>
          <w:rFonts w:ascii="Arial" w:eastAsia="Times New Roman" w:hAnsi="Arial" w:cs="Arial"/>
          <w:i w:val="0"/>
          <w:iCs w:val="0"/>
          <w:color w:val="008576"/>
          <w:sz w:val="24"/>
          <w:szCs w:val="28"/>
        </w:rPr>
        <w:t>Is this a</w:t>
      </w:r>
      <w:r w:rsidR="00F940B1">
        <w:rPr>
          <w:rFonts w:ascii="Arial" w:eastAsia="Times New Roman" w:hAnsi="Arial" w:cs="Arial"/>
          <w:i w:val="0"/>
          <w:iCs w:val="0"/>
          <w:color w:val="008576"/>
          <w:sz w:val="24"/>
          <w:szCs w:val="28"/>
        </w:rPr>
        <w:t xml:space="preserve"> Fast Track</w:t>
      </w:r>
      <w:r w:rsidRPr="009469BE">
        <w:rPr>
          <w:rFonts w:ascii="Arial" w:eastAsia="Times New Roman" w:hAnsi="Arial" w:cs="Arial"/>
          <w:i w:val="0"/>
          <w:iCs w:val="0"/>
          <w:color w:val="008576"/>
          <w:sz w:val="24"/>
          <w:szCs w:val="28"/>
        </w:rPr>
        <w:t xml:space="preserve"> Self-Governance Modification?</w:t>
      </w:r>
    </w:p>
    <w:p w14:paraId="0EDE2A0A" w14:textId="77777777" w:rsidR="00096C4E" w:rsidRPr="00876FA4" w:rsidRDefault="000F7ACB" w:rsidP="00E07DD7">
      <w:r>
        <w:t xml:space="preserve">These are </w:t>
      </w:r>
      <w:r w:rsidR="006F4254">
        <w:t>not Fast Track Self-Governance m</w:t>
      </w:r>
      <w:r>
        <w:t>odifications as they are not proposing house keeping changes.</w:t>
      </w:r>
    </w:p>
    <w:p w14:paraId="7BFF8524" w14:textId="77777777" w:rsidR="001451F4" w:rsidRPr="009469BE" w:rsidRDefault="001451F4" w:rsidP="00913148">
      <w:pPr>
        <w:pStyle w:val="Heading4"/>
        <w:keepLines w:val="0"/>
        <w:numPr>
          <w:ilvl w:val="0"/>
          <w:numId w:val="0"/>
        </w:numPr>
        <w:spacing w:before="120"/>
        <w:ind w:left="864" w:hanging="864"/>
        <w:rPr>
          <w:rFonts w:ascii="Arial" w:eastAsia="Times New Roman" w:hAnsi="Arial" w:cs="Arial"/>
          <w:i w:val="0"/>
          <w:iCs w:val="0"/>
          <w:color w:val="008576"/>
          <w:sz w:val="24"/>
          <w:szCs w:val="28"/>
        </w:rPr>
      </w:pPr>
      <w:r w:rsidRPr="009469BE">
        <w:rPr>
          <w:rFonts w:ascii="Arial" w:eastAsia="Times New Roman" w:hAnsi="Arial" w:cs="Arial"/>
          <w:i w:val="0"/>
          <w:iCs w:val="0"/>
          <w:color w:val="008576"/>
          <w:sz w:val="24"/>
          <w:szCs w:val="28"/>
        </w:rPr>
        <w:t>Why Change?</w:t>
      </w:r>
    </w:p>
    <w:p w14:paraId="14A3A92C" w14:textId="77777777" w:rsidR="00B858EF" w:rsidRPr="005E7348" w:rsidRDefault="00B858EF" w:rsidP="00B858EF">
      <w:pPr>
        <w:pStyle w:val="Heading4"/>
        <w:keepLines w:val="0"/>
        <w:numPr>
          <w:ilvl w:val="0"/>
          <w:numId w:val="0"/>
        </w:numPr>
        <w:spacing w:before="120"/>
        <w:rPr>
          <w:rFonts w:ascii="Arial" w:eastAsia="Times New Roman" w:hAnsi="Arial" w:cs="Arial"/>
          <w:b w:val="0"/>
          <w:i w:val="0"/>
          <w:iCs w:val="0"/>
          <w:color w:val="auto"/>
        </w:rPr>
      </w:pPr>
      <w:r w:rsidRPr="005E7348">
        <w:rPr>
          <w:rFonts w:ascii="Arial" w:eastAsia="Times New Roman" w:hAnsi="Arial" w:cs="Arial"/>
          <w:b w:val="0"/>
          <w:i w:val="0"/>
          <w:iCs w:val="0"/>
          <w:color w:val="auto"/>
        </w:rPr>
        <w:t>Unlike the electricity market, under the current gas settlement arrangements there is no performance assurance regime and there are a number of areas where the Ofgem and industry have discussed the benefits of having performance incentives to improve settlement accuracy and reduce risk. In addition Ofgem has on a number of occasions advised that they want to see a Performance Assurance Scheme developed in the gas market – including in their recent determination on Modifications 473/A</w:t>
      </w:r>
      <w:r w:rsidRPr="005E7348">
        <w:rPr>
          <w:rStyle w:val="FootnoteReference"/>
          <w:rFonts w:ascii="Arial" w:eastAsia="Times New Roman" w:hAnsi="Arial" w:cs="Arial"/>
          <w:b w:val="0"/>
          <w:i w:val="0"/>
          <w:iCs w:val="0"/>
          <w:color w:val="auto"/>
        </w:rPr>
        <w:footnoteReference w:id="1"/>
      </w:r>
      <w:r w:rsidRPr="005E7348">
        <w:rPr>
          <w:rFonts w:ascii="Arial" w:eastAsia="Times New Roman" w:hAnsi="Arial" w:cs="Arial"/>
          <w:b w:val="0"/>
          <w:i w:val="0"/>
          <w:iCs w:val="0"/>
          <w:color w:val="auto"/>
        </w:rPr>
        <w:t xml:space="preserve">. </w:t>
      </w:r>
    </w:p>
    <w:p w14:paraId="659DB075" w14:textId="77777777" w:rsidR="00B858EF" w:rsidRPr="005E7348" w:rsidRDefault="00B858EF" w:rsidP="00B858EF">
      <w:pPr>
        <w:pStyle w:val="Heading4"/>
        <w:keepLines w:val="0"/>
        <w:numPr>
          <w:ilvl w:val="0"/>
          <w:numId w:val="0"/>
        </w:numPr>
        <w:spacing w:before="120"/>
        <w:rPr>
          <w:rFonts w:ascii="Arial" w:eastAsia="Times New Roman" w:hAnsi="Arial" w:cs="Arial"/>
          <w:b w:val="0"/>
          <w:i w:val="0"/>
          <w:iCs w:val="0"/>
          <w:color w:val="auto"/>
        </w:rPr>
      </w:pPr>
      <w:r w:rsidRPr="005E7348">
        <w:rPr>
          <w:rFonts w:ascii="Arial" w:eastAsia="Times New Roman" w:hAnsi="Arial" w:cs="Arial"/>
          <w:b w:val="0"/>
          <w:i w:val="0"/>
          <w:iCs w:val="0"/>
          <w:color w:val="auto"/>
        </w:rPr>
        <w:t xml:space="preserve">At the same time to coincide with the planned replacement of the main UKLINK systems, improved gas allocation and reconciliation processes (together referred to as “settlement”) will be introduced through the Project Nexus suite of modifications. Whilst Project Nexus enhancements are expected to offer benefits, the new settlement arrangements introduce an element of risk, for example through the introduction of site specific meter point reconciliation for all meter points which may lead to cashflow problems for shippers. As with the current regime there is also a risk that the energy will never be reconciled before the line in the sand date is reached (presently 3-4 years). </w:t>
      </w:r>
    </w:p>
    <w:p w14:paraId="6D877089" w14:textId="77777777" w:rsidR="00B858EF" w:rsidRPr="005E7348" w:rsidRDefault="00B858EF" w:rsidP="00B858EF">
      <w:r w:rsidRPr="005E7348">
        <w:t xml:space="preserve">Given the value of energy that is delivered in Great Britain each day, any small percentage of error in aggregate allocations or poor performance in reconciliation activity is potentially significant. </w:t>
      </w:r>
    </w:p>
    <w:p w14:paraId="7FF53785" w14:textId="77777777" w:rsidR="00B858EF" w:rsidRPr="006F4254" w:rsidRDefault="00B858EF" w:rsidP="006F4254">
      <w:pPr>
        <w:pStyle w:val="Heading4"/>
        <w:keepLines w:val="0"/>
        <w:numPr>
          <w:ilvl w:val="0"/>
          <w:numId w:val="0"/>
        </w:numPr>
        <w:spacing w:before="120"/>
        <w:rPr>
          <w:rFonts w:ascii="Arial" w:eastAsia="Times New Roman" w:hAnsi="Arial" w:cs="Arial"/>
          <w:b w:val="0"/>
          <w:i w:val="0"/>
          <w:iCs w:val="0"/>
          <w:color w:val="0000FF"/>
        </w:rPr>
      </w:pPr>
      <w:r w:rsidRPr="00CC6223">
        <w:rPr>
          <w:rFonts w:ascii="Arial" w:hAnsi="Arial" w:cs="Arial"/>
          <w:b w:val="0"/>
          <w:i w:val="0"/>
          <w:color w:val="000000"/>
        </w:rPr>
        <w:t>The volume of un-reconciled energy after any period is dependent upon industry participant performance – including accuracy of offtake metering data, quality of asset data and available meter readings. Data quality is driven by the requirements placed on industry parties, and also on those parties meeting those requirements. A framework is therefore needed to establish performance requirements in an optimal manner and provide assurance that gas settlement has accurate measurement, allocation, reconciliation, control and self-monitoring and governance post-Project Nexus implementation, so that calculations are accurate and no unfair commercial advantage can be derived from settlement by any Shipper User.</w:t>
      </w:r>
      <w:r w:rsidRPr="005E7348">
        <w:t xml:space="preserve"> </w:t>
      </w:r>
    </w:p>
    <w:p w14:paraId="7D5FDDFA" w14:textId="77777777" w:rsidR="001D0B92" w:rsidRPr="009469BE" w:rsidRDefault="001D0B92" w:rsidP="00913148">
      <w:pPr>
        <w:pStyle w:val="Heading4"/>
        <w:keepLines w:val="0"/>
        <w:numPr>
          <w:ilvl w:val="0"/>
          <w:numId w:val="0"/>
        </w:numPr>
        <w:spacing w:before="120"/>
        <w:rPr>
          <w:rFonts w:ascii="Arial" w:hAnsi="Arial" w:cs="Arial"/>
        </w:rPr>
      </w:pPr>
      <w:r w:rsidRPr="009469BE">
        <w:rPr>
          <w:rFonts w:ascii="Arial" w:eastAsia="Times New Roman" w:hAnsi="Arial" w:cs="Arial"/>
          <w:i w:val="0"/>
          <w:iCs w:val="0"/>
          <w:color w:val="008576"/>
          <w:sz w:val="24"/>
          <w:szCs w:val="28"/>
        </w:rPr>
        <w:t>Solution</w:t>
      </w:r>
    </w:p>
    <w:p w14:paraId="61D3B8FA" w14:textId="77777777" w:rsidR="005D3CB5" w:rsidRDefault="005D3CB5" w:rsidP="005D3CB5">
      <w:pPr>
        <w:rPr>
          <w:rFonts w:eastAsia="Times New Roman"/>
          <w:b/>
          <w:i/>
          <w:iCs/>
          <w:color w:val="0000FF"/>
        </w:rPr>
      </w:pPr>
      <w:r w:rsidRPr="00DF5436">
        <w:t xml:space="preserve">A Performance Assurance Framework (PAF) is to be introduced into the gas market arrangements to facilitate the monitoring and reporting of Transporter, Shipper and Transporter Agency performance and incentivse parties to reduce settlement risk and improve accuracy. The </w:t>
      </w:r>
      <w:r>
        <w:t>PAF proposed under Modification 0</w:t>
      </w:r>
      <w:r w:rsidRPr="00DF5436">
        <w:t>506 encompasses Transporter, Shipper and the Transporter Agency activity that impacts energy once it has ente</w:t>
      </w:r>
      <w:r>
        <w:t xml:space="preserve">red the Local Distribution Zone. </w:t>
      </w:r>
      <w:r w:rsidRPr="0095735B">
        <w:t>The PAF is to include CSEP Supply Points and CSEP Supply Meter Points following implementation of Modification 0440 Project Nexus – iGT Single Service Provisions</w:t>
      </w:r>
      <w:r w:rsidRPr="00DF5436">
        <w:t xml:space="preserve">. </w:t>
      </w:r>
      <w:r>
        <w:br/>
      </w:r>
      <w:r>
        <w:rPr>
          <w:rFonts w:eastAsia="Times New Roman"/>
          <w:b/>
          <w:i/>
          <w:iCs/>
          <w:color w:val="0000FF"/>
        </w:rPr>
        <w:br/>
      </w:r>
      <w:r w:rsidRPr="00073394">
        <w:rPr>
          <w:rFonts w:eastAsia="Times New Roman"/>
          <w:iCs/>
          <w:color w:val="0000FF"/>
        </w:rPr>
        <w:t>Modification 0506A</w:t>
      </w:r>
      <w:r>
        <w:rPr>
          <w:rFonts w:eastAsia="Times New Roman"/>
          <w:b/>
          <w:i/>
          <w:iCs/>
          <w:color w:val="0000FF"/>
        </w:rPr>
        <w:t xml:space="preserve"> </w:t>
      </w:r>
      <w:r>
        <w:rPr>
          <w:rFonts w:eastAsia="Times New Roman"/>
          <w:iCs/>
          <w:color w:val="0000FF"/>
        </w:rPr>
        <w:t>proposes a similar PAF to that proposed in Modification 0506 above, with the exception that Transporter Agency activity is excluded from the regime.</w:t>
      </w:r>
    </w:p>
    <w:p w14:paraId="126C4416" w14:textId="77777777" w:rsidR="005D3CB5" w:rsidRPr="00073394" w:rsidRDefault="005D3CB5" w:rsidP="005D3CB5">
      <w:r w:rsidRPr="00073394">
        <w:rPr>
          <w:rFonts w:eastAsia="Times New Roman"/>
          <w:iCs/>
        </w:rPr>
        <w:t>The PAF encompasses a new UNCC Sub-Committee, an administrator role (Performance Assurance Framework Administrator), and supporting business rules (as set out in a UNC Related Document – see Appendix 1</w:t>
      </w:r>
      <w:r>
        <w:rPr>
          <w:rFonts w:eastAsia="Times New Roman"/>
          <w:iCs/>
        </w:rPr>
        <w:t xml:space="preserve"> for Modification 0506 and </w:t>
      </w:r>
      <w:r w:rsidRPr="00073394">
        <w:rPr>
          <w:rFonts w:eastAsia="Times New Roman"/>
          <w:iCs/>
          <w:color w:val="0000FF"/>
        </w:rPr>
        <w:t>Appendix 2 for Modification 0506A</w:t>
      </w:r>
      <w:r w:rsidRPr="00073394">
        <w:rPr>
          <w:rFonts w:eastAsia="Times New Roman"/>
          <w:iCs/>
        </w:rPr>
        <w:t xml:space="preserve">). </w:t>
      </w:r>
      <w:r>
        <w:rPr>
          <w:rFonts w:eastAsia="Times New Roman"/>
          <w:iCs/>
        </w:rPr>
        <w:br/>
      </w:r>
      <w:r>
        <w:rPr>
          <w:rFonts w:eastAsia="Times New Roman"/>
          <w:iCs/>
        </w:rPr>
        <w:br/>
        <w:t>Modification 0506 puts a</w:t>
      </w:r>
      <w:r w:rsidRPr="00073394">
        <w:rPr>
          <w:rFonts w:eastAsia="Times New Roman"/>
          <w:iCs/>
        </w:rPr>
        <w:t xml:space="preserve"> requirement </w:t>
      </w:r>
      <w:r>
        <w:rPr>
          <w:rFonts w:eastAsia="Times New Roman"/>
          <w:iCs/>
        </w:rPr>
        <w:t>on</w:t>
      </w:r>
      <w:r w:rsidRPr="00073394">
        <w:rPr>
          <w:rFonts w:eastAsia="Times New Roman"/>
          <w:iCs/>
        </w:rPr>
        <w:t xml:space="preserve"> the Transporter Agency to provide data and information to the Performance Assurance </w:t>
      </w:r>
      <w:r>
        <w:rPr>
          <w:rFonts w:eastAsia="Times New Roman"/>
          <w:iCs/>
        </w:rPr>
        <w:t xml:space="preserve">Framework </w:t>
      </w:r>
      <w:r w:rsidRPr="00073394">
        <w:rPr>
          <w:rFonts w:eastAsia="Times New Roman"/>
          <w:iCs/>
        </w:rPr>
        <w:t xml:space="preserve">Administrator and assist in interpretation of information. </w:t>
      </w:r>
    </w:p>
    <w:p w14:paraId="5E7CBDBB" w14:textId="77777777" w:rsidR="005D3CB5" w:rsidRDefault="005D3CB5" w:rsidP="005D3CB5">
      <w:pPr>
        <w:pStyle w:val="Heading4"/>
        <w:keepLines w:val="0"/>
        <w:numPr>
          <w:ilvl w:val="0"/>
          <w:numId w:val="0"/>
        </w:numPr>
        <w:spacing w:before="120"/>
        <w:rPr>
          <w:rFonts w:ascii="Arial" w:eastAsia="Times New Roman" w:hAnsi="Arial" w:cs="Arial"/>
          <w:b w:val="0"/>
          <w:i w:val="0"/>
          <w:iCs w:val="0"/>
          <w:color w:val="auto"/>
        </w:rPr>
      </w:pPr>
      <w:r>
        <w:rPr>
          <w:rFonts w:ascii="Arial" w:eastAsia="Times New Roman" w:hAnsi="Arial" w:cs="Arial"/>
          <w:b w:val="0"/>
          <w:i w:val="0"/>
          <w:iCs w:val="0"/>
          <w:color w:val="auto"/>
        </w:rPr>
        <w:t xml:space="preserve">In addition Modification 0506 </w:t>
      </w:r>
      <w:r w:rsidRPr="005E7348">
        <w:rPr>
          <w:rFonts w:ascii="Arial" w:eastAsia="Times New Roman" w:hAnsi="Arial" w:cs="Arial"/>
          <w:b w:val="0"/>
          <w:i w:val="0"/>
          <w:iCs w:val="0"/>
          <w:color w:val="auto"/>
        </w:rPr>
        <w:t>requires that the Gas Transporters appoint a Performance Assurance Framework Administrator by competitive tender. Conditions for such appointment will be set out in the UNC Related Document “Guidelines for Energy Settlement Performance Assurance Regime”</w:t>
      </w:r>
      <w:r>
        <w:rPr>
          <w:rFonts w:ascii="Arial" w:eastAsia="Times New Roman" w:hAnsi="Arial" w:cs="Arial"/>
          <w:b w:val="0"/>
          <w:i w:val="0"/>
          <w:iCs w:val="0"/>
          <w:color w:val="auto"/>
        </w:rPr>
        <w:t xml:space="preserve"> see Appendix 1</w:t>
      </w:r>
      <w:r w:rsidRPr="005E7348">
        <w:rPr>
          <w:rFonts w:ascii="Arial" w:eastAsia="Times New Roman" w:hAnsi="Arial" w:cs="Arial"/>
          <w:b w:val="0"/>
          <w:i w:val="0"/>
          <w:iCs w:val="0"/>
          <w:color w:val="auto"/>
        </w:rPr>
        <w:t xml:space="preserve">. </w:t>
      </w:r>
    </w:p>
    <w:p w14:paraId="7287A28C" w14:textId="77777777" w:rsidR="005D3CB5" w:rsidRPr="00486F4B" w:rsidRDefault="005D3CB5" w:rsidP="005D3CB5">
      <w:pPr>
        <w:pStyle w:val="Heading4"/>
        <w:keepLines w:val="0"/>
        <w:numPr>
          <w:ilvl w:val="0"/>
          <w:numId w:val="0"/>
        </w:numPr>
        <w:spacing w:before="120"/>
        <w:rPr>
          <w:rFonts w:ascii="Arial" w:eastAsia="Times New Roman" w:hAnsi="Arial" w:cs="Arial"/>
          <w:b w:val="0"/>
          <w:i w:val="0"/>
          <w:iCs w:val="0"/>
          <w:color w:val="0000FF"/>
        </w:rPr>
      </w:pPr>
      <w:r>
        <w:rPr>
          <w:rFonts w:ascii="Arial" w:eastAsia="Times New Roman" w:hAnsi="Arial" w:cs="Arial"/>
          <w:b w:val="0"/>
          <w:i w:val="0"/>
          <w:iCs w:val="0"/>
          <w:color w:val="0000FF"/>
        </w:rPr>
        <w:t>Modification 0506A</w:t>
      </w:r>
      <w:r w:rsidRPr="00486F4B">
        <w:rPr>
          <w:rFonts w:ascii="Arial" w:eastAsia="Times New Roman" w:hAnsi="Arial" w:cs="Arial"/>
          <w:b w:val="0"/>
          <w:i w:val="0"/>
          <w:iCs w:val="0"/>
          <w:color w:val="0000FF"/>
        </w:rPr>
        <w:t xml:space="preserve"> requires that the Gas Transporters appoint the Transporter Agency as the Performance Assurance </w:t>
      </w:r>
      <w:r>
        <w:rPr>
          <w:rFonts w:ascii="Arial" w:eastAsia="Times New Roman" w:hAnsi="Arial" w:cs="Arial"/>
          <w:b w:val="0"/>
          <w:i w:val="0"/>
          <w:iCs w:val="0"/>
          <w:color w:val="0000FF"/>
        </w:rPr>
        <w:t xml:space="preserve">Framework </w:t>
      </w:r>
      <w:r w:rsidRPr="00486F4B">
        <w:rPr>
          <w:rFonts w:ascii="Arial" w:eastAsia="Times New Roman" w:hAnsi="Arial" w:cs="Arial"/>
          <w:b w:val="0"/>
          <w:i w:val="0"/>
          <w:iCs w:val="0"/>
          <w:color w:val="0000FF"/>
        </w:rPr>
        <w:t>Administrator</w:t>
      </w:r>
      <w:r>
        <w:rPr>
          <w:rFonts w:ascii="Arial" w:eastAsia="Times New Roman" w:hAnsi="Arial" w:cs="Arial"/>
          <w:b w:val="0"/>
          <w:i w:val="0"/>
          <w:iCs w:val="0"/>
          <w:color w:val="0000FF"/>
        </w:rPr>
        <w:t>.</w:t>
      </w:r>
      <w:r w:rsidRPr="00486F4B">
        <w:rPr>
          <w:rFonts w:ascii="Arial" w:eastAsia="Times New Roman" w:hAnsi="Arial" w:cs="Arial"/>
          <w:b w:val="0"/>
          <w:i w:val="0"/>
          <w:iCs w:val="0"/>
          <w:color w:val="0000FF"/>
        </w:rPr>
        <w:t xml:space="preserve"> </w:t>
      </w:r>
    </w:p>
    <w:p w14:paraId="72B1ABEA" w14:textId="77777777" w:rsidR="00255B22" w:rsidRDefault="005D3CB5" w:rsidP="008A167E">
      <w:pPr>
        <w:pStyle w:val="Heading4"/>
        <w:keepLines w:val="0"/>
        <w:numPr>
          <w:ilvl w:val="0"/>
          <w:numId w:val="0"/>
        </w:numPr>
        <w:spacing w:before="120"/>
      </w:pPr>
      <w:r w:rsidRPr="00073394">
        <w:rPr>
          <w:rFonts w:ascii="Arial" w:hAnsi="Arial" w:cs="Arial"/>
          <w:b w:val="0"/>
          <w:i w:val="0"/>
          <w:color w:val="000000" w:themeColor="text1"/>
        </w:rPr>
        <w:t>Gas transported through the National Transmission System (NTS) and supply points connected to the NTS are excluded from the arrangements created by these modifications.</w:t>
      </w:r>
      <w:r w:rsidR="00B858EF">
        <w:rPr>
          <w:rFonts w:ascii="Arial" w:eastAsia="Times New Roman" w:hAnsi="Arial" w:cs="Arial"/>
          <w:b w:val="0"/>
          <w:i w:val="0"/>
          <w:iCs w:val="0"/>
          <w:color w:val="auto"/>
        </w:rPr>
        <w:br/>
      </w:r>
      <w:r w:rsidR="00B858EF">
        <w:rPr>
          <w:rFonts w:ascii="Arial" w:eastAsia="Times New Roman" w:hAnsi="Arial" w:cs="Arial"/>
          <w:b w:val="0"/>
          <w:i w:val="0"/>
          <w:iCs w:val="0"/>
          <w:color w:val="auto"/>
        </w:rPr>
        <w:br/>
      </w:r>
      <w:r w:rsidR="00FD29A2" w:rsidRPr="009469BE">
        <w:rPr>
          <w:rFonts w:ascii="Arial" w:eastAsia="Times New Roman" w:hAnsi="Arial" w:cs="Arial"/>
          <w:i w:val="0"/>
          <w:iCs w:val="0"/>
          <w:color w:val="008576"/>
          <w:sz w:val="24"/>
          <w:szCs w:val="28"/>
        </w:rPr>
        <w:t>Relevant Objectives</w:t>
      </w:r>
    </w:p>
    <w:p w14:paraId="67711CF5" w14:textId="251D1D42" w:rsidR="00B858EF" w:rsidRPr="008A167E" w:rsidRDefault="008A167E" w:rsidP="008A167E">
      <w:pPr>
        <w:pStyle w:val="Heading4"/>
        <w:keepLines w:val="0"/>
        <w:numPr>
          <w:ilvl w:val="0"/>
          <w:numId w:val="0"/>
        </w:numPr>
        <w:spacing w:before="120"/>
        <w:rPr>
          <w:rFonts w:ascii="Arial" w:eastAsia="Times New Roman" w:hAnsi="Arial" w:cs="Arial"/>
          <w:i w:val="0"/>
          <w:iCs w:val="0"/>
          <w:color w:val="008576"/>
          <w:sz w:val="24"/>
          <w:szCs w:val="28"/>
        </w:rPr>
      </w:pPr>
      <w:r w:rsidRPr="008A167E">
        <w:rPr>
          <w:rFonts w:ascii="Arial" w:hAnsi="Arial" w:cs="Arial"/>
          <w:b w:val="0"/>
          <w:i w:val="0"/>
          <w:color w:val="000000" w:themeColor="text1"/>
        </w:rPr>
        <w:t>These</w:t>
      </w:r>
      <w:r w:rsidR="00B858EF" w:rsidRPr="008A167E">
        <w:rPr>
          <w:rFonts w:ascii="Arial" w:hAnsi="Arial" w:cs="Arial"/>
          <w:b w:val="0"/>
          <w:i w:val="0"/>
          <w:color w:val="000000" w:themeColor="text1"/>
        </w:rPr>
        <w:t xml:space="preserve"> modification</w:t>
      </w:r>
      <w:r w:rsidRPr="008A167E">
        <w:rPr>
          <w:rFonts w:ascii="Arial" w:hAnsi="Arial" w:cs="Arial"/>
          <w:b w:val="0"/>
          <w:i w:val="0"/>
          <w:color w:val="000000" w:themeColor="text1"/>
        </w:rPr>
        <w:t>s</w:t>
      </w:r>
      <w:r w:rsidR="00B858EF" w:rsidRPr="008A167E">
        <w:rPr>
          <w:rFonts w:ascii="Arial" w:hAnsi="Arial" w:cs="Arial"/>
          <w:b w:val="0"/>
          <w:i w:val="0"/>
          <w:color w:val="000000" w:themeColor="text1"/>
        </w:rPr>
        <w:t xml:space="preserve"> </w:t>
      </w:r>
      <w:r w:rsidRPr="008A167E">
        <w:rPr>
          <w:rFonts w:ascii="Arial" w:hAnsi="Arial" w:cs="Arial"/>
          <w:b w:val="0"/>
          <w:i w:val="0"/>
          <w:color w:val="000000" w:themeColor="text1"/>
        </w:rPr>
        <w:t>are</w:t>
      </w:r>
      <w:r w:rsidR="00B858EF" w:rsidRPr="008A167E">
        <w:rPr>
          <w:rFonts w:ascii="Arial" w:hAnsi="Arial" w:cs="Arial"/>
          <w:b w:val="0"/>
          <w:i w:val="0"/>
          <w:color w:val="000000" w:themeColor="text1"/>
        </w:rPr>
        <w:t xml:space="preserve"> expected to have a positive effect on Relevant Objectives </w:t>
      </w:r>
      <w:r w:rsidR="00B858EF" w:rsidRPr="008A167E" w:rsidDel="005901ED">
        <w:rPr>
          <w:rFonts w:ascii="Arial" w:hAnsi="Arial" w:cs="Arial"/>
          <w:b w:val="0"/>
          <w:i w:val="0"/>
          <w:color w:val="000000" w:themeColor="text1"/>
        </w:rPr>
        <w:t xml:space="preserve"> </w:t>
      </w:r>
      <w:r w:rsidR="00B858EF" w:rsidRPr="008A167E">
        <w:rPr>
          <w:rFonts w:ascii="Arial" w:hAnsi="Arial" w:cs="Arial"/>
          <w:b w:val="0"/>
          <w:i w:val="0"/>
          <w:color w:val="000000" w:themeColor="text1"/>
        </w:rPr>
        <w:t xml:space="preserve">d) and (f) as </w:t>
      </w:r>
      <w:r w:rsidRPr="008A167E">
        <w:rPr>
          <w:rFonts w:ascii="Arial" w:hAnsi="Arial" w:cs="Arial"/>
          <w:b w:val="0"/>
          <w:i w:val="0"/>
          <w:color w:val="000000" w:themeColor="text1"/>
        </w:rPr>
        <w:t>they could be</w:t>
      </w:r>
      <w:r w:rsidR="00B858EF" w:rsidRPr="008A167E">
        <w:rPr>
          <w:rFonts w:ascii="Arial" w:hAnsi="Arial" w:cs="Arial"/>
          <w:b w:val="0"/>
          <w:i w:val="0"/>
          <w:color w:val="000000" w:themeColor="text1"/>
        </w:rPr>
        <w:t xml:space="preserve"> expected to lead to more accurate and up to date information being held on </w:t>
      </w:r>
      <w:r w:rsidRPr="008A167E">
        <w:rPr>
          <w:rFonts w:ascii="Arial" w:hAnsi="Arial" w:cs="Arial"/>
          <w:b w:val="0"/>
          <w:i w:val="0"/>
          <w:color w:val="000000" w:themeColor="text1"/>
        </w:rPr>
        <w:t xml:space="preserve">Transporters </w:t>
      </w:r>
      <w:r w:rsidR="00B858EF" w:rsidRPr="008A167E">
        <w:rPr>
          <w:rFonts w:ascii="Arial" w:hAnsi="Arial" w:cs="Arial"/>
          <w:b w:val="0"/>
          <w:i w:val="0"/>
          <w:color w:val="000000" w:themeColor="text1"/>
        </w:rPr>
        <w:t>system</w:t>
      </w:r>
      <w:r w:rsidRPr="008A167E">
        <w:rPr>
          <w:rFonts w:ascii="Arial" w:hAnsi="Arial" w:cs="Arial"/>
          <w:b w:val="0"/>
          <w:i w:val="0"/>
          <w:color w:val="000000" w:themeColor="text1"/>
        </w:rPr>
        <w:t>s</w:t>
      </w:r>
      <w:r w:rsidR="00B858EF" w:rsidRPr="008A167E">
        <w:rPr>
          <w:rFonts w:ascii="Arial" w:hAnsi="Arial" w:cs="Arial"/>
          <w:b w:val="0"/>
          <w:i w:val="0"/>
          <w:color w:val="000000" w:themeColor="text1"/>
        </w:rPr>
        <w:t xml:space="preserve"> and therefore improve accuracy of settlement. In addition the creation of the UNCC Sub-Committee and the UNC Related Document</w:t>
      </w:r>
      <w:r w:rsidRPr="008A167E">
        <w:rPr>
          <w:rFonts w:ascii="Arial" w:hAnsi="Arial" w:cs="Arial"/>
          <w:b w:val="0"/>
          <w:i w:val="0"/>
          <w:color w:val="000000" w:themeColor="text1"/>
        </w:rPr>
        <w:t>s</w:t>
      </w:r>
      <w:r w:rsidR="00B858EF" w:rsidRPr="008A167E">
        <w:rPr>
          <w:rFonts w:ascii="Arial" w:hAnsi="Arial" w:cs="Arial"/>
          <w:b w:val="0"/>
          <w:i w:val="0"/>
          <w:color w:val="000000" w:themeColor="text1"/>
        </w:rPr>
        <w:t xml:space="preserve"> </w:t>
      </w:r>
      <w:r w:rsidRPr="008A167E">
        <w:rPr>
          <w:rFonts w:ascii="Arial" w:hAnsi="Arial" w:cs="Arial"/>
          <w:b w:val="0"/>
          <w:i w:val="0"/>
          <w:color w:val="000000" w:themeColor="text1"/>
        </w:rPr>
        <w:t>should</w:t>
      </w:r>
      <w:r w:rsidR="00B858EF" w:rsidRPr="008A167E">
        <w:rPr>
          <w:rFonts w:ascii="Arial" w:hAnsi="Arial" w:cs="Arial"/>
          <w:b w:val="0"/>
          <w:i w:val="0"/>
          <w:color w:val="000000" w:themeColor="text1"/>
        </w:rPr>
        <w:t xml:space="preserve"> facilitate the implementation of other modifications related to the Performance Assurance Framework.</w:t>
      </w:r>
      <w:r w:rsidR="00B858EF" w:rsidRPr="005E7348">
        <w:t xml:space="preserve"> </w:t>
      </w:r>
    </w:p>
    <w:p w14:paraId="7970DD0F" w14:textId="77777777" w:rsidR="001D0B92" w:rsidRPr="009469BE" w:rsidRDefault="001D0B92" w:rsidP="00913148">
      <w:pPr>
        <w:pStyle w:val="Heading4"/>
        <w:keepLines w:val="0"/>
        <w:numPr>
          <w:ilvl w:val="0"/>
          <w:numId w:val="0"/>
        </w:numPr>
        <w:spacing w:before="120"/>
        <w:rPr>
          <w:rFonts w:ascii="Arial" w:hAnsi="Arial" w:cs="Arial"/>
        </w:rPr>
      </w:pPr>
      <w:r w:rsidRPr="009469BE">
        <w:rPr>
          <w:rFonts w:ascii="Arial" w:eastAsia="Times New Roman" w:hAnsi="Arial" w:cs="Arial"/>
          <w:i w:val="0"/>
          <w:iCs w:val="0"/>
          <w:color w:val="008576"/>
          <w:sz w:val="24"/>
          <w:szCs w:val="28"/>
        </w:rPr>
        <w:t>Implementation</w:t>
      </w:r>
    </w:p>
    <w:p w14:paraId="79DD8487" w14:textId="0EAF15DE" w:rsidR="00B858EF" w:rsidRPr="005E7348" w:rsidRDefault="00B858EF" w:rsidP="00B858EF">
      <w:r w:rsidRPr="005E7348">
        <w:t>No implementation timescales are proposed</w:t>
      </w:r>
      <w:r w:rsidR="00D8331A">
        <w:t xml:space="preserve"> for either modification</w:t>
      </w:r>
      <w:r w:rsidRPr="005E7348">
        <w:t xml:space="preserve">. However, </w:t>
      </w:r>
      <w:r w:rsidR="002D6575">
        <w:t xml:space="preserve">it would be desirable that the successful </w:t>
      </w:r>
      <w:r w:rsidRPr="005E7348">
        <w:t>proposal should be implemented as soon as</w:t>
      </w:r>
      <w:r w:rsidR="002D6575">
        <w:t xml:space="preserve"> possible after </w:t>
      </w:r>
      <w:r w:rsidRPr="005E7348">
        <w:t>Ofgem approval</w:t>
      </w:r>
      <w:r w:rsidR="00255B22">
        <w:t xml:space="preserve"> so that the UNCC sub-committee can be established prior to the implementation of Project Nexus</w:t>
      </w:r>
      <w:r w:rsidRPr="005E7348">
        <w:t xml:space="preserve">. </w:t>
      </w:r>
      <w:r w:rsidR="002D6575">
        <w:br/>
      </w:r>
    </w:p>
    <w:p w14:paraId="42322774" w14:textId="77777777" w:rsidR="00F1043A" w:rsidRDefault="00F1043A" w:rsidP="00BB32F0">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Does this </w:t>
      </w:r>
      <w:r w:rsidRPr="000B2E3D">
        <w:rPr>
          <w:rFonts w:ascii="Arial" w:eastAsia="Times New Roman" w:hAnsi="Arial" w:cs="Arial"/>
          <w:i w:val="0"/>
          <w:iCs w:val="0"/>
          <w:color w:val="008576"/>
          <w:sz w:val="24"/>
          <w:szCs w:val="28"/>
        </w:rPr>
        <w:t xml:space="preserve">modification </w:t>
      </w:r>
      <w:r w:rsidR="00771ACE">
        <w:rPr>
          <w:rFonts w:ascii="Arial" w:eastAsia="Times New Roman" w:hAnsi="Arial" w:cs="Arial"/>
          <w:i w:val="0"/>
          <w:iCs w:val="0"/>
          <w:color w:val="008576"/>
          <w:sz w:val="24"/>
          <w:szCs w:val="28"/>
        </w:rPr>
        <w:t>impact a</w:t>
      </w:r>
      <w:r w:rsidR="00BB32F0">
        <w:rPr>
          <w:rFonts w:ascii="Arial" w:eastAsia="Times New Roman" w:hAnsi="Arial" w:cs="Arial"/>
          <w:i w:val="0"/>
          <w:iCs w:val="0"/>
          <w:color w:val="008576"/>
          <w:sz w:val="24"/>
          <w:szCs w:val="28"/>
        </w:rPr>
        <w:t xml:space="preserve"> S</w:t>
      </w:r>
      <w:r w:rsidR="00771ACE">
        <w:rPr>
          <w:rFonts w:ascii="Arial" w:eastAsia="Times New Roman" w:hAnsi="Arial" w:cs="Arial"/>
          <w:i w:val="0"/>
          <w:iCs w:val="0"/>
          <w:color w:val="008576"/>
          <w:sz w:val="24"/>
          <w:szCs w:val="28"/>
        </w:rPr>
        <w:t xml:space="preserve">ignificant Code Review (SCR) </w:t>
      </w:r>
      <w:r w:rsidR="00BB32F0">
        <w:rPr>
          <w:rFonts w:ascii="Arial" w:eastAsia="Times New Roman" w:hAnsi="Arial" w:cs="Arial"/>
          <w:i w:val="0"/>
          <w:iCs w:val="0"/>
          <w:color w:val="008576"/>
          <w:sz w:val="24"/>
          <w:szCs w:val="28"/>
        </w:rPr>
        <w:t>or other significant industry change projects</w:t>
      </w:r>
      <w:r>
        <w:rPr>
          <w:rFonts w:ascii="Arial" w:eastAsia="Times New Roman" w:hAnsi="Arial" w:cs="Arial"/>
          <w:i w:val="0"/>
          <w:iCs w:val="0"/>
          <w:color w:val="008576"/>
          <w:sz w:val="24"/>
          <w:szCs w:val="28"/>
        </w:rPr>
        <w:t>, if so, how?</w:t>
      </w:r>
    </w:p>
    <w:p w14:paraId="19206316" w14:textId="425C547F" w:rsidR="00B858EF" w:rsidRDefault="00B858EF" w:rsidP="00B858EF">
      <w:pPr>
        <w:rPr>
          <w:color w:val="000000"/>
        </w:rPr>
      </w:pPr>
      <w:bookmarkStart w:id="2" w:name="_Toc188527263"/>
      <w:bookmarkStart w:id="3" w:name="_Toc275420901"/>
      <w:r>
        <w:rPr>
          <w:color w:val="000000"/>
        </w:rPr>
        <w:t>Both of these</w:t>
      </w:r>
      <w:r w:rsidRPr="005E7348">
        <w:rPr>
          <w:color w:val="000000"/>
        </w:rPr>
        <w:t xml:space="preserve"> modification</w:t>
      </w:r>
      <w:r>
        <w:rPr>
          <w:color w:val="000000"/>
        </w:rPr>
        <w:t>s seek</w:t>
      </w:r>
      <w:r w:rsidRPr="005E7348">
        <w:rPr>
          <w:color w:val="000000"/>
        </w:rPr>
        <w:t xml:space="preserve"> to implement a Perfor</w:t>
      </w:r>
      <w:r w:rsidR="00255B22">
        <w:rPr>
          <w:color w:val="000000"/>
        </w:rPr>
        <w:t xml:space="preserve">mance Assurance Framework </w:t>
      </w:r>
      <w:r w:rsidRPr="005E7348">
        <w:rPr>
          <w:color w:val="000000"/>
        </w:rPr>
        <w:t xml:space="preserve">in time for the implementation of Project Nexus. However, there is no interdependency for implementation as </w:t>
      </w:r>
      <w:r>
        <w:rPr>
          <w:color w:val="000000"/>
        </w:rPr>
        <w:t>they</w:t>
      </w:r>
      <w:r w:rsidRPr="005E7348">
        <w:rPr>
          <w:color w:val="000000"/>
        </w:rPr>
        <w:t xml:space="preserve"> could be implemented ahead of Project Nexus.</w:t>
      </w:r>
    </w:p>
    <w:p w14:paraId="0A860395" w14:textId="77777777" w:rsidR="00143041" w:rsidRPr="009469BE" w:rsidRDefault="00143041" w:rsidP="0097577A">
      <w:pPr>
        <w:pStyle w:val="Heading02"/>
      </w:pPr>
      <w:r w:rsidRPr="009469BE">
        <w:t>Why Change?</w:t>
      </w:r>
      <w:bookmarkEnd w:id="2"/>
      <w:bookmarkEnd w:id="3"/>
    </w:p>
    <w:p w14:paraId="3542D266" w14:textId="77777777" w:rsidR="0046433A" w:rsidRPr="00F95411" w:rsidRDefault="0046433A" w:rsidP="0046433A">
      <w:pPr>
        <w:pStyle w:val="Heading4"/>
        <w:keepLines w:val="0"/>
        <w:numPr>
          <w:ilvl w:val="0"/>
          <w:numId w:val="0"/>
        </w:numPr>
        <w:spacing w:before="120"/>
        <w:rPr>
          <w:rFonts w:ascii="Arial" w:eastAsia="Times New Roman" w:hAnsi="Arial" w:cs="Arial"/>
          <w:b w:val="0"/>
          <w:i w:val="0"/>
          <w:iCs w:val="0"/>
          <w:color w:val="0000FF"/>
        </w:rPr>
      </w:pPr>
      <w:bookmarkStart w:id="4" w:name="_Toc275420902"/>
      <w:r w:rsidRPr="00F95411">
        <w:rPr>
          <w:rFonts w:ascii="Arial" w:eastAsia="Times New Roman" w:hAnsi="Arial" w:cs="Arial"/>
          <w:b w:val="0"/>
          <w:i w:val="0"/>
          <w:iCs w:val="0"/>
          <w:color w:val="auto"/>
        </w:rPr>
        <w:t>Unlike the electricity market, under the current gas settlement arrangements there is no performance assurance regime and there are a number of areas where the Ofgem and industry have discussed the benefits of having performance incentives to improve settlement accuracy and reduce risk. In addition Ofgem has on a number of occasions advised that they want to see a Performance Assurance Scheme developed in the gas market – including in their recent determination on Modifications 473/A</w:t>
      </w:r>
      <w:r w:rsidRPr="00F95411">
        <w:rPr>
          <w:rStyle w:val="FootnoteReference"/>
          <w:rFonts w:ascii="Arial" w:eastAsia="Times New Roman" w:hAnsi="Arial" w:cs="Arial"/>
          <w:b w:val="0"/>
          <w:i w:val="0"/>
          <w:iCs w:val="0"/>
          <w:color w:val="auto"/>
        </w:rPr>
        <w:footnoteReference w:id="2"/>
      </w:r>
      <w:r w:rsidRPr="00F95411">
        <w:rPr>
          <w:rFonts w:ascii="Arial" w:eastAsia="Times New Roman" w:hAnsi="Arial" w:cs="Arial"/>
          <w:b w:val="0"/>
          <w:i w:val="0"/>
          <w:iCs w:val="0"/>
          <w:color w:val="auto"/>
        </w:rPr>
        <w:t xml:space="preserve">. </w:t>
      </w:r>
    </w:p>
    <w:p w14:paraId="73E096C9" w14:textId="77777777" w:rsidR="0046433A" w:rsidRPr="00F95411" w:rsidRDefault="0046433A" w:rsidP="0046433A">
      <w:pPr>
        <w:pStyle w:val="Heading4"/>
        <w:keepLines w:val="0"/>
        <w:numPr>
          <w:ilvl w:val="0"/>
          <w:numId w:val="0"/>
        </w:numPr>
        <w:spacing w:before="120"/>
        <w:rPr>
          <w:rFonts w:ascii="Arial" w:eastAsia="Times New Roman" w:hAnsi="Arial" w:cs="Arial"/>
          <w:b w:val="0"/>
          <w:i w:val="0"/>
          <w:iCs w:val="0"/>
          <w:color w:val="000000" w:themeColor="text1"/>
        </w:rPr>
      </w:pPr>
      <w:r w:rsidRPr="00F95411">
        <w:rPr>
          <w:rFonts w:ascii="Arial" w:hAnsi="Arial" w:cs="Arial"/>
          <w:b w:val="0"/>
          <w:i w:val="0"/>
          <w:color w:val="000000" w:themeColor="text1"/>
        </w:rPr>
        <w:t xml:space="preserve">At the same time to coincide with the planned replacement of the main UKLINK systems, improved gas allocation and reconciliation processes (together referred to as “settlement”) will be introduced through the Project Nexus suite of modifications. Whilst Project Nexus enhancements are expected to offer benefits, the new settlement arrangements introduce an element of risk, for example through the introduction of site specific meter point reconciliation for all meter points which may lead to cashflow problems for shippers. As with the current regime there is also a risk that the energy will never be reconciled before the line in the sand date is reached (presently 3-4 years). Essentially to be most efficient data accuracy, quality, quantity and frequency, must be optimal from all parties or Transporter or Shipper activity could expose other parties to settlement risk either deliberately or accidently through their performance. To address these issues the industry must consider the optimal performance levels to reduce overall risk to settlement accuracy and determine which risks are most material and most probably if there is no monitoring or incentives in place to address them.   </w:t>
      </w:r>
    </w:p>
    <w:p w14:paraId="0A0597E8" w14:textId="77777777" w:rsidR="0046433A" w:rsidRPr="00F95411" w:rsidRDefault="0046433A" w:rsidP="0046433A">
      <w:r w:rsidRPr="00F95411">
        <w:t xml:space="preserve">The Performance Assurance Workgroup (PAW) was established by the UNC Modification Panel on 20 December 2012 to consider the development of a framework that can help to ensure the risks are understood, and to provide assurance that the actions of some parties are not inappropriately passing costs to others. </w:t>
      </w:r>
    </w:p>
    <w:p w14:paraId="13A14E90" w14:textId="77777777" w:rsidR="0046433A" w:rsidRPr="00F95411" w:rsidRDefault="0046433A" w:rsidP="0046433A">
      <w:r w:rsidRPr="00F95411">
        <w:t>Given the value of energy that is delivered in Great Britain each day, any small percentage of error in accuracy of offtake metering data, aggregate allocations or poor performance in reconciliation activity is potentially significant. The Proposer believes that it is imperative that the amount of energy paid for by Shippers should be representative of their customers’ usage at the point of time for which the charges relate and that incentives should be in place on all parties to ensure that measurement, reconciliation and allocation amounts are closely matched to allow this to happen. Equal to that under the Project Nexus arrangements there is an opportunity to ensure that there are controls put in place to improve asset data and the provision of meter readings and narrow any scope for Shippers inappropriately passing costs onto other parties through the settlement process.</w:t>
      </w:r>
    </w:p>
    <w:p w14:paraId="236AB6D6" w14:textId="2E4FB564" w:rsidR="00E609CA" w:rsidRDefault="0046433A" w:rsidP="0046433A">
      <w:r w:rsidRPr="00F95411">
        <w:t>The Workgroup agrees that introducing a PAF could bring benefits to consumers through the change of supplier process by ensuring that targets for switching times are met and erroneous transfers are minimised, and help facilitate the realisation of benefits expected both from Project Nexus changes and the roll out of smart metering. In addition if accuracy of settlement and reduction of error can be improved through the introduction of PAF then it should improve market attractiveness and possibly encourage new entrants into the market by reducing</w:t>
      </w:r>
      <w:r w:rsidRPr="000154AF">
        <w:rPr>
          <w:i/>
        </w:rPr>
        <w:t>.</w:t>
      </w:r>
    </w:p>
    <w:p w14:paraId="4FF4E491" w14:textId="77777777" w:rsidR="00985FC1" w:rsidRPr="009469BE" w:rsidRDefault="00AF5B6E" w:rsidP="0097577A">
      <w:pPr>
        <w:pStyle w:val="Heading02"/>
      </w:pPr>
      <w:r w:rsidRPr="009469BE">
        <w:t>Solution</w:t>
      </w:r>
      <w:bookmarkEnd w:id="4"/>
    </w:p>
    <w:p w14:paraId="00F16AB1" w14:textId="7A064779" w:rsidR="00910EC9" w:rsidRPr="00265E6E" w:rsidRDefault="00910EC9" w:rsidP="00265E6E">
      <w:r w:rsidRPr="00265E6E">
        <w:rPr>
          <w:b/>
        </w:rPr>
        <w:t>0506</w:t>
      </w:r>
      <w:r w:rsidRPr="00265E6E">
        <w:br/>
      </w:r>
      <w:r w:rsidR="00265E6E" w:rsidRPr="00265E6E">
        <w:t>The purpose of this m</w:t>
      </w:r>
      <w:r w:rsidRPr="00265E6E">
        <w:t xml:space="preserve">odification is to introduce a framework for a gas performance assurance regime and require the Gas Transporters to appoint a Performance Assurance </w:t>
      </w:r>
      <w:r w:rsidR="00265E6E" w:rsidRPr="00265E6E">
        <w:t xml:space="preserve">Framework </w:t>
      </w:r>
      <w:r w:rsidRPr="00265E6E">
        <w:t xml:space="preserve">Administrator </w:t>
      </w:r>
      <w:r w:rsidR="00265E6E" w:rsidRPr="00265E6E">
        <w:t xml:space="preserve">(PAFA) </w:t>
      </w:r>
      <w:r w:rsidRPr="00265E6E">
        <w:t xml:space="preserve">by a competitor tender process. The </w:t>
      </w:r>
      <w:r w:rsidR="00265E6E" w:rsidRPr="00265E6E">
        <w:t>PAFA</w:t>
      </w:r>
      <w:r w:rsidRPr="00265E6E">
        <w:t xml:space="preserve"> will run the scheme, under the oversight of the Uniform Network Code Committee </w:t>
      </w:r>
      <w:r w:rsidR="00265E6E" w:rsidRPr="00265E6E">
        <w:t xml:space="preserve">(UNCC) </w:t>
      </w:r>
      <w:r w:rsidRPr="00265E6E">
        <w:t xml:space="preserve">or any relevant sub-committee.  </w:t>
      </w:r>
    </w:p>
    <w:p w14:paraId="4896BDE0" w14:textId="6321FBE6" w:rsidR="00910EC9" w:rsidRPr="00265E6E" w:rsidRDefault="00910EC9" w:rsidP="00265E6E">
      <w:r w:rsidRPr="00265E6E">
        <w:t>Modification of the UNC is required to recognise the role of the Performance Assurance Framework</w:t>
      </w:r>
      <w:r w:rsidR="00265E6E" w:rsidRPr="00265E6E">
        <w:t xml:space="preserve"> (PAF)</w:t>
      </w:r>
      <w:r w:rsidRPr="00265E6E">
        <w:t xml:space="preserve">, the Performance Assurance Scheme and the </w:t>
      </w:r>
      <w:r w:rsidR="00265E6E" w:rsidRPr="00265E6E">
        <w:t>PAFA</w:t>
      </w:r>
      <w:r w:rsidRPr="00265E6E">
        <w:t xml:space="preserve"> and incorporate appropriate arrangements to monitor performance of Shippers, Transporters and the Transporter Agency and allow an incentive regime to develop. </w:t>
      </w:r>
    </w:p>
    <w:p w14:paraId="59FF0F58" w14:textId="36D8C01E" w:rsidR="00910EC9" w:rsidRPr="00265E6E" w:rsidRDefault="00910EC9" w:rsidP="00265E6E">
      <w:r w:rsidRPr="00265E6E">
        <w:t xml:space="preserve">The </w:t>
      </w:r>
      <w:r w:rsidR="00265E6E" w:rsidRPr="00265E6E">
        <w:t>PAF</w:t>
      </w:r>
      <w:r w:rsidRPr="00265E6E">
        <w:t xml:space="preserve"> is limited to energy once it has entered the Local Distribution Zone (including Connected System Exit Point Supply Points). Gas transported through the National Transmission System (NTS) and supply points connected to the NTS are excluded from the arrangements created by this modification.</w:t>
      </w:r>
    </w:p>
    <w:p w14:paraId="28FC8786" w14:textId="77777777" w:rsidR="00910EC9" w:rsidRPr="00265E6E" w:rsidRDefault="00910EC9" w:rsidP="00265E6E">
      <w:r w:rsidRPr="00265E6E">
        <w:rPr>
          <w:b/>
          <w:bCs/>
        </w:rPr>
        <w:t xml:space="preserve">Business Rules </w:t>
      </w:r>
    </w:p>
    <w:p w14:paraId="7AE7F060" w14:textId="7D72A53A" w:rsidR="00910EC9" w:rsidRPr="00265E6E" w:rsidRDefault="00910EC9" w:rsidP="00265E6E">
      <w:pPr>
        <w:numPr>
          <w:ilvl w:val="0"/>
          <w:numId w:val="43"/>
        </w:numPr>
      </w:pPr>
      <w:r w:rsidRPr="00265E6E">
        <w:t xml:space="preserve">A person, the </w:t>
      </w:r>
      <w:r w:rsidR="00265E6E" w:rsidRPr="00265E6E">
        <w:t>PAFA</w:t>
      </w:r>
      <w:r w:rsidRPr="00265E6E">
        <w:t xml:space="preserve">, shall be appointed and engaged by the Gas Transporters through a PAFA Contract for the purposes of: </w:t>
      </w:r>
    </w:p>
    <w:p w14:paraId="2EFD84C4" w14:textId="77777777" w:rsidR="00910EC9" w:rsidRPr="00265E6E" w:rsidRDefault="00910EC9" w:rsidP="00265E6E">
      <w:pPr>
        <w:ind w:left="1701" w:hanging="261"/>
      </w:pPr>
      <w:r w:rsidRPr="00265E6E">
        <w:t xml:space="preserve">a)  producing, publishing and maintaining a Performance Report Register and the creation, management and maintenance of the PAF Risk Register; and </w:t>
      </w:r>
    </w:p>
    <w:p w14:paraId="4EDB30A3" w14:textId="77777777" w:rsidR="00910EC9" w:rsidRPr="00265E6E" w:rsidRDefault="00910EC9" w:rsidP="00265E6E">
      <w:pPr>
        <w:ind w:left="1701" w:hanging="261"/>
      </w:pPr>
      <w:r w:rsidRPr="00265E6E">
        <w:t xml:space="preserve">b)  determining performance levels attained by those subject to the Performance Assurance regime; </w:t>
      </w:r>
    </w:p>
    <w:p w14:paraId="49E5CA76" w14:textId="4FEB56B5" w:rsidR="00910EC9" w:rsidRPr="00265E6E" w:rsidRDefault="00910EC9" w:rsidP="00265E6E">
      <w:pPr>
        <w:numPr>
          <w:ilvl w:val="0"/>
          <w:numId w:val="43"/>
        </w:numPr>
      </w:pPr>
      <w:r w:rsidRPr="00265E6E">
        <w:t xml:space="preserve">The Transporters will be required to publish a Framework Document “Guidelines for Energy Settlement Performance Assurance Regime”. The initial content of the Framework Document be that which is provided </w:t>
      </w:r>
      <w:r w:rsidR="00CB7ED1">
        <w:t>in</w:t>
      </w:r>
      <w:r w:rsidRPr="00265E6E">
        <w:t xml:space="preserve"> Appendix </w:t>
      </w:r>
      <w:r w:rsidR="00CB7ED1">
        <w:t xml:space="preserve">1 </w:t>
      </w:r>
      <w:r w:rsidRPr="00265E6E">
        <w:t>o</w:t>
      </w:r>
      <w:r w:rsidR="00CB7ED1">
        <w:t>f</w:t>
      </w:r>
      <w:r w:rsidRPr="00265E6E">
        <w:t xml:space="preserve"> this modification.</w:t>
      </w:r>
    </w:p>
    <w:p w14:paraId="0F94E444" w14:textId="77777777" w:rsidR="00910EC9" w:rsidRPr="00265E6E" w:rsidRDefault="00910EC9" w:rsidP="00265E6E">
      <w:pPr>
        <w:numPr>
          <w:ilvl w:val="0"/>
          <w:numId w:val="43"/>
        </w:numPr>
      </w:pPr>
      <w:r w:rsidRPr="00265E6E">
        <w:t>The Gas Transporters will use reasonable endeavours to:</w:t>
      </w:r>
    </w:p>
    <w:p w14:paraId="5E05BE8C" w14:textId="77777777" w:rsidR="00910EC9" w:rsidRPr="00265E6E" w:rsidRDefault="00910EC9" w:rsidP="00265E6E">
      <w:pPr>
        <w:pStyle w:val="ListParagraph"/>
      </w:pPr>
      <w:r w:rsidRPr="00265E6E">
        <w:t xml:space="preserve">3.1 Undertake a competitive tender for the appointment of the PAFA </w:t>
      </w:r>
    </w:p>
    <w:p w14:paraId="1D6BE364" w14:textId="77777777" w:rsidR="00910EC9" w:rsidRPr="00265E6E" w:rsidRDefault="00910EC9" w:rsidP="00265E6E">
      <w:pPr>
        <w:pStyle w:val="ListParagraph"/>
        <w:ind w:left="1418" w:hanging="698"/>
      </w:pPr>
      <w:r w:rsidRPr="00265E6E">
        <w:t xml:space="preserve">3.2 Use the criteria developed by the PAC to assess each tender bid as part of their assessment to select the preferred bidder  </w:t>
      </w:r>
    </w:p>
    <w:p w14:paraId="4EFF47B2" w14:textId="77777777" w:rsidR="00910EC9" w:rsidRPr="00265E6E" w:rsidRDefault="00910EC9" w:rsidP="00265E6E">
      <w:pPr>
        <w:pStyle w:val="ListParagraph"/>
        <w:ind w:left="1418" w:hanging="698"/>
      </w:pPr>
      <w:r w:rsidRPr="00265E6E">
        <w:t xml:space="preserve">3.3 Select, agree terms and appoint the PAFA. Where the selected PAFA does not accept the appointment, invite the next most favoured PAFA in turn; and   </w:t>
      </w:r>
    </w:p>
    <w:p w14:paraId="326E65BC" w14:textId="77777777" w:rsidR="00910EC9" w:rsidRPr="00265E6E" w:rsidRDefault="00910EC9" w:rsidP="00265E6E">
      <w:pPr>
        <w:ind w:left="709"/>
      </w:pPr>
      <w:r w:rsidRPr="00265E6E">
        <w:t>3.4 Upon acceptance of appointment, establish the contract with the Prospective PAFA</w:t>
      </w:r>
    </w:p>
    <w:p w14:paraId="5041B09E" w14:textId="77777777" w:rsidR="00910EC9" w:rsidRPr="00265E6E" w:rsidRDefault="00910EC9" w:rsidP="00265E6E">
      <w:pPr>
        <w:numPr>
          <w:ilvl w:val="0"/>
          <w:numId w:val="43"/>
        </w:numPr>
      </w:pPr>
      <w:r w:rsidRPr="00265E6E">
        <w:t xml:space="preserve">The PAC shall provide the final versions of the document as set out in </w:t>
      </w:r>
      <w:r w:rsidRPr="00CB7ED1">
        <w:rPr>
          <w:color w:val="FF0000"/>
        </w:rPr>
        <w:t>[XX]</w:t>
      </w:r>
      <w:r w:rsidRPr="00265E6E">
        <w:t xml:space="preserve"> of the Guidelines document to the Gas Transporters.</w:t>
      </w:r>
    </w:p>
    <w:p w14:paraId="032176A4" w14:textId="77777777" w:rsidR="00910EC9" w:rsidRPr="00265E6E" w:rsidRDefault="00910EC9" w:rsidP="00265E6E">
      <w:pPr>
        <w:numPr>
          <w:ilvl w:val="0"/>
          <w:numId w:val="43"/>
        </w:numPr>
      </w:pPr>
      <w:r w:rsidRPr="00265E6E">
        <w:t>On receipt the Gas Transporters shall commence the tender process using reasonable endeavours to:</w:t>
      </w:r>
    </w:p>
    <w:p w14:paraId="35D131DE" w14:textId="77777777" w:rsidR="00910EC9" w:rsidRPr="00265E6E" w:rsidRDefault="00910EC9" w:rsidP="00265E6E">
      <w:pPr>
        <w:ind w:left="1080"/>
      </w:pPr>
      <w:r w:rsidRPr="00265E6E">
        <w:t>5.1 Organise any meetings held in relation to the PAFA appointment;</w:t>
      </w:r>
    </w:p>
    <w:p w14:paraId="3572E5A5" w14:textId="77777777" w:rsidR="00910EC9" w:rsidRPr="00265E6E" w:rsidRDefault="00910EC9" w:rsidP="00265E6E">
      <w:pPr>
        <w:ind w:left="1080"/>
      </w:pPr>
      <w:r w:rsidRPr="00265E6E">
        <w:t>5.2 Provide legal resource to prepare a tender document;</w:t>
      </w:r>
    </w:p>
    <w:p w14:paraId="13E0CD2D" w14:textId="77777777" w:rsidR="00910EC9" w:rsidRPr="00265E6E" w:rsidRDefault="00910EC9" w:rsidP="00265E6E">
      <w:pPr>
        <w:ind w:left="1080"/>
      </w:pPr>
      <w:r w:rsidRPr="00265E6E">
        <w:t xml:space="preserve">5.3 Organise the advertisement of the tender to all interested parties, in accordance with national and European legislation; </w:t>
      </w:r>
    </w:p>
    <w:p w14:paraId="322BEFD8" w14:textId="77777777" w:rsidR="00910EC9" w:rsidRPr="00265E6E" w:rsidRDefault="00910EC9" w:rsidP="00265E6E">
      <w:pPr>
        <w:ind w:left="1080"/>
      </w:pPr>
      <w:r w:rsidRPr="00265E6E">
        <w:t xml:space="preserve">5.4 communicate to Shipper Users the outcome of the tender process; invite the prospective PAFA to take up the appointment </w:t>
      </w:r>
    </w:p>
    <w:p w14:paraId="5A9D09A8" w14:textId="77777777" w:rsidR="00910EC9" w:rsidRPr="00265E6E" w:rsidRDefault="00910EC9" w:rsidP="00265E6E">
      <w:pPr>
        <w:numPr>
          <w:ilvl w:val="0"/>
          <w:numId w:val="43"/>
        </w:numPr>
      </w:pPr>
      <w:r w:rsidRPr="00265E6E">
        <w:t>The start date of the PAFA Contract will be as soon as reasonably practical.</w:t>
      </w:r>
      <w:r w:rsidRPr="00265E6E">
        <w:br/>
      </w:r>
    </w:p>
    <w:p w14:paraId="55886A37" w14:textId="77777777" w:rsidR="00910EC9" w:rsidRPr="00265E6E" w:rsidRDefault="00910EC9" w:rsidP="00265E6E">
      <w:pPr>
        <w:numPr>
          <w:ilvl w:val="0"/>
          <w:numId w:val="43"/>
        </w:numPr>
      </w:pPr>
      <w:r w:rsidRPr="00265E6E">
        <w:t>The Gas Transporters will require that the PAFA:</w:t>
      </w:r>
    </w:p>
    <w:p w14:paraId="6D5FA74E" w14:textId="77777777" w:rsidR="00910EC9" w:rsidRPr="00265E6E" w:rsidRDefault="00910EC9" w:rsidP="00265E6E">
      <w:pPr>
        <w:ind w:left="1418"/>
      </w:pPr>
      <w:r w:rsidRPr="00265E6E">
        <w:t>7.1 Acts with all due skill, care and diligence when performing of its duties as the PAFA and shall be impartial when undertaking the function of the PAF, ensuring that any consideration of risks is equitable in their treatment of Shippers, Transporters and the Transporter Agency; and</w:t>
      </w:r>
    </w:p>
    <w:p w14:paraId="09A247B0" w14:textId="77777777" w:rsidR="00910EC9" w:rsidRPr="00265E6E" w:rsidRDefault="00910EC9" w:rsidP="00265E6E">
      <w:pPr>
        <w:ind w:left="1418"/>
      </w:pPr>
      <w:r w:rsidRPr="00265E6E">
        <w:t>7.2 Compiles the Performance Report Register and Risk Register in accordance with the Guidelines Document.</w:t>
      </w:r>
    </w:p>
    <w:p w14:paraId="31A4D13A" w14:textId="13560C31" w:rsidR="00910EC9" w:rsidRPr="00265E6E" w:rsidRDefault="00910EC9" w:rsidP="00265E6E">
      <w:pPr>
        <w:numPr>
          <w:ilvl w:val="0"/>
          <w:numId w:val="43"/>
        </w:numPr>
      </w:pPr>
      <w:r w:rsidRPr="00265E6E">
        <w:t xml:space="preserve">The Guidelines Document may be modified if </w:t>
      </w:r>
      <w:r w:rsidR="00CB7ED1">
        <w:t>UNCC</w:t>
      </w:r>
      <w:r w:rsidRPr="00265E6E">
        <w:t xml:space="preserve"> votes by majority vote in favour of a proposed change. </w:t>
      </w:r>
    </w:p>
    <w:p w14:paraId="3B28A358" w14:textId="7CE0E8B8" w:rsidR="00910EC9" w:rsidRPr="00265E6E" w:rsidRDefault="00910EC9" w:rsidP="001D147B">
      <w:pPr>
        <w:numPr>
          <w:ilvl w:val="0"/>
          <w:numId w:val="43"/>
        </w:numPr>
      </w:pPr>
      <w:r w:rsidRPr="00265E6E">
        <w:t xml:space="preserve">The Transporters will be required to provide data and information to the </w:t>
      </w:r>
      <w:r w:rsidR="001D147B">
        <w:t>PAFA</w:t>
      </w:r>
      <w:r w:rsidRPr="00265E6E">
        <w:t xml:space="preserve"> and assist in interpretation of information.</w:t>
      </w:r>
    </w:p>
    <w:p w14:paraId="210F3FFC" w14:textId="77777777" w:rsidR="00910EC9" w:rsidRPr="00265E6E" w:rsidRDefault="00910EC9" w:rsidP="00265E6E">
      <w:pPr>
        <w:numPr>
          <w:ilvl w:val="0"/>
          <w:numId w:val="43"/>
        </w:numPr>
      </w:pPr>
      <w:r w:rsidRPr="00265E6E">
        <w:t xml:space="preserve">For the avoidance of doubt, it is intended that this procurement and appointment for the PAFA process can be introduced ahead of the implementation of Project Nexus. </w:t>
      </w:r>
    </w:p>
    <w:p w14:paraId="6116784B" w14:textId="2BC76C5A" w:rsidR="00910EC9" w:rsidRPr="00265E6E" w:rsidRDefault="001D147B" w:rsidP="00265E6E">
      <w:r>
        <w:t>NOTE:</w:t>
      </w:r>
      <w:r w:rsidR="00910EC9" w:rsidRPr="00265E6E">
        <w:t xml:space="preserve"> A Uniform Network Code Committee Sub-Committee, the Performance Assurance Committee, will be established. Gas transported through the National Transmission System (NTS) and supply points connected to the NTS are excluded from the arrangements. </w:t>
      </w:r>
    </w:p>
    <w:p w14:paraId="3611B59B" w14:textId="27844167" w:rsidR="0082429E" w:rsidRPr="00265E6E" w:rsidRDefault="00910EC9" w:rsidP="00265E6E">
      <w:pPr>
        <w:rPr>
          <w:color w:val="0000FF"/>
        </w:rPr>
      </w:pPr>
      <w:r w:rsidRPr="00265E6E">
        <w:t xml:space="preserve">The role of the UNCC Sub-Committee and of the </w:t>
      </w:r>
      <w:r w:rsidR="001D147B">
        <w:t>PAFA</w:t>
      </w:r>
      <w:r w:rsidRPr="00265E6E">
        <w:t xml:space="preserve"> are set out in the UNC Related “Guidelines document for the Energy Settlement Performance Assurance Regime” shown in Appendix 1.</w:t>
      </w:r>
      <w:r w:rsidR="001D147B">
        <w:br/>
      </w:r>
      <w:r w:rsidR="0082429E" w:rsidRPr="00265E6E">
        <w:br/>
      </w:r>
      <w:r w:rsidR="0082429E" w:rsidRPr="00265E6E">
        <w:rPr>
          <w:b/>
          <w:color w:val="0000FF"/>
        </w:rPr>
        <w:t>0506A</w:t>
      </w:r>
      <w:r w:rsidR="00265E6E" w:rsidRPr="00265E6E">
        <w:rPr>
          <w:color w:val="0000FF"/>
        </w:rPr>
        <w:br/>
        <w:t>The purpose of this m</w:t>
      </w:r>
      <w:r w:rsidR="0082429E" w:rsidRPr="00265E6E">
        <w:rPr>
          <w:color w:val="0000FF"/>
        </w:rPr>
        <w:t xml:space="preserve">odification is to introduce a </w:t>
      </w:r>
      <w:r w:rsidR="00265E6E" w:rsidRPr="00265E6E">
        <w:rPr>
          <w:color w:val="0000FF"/>
        </w:rPr>
        <w:t>PAF</w:t>
      </w:r>
      <w:r w:rsidR="0082429E" w:rsidRPr="00265E6E">
        <w:rPr>
          <w:color w:val="0000FF"/>
        </w:rPr>
        <w:t xml:space="preserve"> for a g</w:t>
      </w:r>
      <w:r w:rsidR="00265E6E" w:rsidRPr="00265E6E">
        <w:rPr>
          <w:color w:val="0000FF"/>
        </w:rPr>
        <w:t>as Performance Assurance Scheme</w:t>
      </w:r>
      <w:r w:rsidR="0082429E" w:rsidRPr="00265E6E">
        <w:rPr>
          <w:color w:val="0000FF"/>
        </w:rPr>
        <w:t xml:space="preserve">. The </w:t>
      </w:r>
      <w:r w:rsidR="00265E6E" w:rsidRPr="00265E6E">
        <w:rPr>
          <w:color w:val="0000FF"/>
        </w:rPr>
        <w:t>PAFA</w:t>
      </w:r>
      <w:r w:rsidR="0082429E" w:rsidRPr="00265E6E">
        <w:rPr>
          <w:color w:val="0000FF"/>
        </w:rPr>
        <w:t xml:space="preserve"> will run the scheme, under the oversight of the UNCC or any relevant sub-committee. </w:t>
      </w:r>
    </w:p>
    <w:p w14:paraId="6070C569" w14:textId="4D3E8F3B" w:rsidR="0082429E" w:rsidRPr="00265E6E" w:rsidRDefault="0082429E" w:rsidP="00265E6E">
      <w:pPr>
        <w:rPr>
          <w:color w:val="0000FF"/>
        </w:rPr>
      </w:pPr>
      <w:r w:rsidRPr="00265E6E">
        <w:rPr>
          <w:color w:val="0000FF"/>
        </w:rPr>
        <w:t xml:space="preserve">Modification of the UNC is required to recognise the role of the Performance Assurance Framework, the Performance Assurance Scheme and the </w:t>
      </w:r>
      <w:r w:rsidR="001D147B">
        <w:rPr>
          <w:color w:val="0000FF"/>
        </w:rPr>
        <w:t>PAFA</w:t>
      </w:r>
      <w:r w:rsidRPr="00265E6E">
        <w:rPr>
          <w:color w:val="0000FF"/>
        </w:rPr>
        <w:t xml:space="preserve"> and incorporate appropriate arrangements to monitor performance of Shippers and Transporters. </w:t>
      </w:r>
    </w:p>
    <w:p w14:paraId="61523FA2" w14:textId="77777777" w:rsidR="0082429E" w:rsidRPr="00265E6E" w:rsidRDefault="0082429E" w:rsidP="00265E6E">
      <w:pPr>
        <w:rPr>
          <w:color w:val="0000FF"/>
        </w:rPr>
      </w:pPr>
      <w:r w:rsidRPr="00265E6E">
        <w:rPr>
          <w:b/>
          <w:bCs/>
          <w:color w:val="0000FF"/>
        </w:rPr>
        <w:t xml:space="preserve">Business Rules </w:t>
      </w:r>
    </w:p>
    <w:p w14:paraId="2B6018AC" w14:textId="77777777" w:rsidR="0082429E" w:rsidRPr="00265E6E" w:rsidRDefault="0082429E" w:rsidP="00265E6E">
      <w:pPr>
        <w:rPr>
          <w:color w:val="0000FF"/>
        </w:rPr>
      </w:pPr>
      <w:r w:rsidRPr="00265E6E">
        <w:rPr>
          <w:color w:val="0000FF"/>
        </w:rPr>
        <w:t>Modification business rules</w:t>
      </w:r>
    </w:p>
    <w:p w14:paraId="209F4AC3" w14:textId="77777777" w:rsidR="0082429E" w:rsidRPr="00265E6E" w:rsidRDefault="0082429E" w:rsidP="00265E6E">
      <w:pPr>
        <w:pStyle w:val="ListParagraph"/>
        <w:numPr>
          <w:ilvl w:val="0"/>
          <w:numId w:val="44"/>
        </w:numPr>
        <w:rPr>
          <w:color w:val="0000FF"/>
        </w:rPr>
      </w:pPr>
      <w:r w:rsidRPr="00265E6E">
        <w:rPr>
          <w:color w:val="0000FF"/>
        </w:rPr>
        <w:t>This modification (and everything created by it) shall terminate at the end of the gas day 30 September 2018.</w:t>
      </w:r>
    </w:p>
    <w:p w14:paraId="1A03F13C" w14:textId="77777777" w:rsidR="0082429E" w:rsidRPr="00265E6E" w:rsidRDefault="0082429E" w:rsidP="00265E6E">
      <w:pPr>
        <w:pStyle w:val="ListParagraph"/>
        <w:numPr>
          <w:ilvl w:val="0"/>
          <w:numId w:val="44"/>
        </w:numPr>
        <w:rPr>
          <w:color w:val="0000FF"/>
        </w:rPr>
      </w:pPr>
      <w:r w:rsidRPr="00265E6E">
        <w:rPr>
          <w:color w:val="0000FF"/>
        </w:rPr>
        <w:t>This modification does not apply to gas transportation on the NTS and supply points and supply meter points connected to the NTS</w:t>
      </w:r>
    </w:p>
    <w:p w14:paraId="244A4ED5" w14:textId="5753F6FE" w:rsidR="0082429E" w:rsidRPr="00265E6E" w:rsidRDefault="0082429E" w:rsidP="00265E6E">
      <w:pPr>
        <w:pStyle w:val="ListParagraph"/>
        <w:numPr>
          <w:ilvl w:val="0"/>
          <w:numId w:val="44"/>
        </w:numPr>
        <w:rPr>
          <w:color w:val="0000FF"/>
        </w:rPr>
      </w:pPr>
      <w:r w:rsidRPr="00265E6E">
        <w:rPr>
          <w:color w:val="0000FF"/>
        </w:rPr>
        <w:t xml:space="preserve">This modification creates the Performance Assurance Committee, which is the </w:t>
      </w:r>
      <w:r w:rsidR="00951053">
        <w:rPr>
          <w:color w:val="0000FF"/>
        </w:rPr>
        <w:t>UNCC</w:t>
      </w:r>
      <w:r w:rsidRPr="00265E6E">
        <w:rPr>
          <w:color w:val="0000FF"/>
        </w:rPr>
        <w:t xml:space="preserve"> or any relevant sub-committee.</w:t>
      </w:r>
    </w:p>
    <w:p w14:paraId="51BF1885" w14:textId="77777777" w:rsidR="0082429E" w:rsidRPr="00265E6E" w:rsidRDefault="0082429E" w:rsidP="00265E6E">
      <w:pPr>
        <w:pStyle w:val="ListParagraph"/>
        <w:numPr>
          <w:ilvl w:val="0"/>
          <w:numId w:val="44"/>
        </w:numPr>
        <w:rPr>
          <w:color w:val="0000FF"/>
        </w:rPr>
      </w:pPr>
      <w:r w:rsidRPr="00265E6E">
        <w:rPr>
          <w:color w:val="0000FF"/>
        </w:rPr>
        <w:t>The terms of reference for the Performance Assurance Committee have been prepared and are an appendix to this modification.</w:t>
      </w:r>
    </w:p>
    <w:p w14:paraId="2B1C89AC" w14:textId="77777777" w:rsidR="0082429E" w:rsidRPr="00265E6E" w:rsidRDefault="0082429E" w:rsidP="00265E6E">
      <w:pPr>
        <w:pStyle w:val="ListParagraph"/>
        <w:numPr>
          <w:ilvl w:val="0"/>
          <w:numId w:val="44"/>
        </w:numPr>
        <w:rPr>
          <w:color w:val="0000FF"/>
        </w:rPr>
      </w:pPr>
      <w:r w:rsidRPr="00265E6E">
        <w:rPr>
          <w:color w:val="0000FF"/>
        </w:rPr>
        <w:t>The “ESPAR Guidelines” is the document entitled ‘Energy Settlement Performance Assurance Regime Guidelines’ which sets out the :</w:t>
      </w:r>
    </w:p>
    <w:p w14:paraId="00DA5FC8" w14:textId="77777777" w:rsidR="0082429E" w:rsidRPr="00265E6E" w:rsidRDefault="0082429E" w:rsidP="00265E6E">
      <w:pPr>
        <w:pStyle w:val="ListParagraph"/>
        <w:numPr>
          <w:ilvl w:val="1"/>
          <w:numId w:val="44"/>
        </w:numPr>
        <w:rPr>
          <w:color w:val="0000FF"/>
        </w:rPr>
      </w:pPr>
      <w:r w:rsidRPr="00265E6E">
        <w:rPr>
          <w:color w:val="0000FF"/>
        </w:rPr>
        <w:t>Performance Assurance Framework</w:t>
      </w:r>
    </w:p>
    <w:p w14:paraId="54993C65" w14:textId="77777777" w:rsidR="0082429E" w:rsidRPr="00265E6E" w:rsidRDefault="0082429E" w:rsidP="00265E6E">
      <w:pPr>
        <w:pStyle w:val="ListParagraph"/>
        <w:numPr>
          <w:ilvl w:val="1"/>
          <w:numId w:val="44"/>
        </w:numPr>
        <w:rPr>
          <w:color w:val="0000FF"/>
        </w:rPr>
      </w:pPr>
      <w:r w:rsidRPr="00265E6E">
        <w:rPr>
          <w:color w:val="0000FF"/>
        </w:rPr>
        <w:t>Performance Assurance Scheme</w:t>
      </w:r>
    </w:p>
    <w:p w14:paraId="15AEC623" w14:textId="77777777" w:rsidR="0082429E" w:rsidRPr="00265E6E" w:rsidRDefault="0082429E" w:rsidP="00265E6E">
      <w:pPr>
        <w:pStyle w:val="ListParagraph"/>
        <w:numPr>
          <w:ilvl w:val="1"/>
          <w:numId w:val="44"/>
        </w:numPr>
        <w:rPr>
          <w:color w:val="0000FF"/>
        </w:rPr>
      </w:pPr>
      <w:r w:rsidRPr="00265E6E">
        <w:rPr>
          <w:color w:val="0000FF"/>
        </w:rPr>
        <w:t>Performance Assurance Committee</w:t>
      </w:r>
    </w:p>
    <w:p w14:paraId="6CF3EAAE" w14:textId="21E7BCF1" w:rsidR="0082429E" w:rsidRPr="00265E6E" w:rsidRDefault="00951053" w:rsidP="00265E6E">
      <w:pPr>
        <w:pStyle w:val="ListParagraph"/>
        <w:numPr>
          <w:ilvl w:val="1"/>
          <w:numId w:val="44"/>
        </w:numPr>
        <w:rPr>
          <w:color w:val="0000FF"/>
        </w:rPr>
      </w:pPr>
      <w:r>
        <w:rPr>
          <w:color w:val="0000FF"/>
        </w:rPr>
        <w:t>PAFA</w:t>
      </w:r>
    </w:p>
    <w:p w14:paraId="647EF75D" w14:textId="77777777" w:rsidR="0082429E" w:rsidRPr="00265E6E" w:rsidRDefault="0082429E" w:rsidP="00265E6E">
      <w:pPr>
        <w:pStyle w:val="ListParagraph"/>
        <w:numPr>
          <w:ilvl w:val="1"/>
          <w:numId w:val="44"/>
        </w:numPr>
        <w:rPr>
          <w:color w:val="0000FF"/>
        </w:rPr>
      </w:pPr>
      <w:r w:rsidRPr="00265E6E">
        <w:rPr>
          <w:color w:val="0000FF"/>
        </w:rPr>
        <w:t>Potential extension of these Guidelines as other UNC modifications are developed</w:t>
      </w:r>
    </w:p>
    <w:p w14:paraId="75E4A930" w14:textId="77777777" w:rsidR="0082429E" w:rsidRPr="00265E6E" w:rsidRDefault="0082429E" w:rsidP="00265E6E">
      <w:pPr>
        <w:pStyle w:val="ListParagraph"/>
        <w:numPr>
          <w:ilvl w:val="1"/>
          <w:numId w:val="44"/>
        </w:numPr>
        <w:rPr>
          <w:color w:val="0000FF"/>
        </w:rPr>
      </w:pPr>
      <w:r w:rsidRPr="00265E6E">
        <w:rPr>
          <w:color w:val="0000FF"/>
        </w:rPr>
        <w:t>Performance Assurance Committee Documents:</w:t>
      </w:r>
    </w:p>
    <w:p w14:paraId="603B80AF" w14:textId="77777777" w:rsidR="0082429E" w:rsidRPr="00265E6E" w:rsidRDefault="0082429E" w:rsidP="00265E6E">
      <w:pPr>
        <w:pStyle w:val="ListParagraph"/>
        <w:ind w:left="1440"/>
        <w:rPr>
          <w:color w:val="0000FF"/>
        </w:rPr>
      </w:pPr>
      <w:r w:rsidRPr="00265E6E">
        <w:rPr>
          <w:color w:val="0000FF"/>
        </w:rPr>
        <w:t>Document 1 Performance Assurance Framework – Performance Report Register</w:t>
      </w:r>
    </w:p>
    <w:p w14:paraId="65C4A94A" w14:textId="77777777" w:rsidR="0082429E" w:rsidRPr="00265E6E" w:rsidRDefault="0082429E" w:rsidP="00265E6E">
      <w:pPr>
        <w:pStyle w:val="ListParagraph"/>
        <w:ind w:left="1440"/>
        <w:rPr>
          <w:color w:val="0000FF"/>
        </w:rPr>
      </w:pPr>
      <w:r w:rsidRPr="00265E6E">
        <w:rPr>
          <w:color w:val="0000FF"/>
        </w:rPr>
        <w:t>Document 2 Report Specification template</w:t>
      </w:r>
    </w:p>
    <w:p w14:paraId="449F756B" w14:textId="77777777" w:rsidR="0082429E" w:rsidRPr="00265E6E" w:rsidRDefault="0082429E" w:rsidP="00265E6E">
      <w:pPr>
        <w:pStyle w:val="ListParagraph"/>
        <w:ind w:firstLine="720"/>
        <w:rPr>
          <w:color w:val="0000FF"/>
        </w:rPr>
      </w:pPr>
      <w:r w:rsidRPr="00265E6E">
        <w:rPr>
          <w:color w:val="0000FF"/>
        </w:rPr>
        <w:t>Document 3 Risk Register</w:t>
      </w:r>
    </w:p>
    <w:p w14:paraId="3468552D" w14:textId="38C14B56" w:rsidR="0082429E" w:rsidRPr="00265E6E" w:rsidRDefault="0082429E" w:rsidP="00265E6E">
      <w:pPr>
        <w:pStyle w:val="ListParagraph"/>
        <w:ind w:left="1440"/>
        <w:rPr>
          <w:color w:val="0000FF"/>
        </w:rPr>
      </w:pPr>
      <w:r w:rsidRPr="00265E6E">
        <w:rPr>
          <w:color w:val="0000FF"/>
        </w:rPr>
        <w:t xml:space="preserve">Document 4 </w:t>
      </w:r>
      <w:r w:rsidR="00951053">
        <w:rPr>
          <w:color w:val="0000FF"/>
        </w:rPr>
        <w:t>PAFA</w:t>
      </w:r>
      <w:r w:rsidRPr="00265E6E">
        <w:rPr>
          <w:color w:val="0000FF"/>
        </w:rPr>
        <w:t xml:space="preserve"> Scope definition, against which cost estimate to be provided, including the Change process</w:t>
      </w:r>
    </w:p>
    <w:p w14:paraId="6ED5F5FB" w14:textId="6A439A87" w:rsidR="0082429E" w:rsidRPr="00265E6E" w:rsidRDefault="0082429E" w:rsidP="00951053">
      <w:pPr>
        <w:ind w:firstLine="720"/>
        <w:rPr>
          <w:color w:val="0000FF"/>
        </w:rPr>
      </w:pPr>
      <w:r w:rsidRPr="00265E6E">
        <w:rPr>
          <w:color w:val="0000FF"/>
        </w:rPr>
        <w:t>The ESPAR Guidelines, and its supporting documents, are an appendix to this modification.</w:t>
      </w:r>
    </w:p>
    <w:p w14:paraId="214A96D2" w14:textId="77777777" w:rsidR="0082429E" w:rsidRPr="00265E6E" w:rsidRDefault="0082429E" w:rsidP="00265E6E">
      <w:pPr>
        <w:pStyle w:val="ListParagraph"/>
        <w:numPr>
          <w:ilvl w:val="0"/>
          <w:numId w:val="44"/>
        </w:numPr>
        <w:rPr>
          <w:color w:val="0000FF"/>
        </w:rPr>
      </w:pPr>
      <w:r w:rsidRPr="00265E6E">
        <w:rPr>
          <w:color w:val="0000FF"/>
        </w:rPr>
        <w:t>The ESPAR Guidelines are governed by the UNCC. Some aspects of the ESPAR Guidelines (as defined within the ESPAR Guidelines) are governed by the UNCC or any relevant sub-committee</w:t>
      </w:r>
    </w:p>
    <w:p w14:paraId="4588BAD9" w14:textId="1A275643" w:rsidR="0082429E" w:rsidRPr="00265E6E" w:rsidRDefault="0082429E" w:rsidP="00265E6E">
      <w:pPr>
        <w:pStyle w:val="ListParagraph"/>
        <w:numPr>
          <w:ilvl w:val="0"/>
          <w:numId w:val="44"/>
        </w:numPr>
        <w:rPr>
          <w:color w:val="0000FF"/>
        </w:rPr>
      </w:pPr>
      <w:r w:rsidRPr="00265E6E">
        <w:rPr>
          <w:color w:val="0000FF"/>
        </w:rPr>
        <w:t xml:space="preserve">The </w:t>
      </w:r>
      <w:r w:rsidR="00951053">
        <w:rPr>
          <w:color w:val="0000FF"/>
        </w:rPr>
        <w:t>PAF</w:t>
      </w:r>
      <w:r w:rsidRPr="00265E6E">
        <w:rPr>
          <w:color w:val="0000FF"/>
        </w:rPr>
        <w:t xml:space="preserve"> means the overarching framework comprising the Performance Assurance Scheme and its operation, the Performance Assurance Committee and its operation, the scope, operation and provision of services to be provided by the </w:t>
      </w:r>
      <w:r w:rsidR="00951053">
        <w:rPr>
          <w:color w:val="0000FF"/>
        </w:rPr>
        <w:t>PAFA</w:t>
      </w:r>
    </w:p>
    <w:p w14:paraId="2974F864" w14:textId="77777777" w:rsidR="0082429E" w:rsidRPr="00265E6E" w:rsidRDefault="0082429E" w:rsidP="00265E6E">
      <w:pPr>
        <w:pStyle w:val="ListParagraph"/>
        <w:numPr>
          <w:ilvl w:val="0"/>
          <w:numId w:val="44"/>
        </w:numPr>
        <w:rPr>
          <w:color w:val="0000FF"/>
        </w:rPr>
      </w:pPr>
      <w:r w:rsidRPr="00265E6E">
        <w:rPr>
          <w:color w:val="0000FF"/>
        </w:rPr>
        <w:t xml:space="preserve">The Performance Assurance Scheme means the measure and any other indices against which Shipper or Transporter performance is monitored </w:t>
      </w:r>
    </w:p>
    <w:p w14:paraId="0769DAD7" w14:textId="0F9E231A" w:rsidR="0082429E" w:rsidRPr="00265E6E" w:rsidRDefault="0082429E" w:rsidP="00265E6E">
      <w:pPr>
        <w:pStyle w:val="ListParagraph"/>
        <w:numPr>
          <w:ilvl w:val="0"/>
          <w:numId w:val="44"/>
        </w:numPr>
        <w:rPr>
          <w:color w:val="0000FF"/>
        </w:rPr>
      </w:pPr>
      <w:r w:rsidRPr="00265E6E">
        <w:rPr>
          <w:color w:val="0000FF"/>
        </w:rPr>
        <w:t xml:space="preserve">The </w:t>
      </w:r>
      <w:r w:rsidR="00951053">
        <w:rPr>
          <w:color w:val="0000FF"/>
        </w:rPr>
        <w:t>PAFA</w:t>
      </w:r>
      <w:r w:rsidRPr="00265E6E">
        <w:rPr>
          <w:color w:val="0000FF"/>
        </w:rPr>
        <w:t xml:space="preserve"> is the administrator of the Performance Assurance Scheme.</w:t>
      </w:r>
    </w:p>
    <w:p w14:paraId="02FD1AAA" w14:textId="666D6194" w:rsidR="0082429E" w:rsidRPr="00265E6E" w:rsidRDefault="0082429E" w:rsidP="00265E6E">
      <w:pPr>
        <w:pStyle w:val="ListParagraph"/>
        <w:numPr>
          <w:ilvl w:val="0"/>
          <w:numId w:val="44"/>
        </w:numPr>
        <w:rPr>
          <w:color w:val="0000FF"/>
        </w:rPr>
      </w:pPr>
      <w:r w:rsidRPr="00265E6E">
        <w:rPr>
          <w:color w:val="0000FF"/>
        </w:rPr>
        <w:t xml:space="preserve">This modification creates the </w:t>
      </w:r>
      <w:r w:rsidR="00951053">
        <w:rPr>
          <w:color w:val="0000FF"/>
        </w:rPr>
        <w:t>PAF,</w:t>
      </w:r>
      <w:r w:rsidRPr="00265E6E">
        <w:rPr>
          <w:color w:val="0000FF"/>
        </w:rPr>
        <w:t xml:space="preserve"> which is described in Section 3 of the ESPAR Guidelines.</w:t>
      </w:r>
    </w:p>
    <w:p w14:paraId="42F493D8" w14:textId="399BAF7C" w:rsidR="0082429E" w:rsidRPr="00265E6E" w:rsidRDefault="0082429E" w:rsidP="00265E6E">
      <w:pPr>
        <w:pStyle w:val="ListParagraph"/>
        <w:numPr>
          <w:ilvl w:val="0"/>
          <w:numId w:val="44"/>
        </w:numPr>
        <w:rPr>
          <w:color w:val="0000FF"/>
        </w:rPr>
      </w:pPr>
      <w:r w:rsidRPr="00265E6E">
        <w:rPr>
          <w:color w:val="0000FF"/>
        </w:rPr>
        <w:t xml:space="preserve">The role and scope of the </w:t>
      </w:r>
      <w:r w:rsidR="00951053">
        <w:rPr>
          <w:color w:val="0000FF"/>
        </w:rPr>
        <w:t>PAFA</w:t>
      </w:r>
      <w:r w:rsidRPr="00265E6E">
        <w:rPr>
          <w:color w:val="0000FF"/>
        </w:rPr>
        <w:t xml:space="preserve"> is described in Section 6 and Document 4 of the ESPAR Guidelines.</w:t>
      </w:r>
    </w:p>
    <w:p w14:paraId="3BD8A621" w14:textId="6543D127" w:rsidR="0082429E" w:rsidRPr="00265E6E" w:rsidRDefault="0082429E" w:rsidP="00265E6E">
      <w:pPr>
        <w:pStyle w:val="ListParagraph"/>
        <w:numPr>
          <w:ilvl w:val="0"/>
          <w:numId w:val="44"/>
        </w:numPr>
        <w:rPr>
          <w:color w:val="0000FF"/>
        </w:rPr>
      </w:pPr>
      <w:r w:rsidRPr="00265E6E">
        <w:rPr>
          <w:color w:val="0000FF"/>
        </w:rPr>
        <w:t xml:space="preserve">The </w:t>
      </w:r>
      <w:r w:rsidR="00F60F04">
        <w:rPr>
          <w:color w:val="0000FF"/>
        </w:rPr>
        <w:t>PAFA</w:t>
      </w:r>
      <w:r w:rsidRPr="00265E6E">
        <w:rPr>
          <w:color w:val="0000FF"/>
        </w:rPr>
        <w:t xml:space="preserve"> is the Transporter Agency.</w:t>
      </w:r>
    </w:p>
    <w:p w14:paraId="016A169C" w14:textId="77777777" w:rsidR="0082429E" w:rsidRPr="00265E6E" w:rsidRDefault="0082429E" w:rsidP="00265E6E">
      <w:pPr>
        <w:pStyle w:val="ListParagraph"/>
        <w:numPr>
          <w:ilvl w:val="0"/>
          <w:numId w:val="44"/>
        </w:numPr>
        <w:rPr>
          <w:color w:val="0000FF"/>
        </w:rPr>
      </w:pPr>
      <w:r w:rsidRPr="00265E6E">
        <w:rPr>
          <w:color w:val="0000FF"/>
        </w:rPr>
        <w:t>The PA Framework is to include CSEP Supply Points and CSEP Supply Meter Points following the implementation of Modification 0440 Project Nexus – iGT Single Service Provision.</w:t>
      </w:r>
    </w:p>
    <w:p w14:paraId="5DF2113F" w14:textId="77777777" w:rsidR="00910EC9" w:rsidRPr="005E7348" w:rsidRDefault="00910EC9" w:rsidP="00910EC9"/>
    <w:p w14:paraId="2A8C8F08" w14:textId="77777777" w:rsidR="001C01D5" w:rsidRPr="000B2E3D" w:rsidRDefault="001C01D5" w:rsidP="00E07DD7"/>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4747"/>
      </w:tblGrid>
      <w:tr w:rsidR="001C01D5" w:rsidRPr="009469BE" w14:paraId="618B501F" w14:textId="77777777" w:rsidTr="00A809BC">
        <w:trPr>
          <w:cantSplit/>
          <w:trHeight w:hRule="exact" w:val="397"/>
        </w:trPr>
        <w:tc>
          <w:tcPr>
            <w:tcW w:w="9494" w:type="dxa"/>
            <w:gridSpan w:val="2"/>
            <w:tcBorders>
              <w:bottom w:val="single" w:sz="8" w:space="0" w:color="CCE0DA"/>
            </w:tcBorders>
            <w:shd w:val="clear" w:color="auto" w:fill="CCE0DA"/>
            <w:vAlign w:val="center"/>
          </w:tcPr>
          <w:p w14:paraId="6D57EF7C" w14:textId="77777777" w:rsidR="001C01D5" w:rsidRPr="009469BE" w:rsidRDefault="001C01D5" w:rsidP="002D5DFC">
            <w:pPr>
              <w:pStyle w:val="TableHeading"/>
            </w:pPr>
            <w:r w:rsidRPr="009469BE">
              <w:t>User Pays</w:t>
            </w:r>
          </w:p>
        </w:tc>
      </w:tr>
      <w:tr w:rsidR="00925F3A" w:rsidRPr="009469BE" w14:paraId="5C61CD73" w14:textId="77777777" w:rsidTr="00A809BC">
        <w:trPr>
          <w:cantSplit/>
          <w:trHeight w:val="397"/>
        </w:trPr>
        <w:tc>
          <w:tcPr>
            <w:tcW w:w="4747" w:type="dxa"/>
          </w:tcPr>
          <w:p w14:paraId="388D9AA4" w14:textId="77777777" w:rsidR="00925F3A" w:rsidRPr="009469BE" w:rsidRDefault="00925F3A" w:rsidP="006C5683">
            <w:pPr>
              <w:pStyle w:val="Tablebodycopy"/>
              <w:tabs>
                <w:tab w:val="left" w:pos="7060"/>
              </w:tabs>
              <w:spacing w:after="40"/>
            </w:pPr>
            <w:r w:rsidRPr="009469BE">
              <w:rPr>
                <w:bCs/>
              </w:rPr>
              <w:t>Classification of the modification as User Pays, or not, and the justification for such classification.</w:t>
            </w:r>
          </w:p>
        </w:tc>
        <w:tc>
          <w:tcPr>
            <w:tcW w:w="4747" w:type="dxa"/>
          </w:tcPr>
          <w:p w14:paraId="2B725634" w14:textId="77777777" w:rsidR="00925F3A" w:rsidRPr="009469BE" w:rsidRDefault="003E10BF" w:rsidP="00E07DD7">
            <w:pPr>
              <w:spacing w:before="40" w:after="40"/>
              <w:ind w:left="113" w:right="-113"/>
            </w:pPr>
            <w:r>
              <w:t xml:space="preserve">Both </w:t>
            </w:r>
            <w:r w:rsidR="00910EC9">
              <w:t xml:space="preserve">0506 </w:t>
            </w:r>
            <w:r>
              <w:t>and 0506A propose</w:t>
            </w:r>
            <w:r w:rsidR="00910EC9">
              <w:t xml:space="preserve"> to create</w:t>
            </w:r>
            <w:r w:rsidR="00910EC9" w:rsidRPr="005E7348">
              <w:t xml:space="preserve"> additional services in the UNC to be provided by the Transporter Agency and to be defined in Appendix 1 of the Agency Charging Statement.</w:t>
            </w:r>
          </w:p>
        </w:tc>
      </w:tr>
      <w:tr w:rsidR="00925F3A" w:rsidRPr="009469BE" w14:paraId="0B23F6B3" w14:textId="77777777" w:rsidTr="00A809BC">
        <w:trPr>
          <w:cantSplit/>
          <w:trHeight w:val="397"/>
        </w:trPr>
        <w:tc>
          <w:tcPr>
            <w:tcW w:w="4747" w:type="dxa"/>
          </w:tcPr>
          <w:p w14:paraId="2F139656" w14:textId="77777777" w:rsidR="00925F3A" w:rsidRPr="009469BE" w:rsidRDefault="00925F3A" w:rsidP="006C5683">
            <w:pPr>
              <w:pStyle w:val="Tablebodycopy"/>
              <w:spacing w:after="40"/>
            </w:pPr>
            <w:r w:rsidRPr="009469BE">
              <w:rPr>
                <w:bCs/>
              </w:rPr>
              <w:t>Identification of Users of the service, the proposed split of the recovery between Gas Transporters and Users for User Pays costs and the justification for such view.</w:t>
            </w:r>
          </w:p>
        </w:tc>
        <w:tc>
          <w:tcPr>
            <w:tcW w:w="4747" w:type="dxa"/>
          </w:tcPr>
          <w:p w14:paraId="1D7B27C1" w14:textId="77777777" w:rsidR="00910EC9" w:rsidRPr="005E7348" w:rsidRDefault="00910EC9" w:rsidP="00910EC9">
            <w:pPr>
              <w:pStyle w:val="Tablebodycopy"/>
              <w:spacing w:after="40"/>
              <w:rPr>
                <w:color w:val="auto"/>
              </w:rPr>
            </w:pPr>
            <w:r w:rsidRPr="005E7348">
              <w:rPr>
                <w:color w:val="auto"/>
              </w:rPr>
              <w:t>As Users are the beneficiaries</w:t>
            </w:r>
            <w:r w:rsidR="003E10BF">
              <w:rPr>
                <w:color w:val="auto"/>
              </w:rPr>
              <w:t xml:space="preserve"> of the services created by these</w:t>
            </w:r>
            <w:r w:rsidRPr="005E7348">
              <w:rPr>
                <w:color w:val="auto"/>
              </w:rPr>
              <w:t xml:space="preserve"> modification</w:t>
            </w:r>
            <w:r w:rsidR="003E10BF">
              <w:rPr>
                <w:color w:val="auto"/>
              </w:rPr>
              <w:t>s,</w:t>
            </w:r>
            <w:r w:rsidRPr="005E7348">
              <w:rPr>
                <w:color w:val="auto"/>
              </w:rPr>
              <w:t xml:space="preserve"> 100% of the costs are to be recovered from Users. </w:t>
            </w:r>
          </w:p>
          <w:p w14:paraId="18B0C7AB" w14:textId="77777777" w:rsidR="00910EC9" w:rsidRPr="005E7348" w:rsidRDefault="00910EC9" w:rsidP="00910EC9">
            <w:pPr>
              <w:pStyle w:val="Tablebodycopy"/>
              <w:spacing w:after="40"/>
              <w:rPr>
                <w:color w:val="auto"/>
              </w:rPr>
            </w:pPr>
            <w:r w:rsidRPr="005E7348">
              <w:rPr>
                <w:color w:val="auto"/>
              </w:rPr>
              <w:t>The charging basis for Users is:</w:t>
            </w:r>
          </w:p>
          <w:p w14:paraId="50E8B992" w14:textId="77777777" w:rsidR="00925F3A" w:rsidRPr="00E07DD7" w:rsidRDefault="00910EC9" w:rsidP="00910EC9">
            <w:pPr>
              <w:spacing w:before="40" w:after="40"/>
              <w:ind w:left="113" w:right="-113"/>
              <w:rPr>
                <w:i/>
              </w:rPr>
            </w:pPr>
            <w:r w:rsidRPr="005E7348">
              <w:t>Total AQ for all LDZs for the relevant billing period for each Shipper (as at the end of the relevant billing period (30</w:t>
            </w:r>
            <w:r w:rsidRPr="005E7348">
              <w:rPr>
                <w:vertAlign w:val="superscript"/>
              </w:rPr>
              <w:t>th</w:t>
            </w:r>
            <w:r w:rsidRPr="005E7348">
              <w:t xml:space="preserve"> September) as a percentage of the total AQ for all LDZs for the relevant billing period for all Shippers (as at the end of the relevant billing period (30</w:t>
            </w:r>
            <w:r w:rsidRPr="005E7348">
              <w:rPr>
                <w:vertAlign w:val="superscript"/>
              </w:rPr>
              <w:t>th</w:t>
            </w:r>
            <w:r w:rsidRPr="005E7348">
              <w:t xml:space="preserve"> September))</w:t>
            </w:r>
          </w:p>
        </w:tc>
      </w:tr>
      <w:tr w:rsidR="00925F3A" w:rsidRPr="009469BE" w14:paraId="0FDC3573" w14:textId="77777777" w:rsidTr="00A809BC">
        <w:trPr>
          <w:cantSplit/>
          <w:trHeight w:val="397"/>
        </w:trPr>
        <w:tc>
          <w:tcPr>
            <w:tcW w:w="4747" w:type="dxa"/>
          </w:tcPr>
          <w:p w14:paraId="7DBBF0A3" w14:textId="77777777" w:rsidR="00925F3A" w:rsidRPr="009469BE" w:rsidRDefault="00925F3A" w:rsidP="006C5683">
            <w:pPr>
              <w:pStyle w:val="Tablebodycopy"/>
              <w:spacing w:after="40"/>
            </w:pPr>
            <w:r w:rsidRPr="009469BE">
              <w:rPr>
                <w:bCs/>
              </w:rPr>
              <w:t>Proposed charge(s) for application of User Pays charges to Shippers.</w:t>
            </w:r>
          </w:p>
        </w:tc>
        <w:tc>
          <w:tcPr>
            <w:tcW w:w="4747" w:type="dxa"/>
          </w:tcPr>
          <w:p w14:paraId="2E0BA596" w14:textId="77777777" w:rsidR="00925F3A" w:rsidRPr="00E07DD7" w:rsidRDefault="00910EC9" w:rsidP="00E07DD7">
            <w:pPr>
              <w:spacing w:before="40" w:after="40"/>
              <w:ind w:left="113" w:right="-113"/>
              <w:rPr>
                <w:i/>
              </w:rPr>
            </w:pPr>
            <w:r>
              <w:rPr>
                <w:i/>
              </w:rPr>
              <w:t>tbc</w:t>
            </w:r>
          </w:p>
        </w:tc>
      </w:tr>
      <w:tr w:rsidR="00925F3A" w:rsidRPr="009469BE" w14:paraId="21819347" w14:textId="77777777" w:rsidTr="00A809BC">
        <w:trPr>
          <w:cantSplit/>
          <w:trHeight w:val="397"/>
        </w:trPr>
        <w:tc>
          <w:tcPr>
            <w:tcW w:w="4747" w:type="dxa"/>
          </w:tcPr>
          <w:p w14:paraId="0DFB3AF9" w14:textId="77777777" w:rsidR="00925F3A" w:rsidRPr="009469BE" w:rsidRDefault="00925F3A" w:rsidP="006C5683">
            <w:pPr>
              <w:pStyle w:val="Tablebodycopy"/>
              <w:spacing w:after="40"/>
            </w:pPr>
            <w:r w:rsidRPr="009469BE">
              <w:rPr>
                <w:bCs/>
              </w:rPr>
              <w:t>Proposed charge for inclusion in the Agency Charging Statement (ACS) – to be completed upon receipt of a cost estimate from Xoserve.</w:t>
            </w:r>
          </w:p>
        </w:tc>
        <w:tc>
          <w:tcPr>
            <w:tcW w:w="4747" w:type="dxa"/>
          </w:tcPr>
          <w:p w14:paraId="7A120CCA" w14:textId="77777777" w:rsidR="00925F3A" w:rsidRPr="00E07DD7" w:rsidRDefault="00910EC9" w:rsidP="00E07DD7">
            <w:pPr>
              <w:spacing w:before="40" w:after="40"/>
              <w:ind w:left="113" w:right="-113"/>
              <w:rPr>
                <w:i/>
              </w:rPr>
            </w:pPr>
            <w:r>
              <w:rPr>
                <w:i/>
              </w:rPr>
              <w:t>tbc</w:t>
            </w:r>
          </w:p>
        </w:tc>
      </w:tr>
    </w:tbl>
    <w:p w14:paraId="02FBC1DF" w14:textId="77777777" w:rsidR="009A200B" w:rsidRPr="009469BE" w:rsidRDefault="009A200B">
      <w:pPr>
        <w:spacing w:line="240" w:lineRule="auto"/>
      </w:pPr>
    </w:p>
    <w:p w14:paraId="0F492889" w14:textId="77777777" w:rsidR="00CA4EA1" w:rsidRPr="009469BE" w:rsidRDefault="009A200B" w:rsidP="0097577A">
      <w:pPr>
        <w:pStyle w:val="Heading02"/>
      </w:pPr>
      <w:bookmarkStart w:id="5" w:name="_Toc275420903"/>
      <w:r w:rsidRPr="009469BE">
        <w:t>Relevant Objectives</w:t>
      </w:r>
      <w:bookmarkEnd w:id="5"/>
    </w:p>
    <w:tbl>
      <w:tblPr>
        <w:tblpPr w:leftFromText="180" w:rightFromText="180" w:vertAnchor="text" w:tblpXSpec="center" w:tblpY="1"/>
        <w:tblOverlap w:val="never"/>
        <w:tblW w:w="9650" w:type="dxa"/>
        <w:jc w:val="center"/>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098"/>
        <w:gridCol w:w="2552"/>
      </w:tblGrid>
      <w:tr w:rsidR="009A200B" w:rsidRPr="009469BE" w14:paraId="3EEBFBAF" w14:textId="77777777" w:rsidTr="0097577A">
        <w:trPr>
          <w:trHeight w:hRule="exact" w:val="397"/>
          <w:jc w:val="center"/>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04A4BCCF" w14:textId="77777777" w:rsidR="009A200B" w:rsidRPr="009469BE" w:rsidRDefault="00CF549A" w:rsidP="0097577A">
            <w:pPr>
              <w:pStyle w:val="TableHeading"/>
            </w:pPr>
            <w:r w:rsidRPr="009469BE">
              <w:t>Impact of the modification on the Relevant Objectives:</w:t>
            </w:r>
          </w:p>
        </w:tc>
      </w:tr>
      <w:tr w:rsidR="009A200B" w:rsidRPr="009469BE" w14:paraId="5F41E2B8" w14:textId="77777777" w:rsidTr="0097577A">
        <w:trPr>
          <w:trHeight w:val="397"/>
          <w:jc w:val="center"/>
        </w:trPr>
        <w:tc>
          <w:tcPr>
            <w:tcW w:w="7098" w:type="dxa"/>
            <w:tcBorders>
              <w:top w:val="single" w:sz="8" w:space="0" w:color="CCE0DA"/>
              <w:left w:val="single" w:sz="8" w:space="0" w:color="CCE0DA"/>
              <w:bottom w:val="single" w:sz="8" w:space="0" w:color="CCE0DA"/>
            </w:tcBorders>
          </w:tcPr>
          <w:p w14:paraId="7E234209" w14:textId="77777777" w:rsidR="009A200B" w:rsidRPr="009469BE" w:rsidRDefault="009A200B" w:rsidP="00E07DD7">
            <w:pPr>
              <w:spacing w:before="40"/>
              <w:ind w:left="113" w:right="113"/>
            </w:pPr>
            <w:r w:rsidRPr="009469BE">
              <w:t>Relevant Objective</w:t>
            </w:r>
          </w:p>
        </w:tc>
        <w:tc>
          <w:tcPr>
            <w:tcW w:w="2552" w:type="dxa"/>
            <w:tcBorders>
              <w:top w:val="single" w:sz="8" w:space="0" w:color="CCE0DA"/>
            </w:tcBorders>
          </w:tcPr>
          <w:p w14:paraId="29A94ED4" w14:textId="77777777" w:rsidR="009A200B" w:rsidRPr="009469BE" w:rsidRDefault="009A200B" w:rsidP="00E07DD7">
            <w:pPr>
              <w:spacing w:before="40"/>
              <w:ind w:left="113" w:right="113"/>
            </w:pPr>
            <w:r w:rsidRPr="009469BE">
              <w:t>Identified impact</w:t>
            </w:r>
          </w:p>
        </w:tc>
      </w:tr>
      <w:tr w:rsidR="00910EC9" w:rsidRPr="009469BE" w14:paraId="301F4AE2" w14:textId="77777777" w:rsidTr="0097577A">
        <w:trPr>
          <w:trHeight w:val="397"/>
          <w:jc w:val="center"/>
        </w:trPr>
        <w:tc>
          <w:tcPr>
            <w:tcW w:w="7098" w:type="dxa"/>
            <w:tcBorders>
              <w:left w:val="single" w:sz="8" w:space="0" w:color="CCE0DA"/>
              <w:bottom w:val="single" w:sz="8" w:space="0" w:color="CCE0DA"/>
            </w:tcBorders>
          </w:tcPr>
          <w:p w14:paraId="7DA3A686" w14:textId="77777777" w:rsidR="00910EC9" w:rsidRPr="009469BE" w:rsidRDefault="00910EC9" w:rsidP="0097577A">
            <w:pPr>
              <w:pStyle w:val="Tablebodycopy"/>
              <w:ind w:left="453" w:right="238" w:hanging="340"/>
            </w:pPr>
            <w:r w:rsidRPr="009469BE">
              <w:t xml:space="preserve">a) </w:t>
            </w:r>
            <w:r w:rsidRPr="009469BE">
              <w:tab/>
              <w:t>Efficient and economic operation of the pipe-line system.</w:t>
            </w:r>
          </w:p>
        </w:tc>
        <w:tc>
          <w:tcPr>
            <w:tcW w:w="2552" w:type="dxa"/>
          </w:tcPr>
          <w:p w14:paraId="0A386249" w14:textId="77777777" w:rsidR="00910EC9" w:rsidRPr="005E7348" w:rsidRDefault="00910EC9" w:rsidP="008F4FD8">
            <w:pPr>
              <w:pStyle w:val="Tablebodycopy"/>
              <w:ind w:right="238"/>
              <w:rPr>
                <w:color w:val="auto"/>
              </w:rPr>
            </w:pPr>
            <w:r w:rsidRPr="005E7348">
              <w:rPr>
                <w:color w:val="auto"/>
              </w:rPr>
              <w:t>None</w:t>
            </w:r>
          </w:p>
        </w:tc>
      </w:tr>
      <w:tr w:rsidR="00910EC9" w:rsidRPr="009469BE" w14:paraId="62D6A8FD" w14:textId="77777777" w:rsidTr="0097577A">
        <w:trPr>
          <w:trHeight w:val="397"/>
          <w:jc w:val="center"/>
        </w:trPr>
        <w:tc>
          <w:tcPr>
            <w:tcW w:w="7098" w:type="dxa"/>
            <w:tcBorders>
              <w:left w:val="single" w:sz="8" w:space="0" w:color="CCE0DA"/>
              <w:bottom w:val="single" w:sz="8" w:space="0" w:color="CCE0DA"/>
            </w:tcBorders>
          </w:tcPr>
          <w:p w14:paraId="3B889B11" w14:textId="77777777" w:rsidR="00910EC9" w:rsidRPr="009469BE" w:rsidRDefault="00910EC9" w:rsidP="0097577A">
            <w:pPr>
              <w:pStyle w:val="Tablebodycopy"/>
              <w:ind w:left="453" w:right="238" w:hanging="340"/>
            </w:pPr>
            <w:r w:rsidRPr="009469BE">
              <w:t xml:space="preserve">b) </w:t>
            </w:r>
            <w:r w:rsidRPr="009469BE">
              <w:tab/>
              <w:t xml:space="preserve">Coordinated, efficient and economic operation of </w:t>
            </w:r>
          </w:p>
          <w:p w14:paraId="02B1A249" w14:textId="77777777" w:rsidR="00910EC9" w:rsidRPr="009469BE" w:rsidRDefault="00910EC9" w:rsidP="0097577A">
            <w:pPr>
              <w:pStyle w:val="Tablebodycopy"/>
              <w:ind w:left="793" w:right="238" w:hanging="340"/>
            </w:pPr>
            <w:r w:rsidRPr="009469BE">
              <w:t>(i)</w:t>
            </w:r>
            <w:r w:rsidRPr="009469BE">
              <w:tab/>
              <w:t>the combined pipe-line system, and/ or</w:t>
            </w:r>
          </w:p>
          <w:p w14:paraId="73AB8C74" w14:textId="77777777" w:rsidR="00910EC9" w:rsidRPr="009469BE" w:rsidRDefault="00910EC9" w:rsidP="0097577A">
            <w:pPr>
              <w:pStyle w:val="Tablebodycopy"/>
              <w:ind w:left="793" w:right="238" w:hanging="340"/>
            </w:pPr>
            <w:r w:rsidRPr="009469BE">
              <w:t>(ii)</w:t>
            </w:r>
            <w:r w:rsidRPr="009469BE">
              <w:tab/>
              <w:t>the pipe-line system of one or more other relevant gas transporters.</w:t>
            </w:r>
          </w:p>
        </w:tc>
        <w:tc>
          <w:tcPr>
            <w:tcW w:w="2552" w:type="dxa"/>
          </w:tcPr>
          <w:p w14:paraId="1738385B" w14:textId="77777777" w:rsidR="00910EC9" w:rsidRPr="005E7348" w:rsidRDefault="00910EC9" w:rsidP="008F4FD8">
            <w:pPr>
              <w:pStyle w:val="Tablebodycopy"/>
              <w:ind w:right="238"/>
              <w:rPr>
                <w:color w:val="auto"/>
              </w:rPr>
            </w:pPr>
            <w:r w:rsidRPr="005E7348">
              <w:rPr>
                <w:color w:val="auto"/>
              </w:rPr>
              <w:t>None</w:t>
            </w:r>
          </w:p>
        </w:tc>
      </w:tr>
      <w:tr w:rsidR="00910EC9" w:rsidRPr="009469BE" w14:paraId="4F957D45" w14:textId="77777777" w:rsidTr="0097577A">
        <w:trPr>
          <w:trHeight w:val="397"/>
          <w:jc w:val="center"/>
        </w:trPr>
        <w:tc>
          <w:tcPr>
            <w:tcW w:w="7098" w:type="dxa"/>
            <w:tcBorders>
              <w:left w:val="single" w:sz="8" w:space="0" w:color="CCE0DA"/>
              <w:bottom w:val="single" w:sz="8" w:space="0" w:color="CCE0DA"/>
            </w:tcBorders>
          </w:tcPr>
          <w:p w14:paraId="601DD903" w14:textId="77777777" w:rsidR="00910EC9" w:rsidRPr="009469BE" w:rsidRDefault="00910EC9" w:rsidP="0097577A">
            <w:pPr>
              <w:pStyle w:val="Tablebodycopy"/>
              <w:ind w:left="453" w:right="238" w:hanging="340"/>
            </w:pPr>
            <w:r w:rsidRPr="009469BE">
              <w:t xml:space="preserve">c) </w:t>
            </w:r>
            <w:r w:rsidRPr="009469BE">
              <w:tab/>
              <w:t>Efficient discharge of the licensee's obligations.</w:t>
            </w:r>
          </w:p>
        </w:tc>
        <w:tc>
          <w:tcPr>
            <w:tcW w:w="2552" w:type="dxa"/>
          </w:tcPr>
          <w:p w14:paraId="741B1F87" w14:textId="77777777" w:rsidR="00910EC9" w:rsidRPr="005E7348" w:rsidRDefault="00910EC9" w:rsidP="008F4FD8">
            <w:pPr>
              <w:pStyle w:val="Tablebodycopy"/>
              <w:ind w:right="238"/>
              <w:rPr>
                <w:color w:val="auto"/>
              </w:rPr>
            </w:pPr>
            <w:r w:rsidRPr="005E7348">
              <w:rPr>
                <w:color w:val="auto"/>
              </w:rPr>
              <w:t>None</w:t>
            </w:r>
          </w:p>
        </w:tc>
      </w:tr>
      <w:tr w:rsidR="00910EC9" w:rsidRPr="009469BE" w14:paraId="1E77AE52" w14:textId="77777777" w:rsidTr="0097577A">
        <w:trPr>
          <w:trHeight w:val="397"/>
          <w:jc w:val="center"/>
        </w:trPr>
        <w:tc>
          <w:tcPr>
            <w:tcW w:w="7098" w:type="dxa"/>
            <w:tcBorders>
              <w:left w:val="single" w:sz="8" w:space="0" w:color="CCE0DA"/>
              <w:bottom w:val="single" w:sz="8" w:space="0" w:color="CCE0DA"/>
            </w:tcBorders>
          </w:tcPr>
          <w:p w14:paraId="34F3AA64" w14:textId="77777777" w:rsidR="00910EC9" w:rsidRPr="009469BE" w:rsidRDefault="00910EC9" w:rsidP="0097577A">
            <w:pPr>
              <w:pStyle w:val="Tablebodycopy"/>
              <w:ind w:left="453" w:right="238" w:hanging="340"/>
            </w:pPr>
            <w:r w:rsidRPr="009469BE">
              <w:t xml:space="preserve">d) </w:t>
            </w:r>
            <w:r w:rsidRPr="009469BE">
              <w:tab/>
              <w:t>Securing of effective competition:</w:t>
            </w:r>
          </w:p>
          <w:p w14:paraId="02DC8E81" w14:textId="77777777" w:rsidR="00910EC9" w:rsidRPr="009469BE" w:rsidRDefault="00910EC9" w:rsidP="0097577A">
            <w:pPr>
              <w:pStyle w:val="Tablebodycopy"/>
              <w:ind w:left="793" w:right="238" w:hanging="340"/>
            </w:pPr>
            <w:r w:rsidRPr="009469BE">
              <w:t>(i)</w:t>
            </w:r>
            <w:r w:rsidRPr="009469BE">
              <w:tab/>
              <w:t>between relevant shippers;</w:t>
            </w:r>
          </w:p>
          <w:p w14:paraId="6253ABF9" w14:textId="77777777" w:rsidR="00910EC9" w:rsidRPr="009469BE" w:rsidRDefault="00910EC9" w:rsidP="0097577A">
            <w:pPr>
              <w:pStyle w:val="Tablebodycopy"/>
              <w:ind w:left="793" w:right="238" w:hanging="340"/>
            </w:pPr>
            <w:r w:rsidRPr="009469BE">
              <w:t>(ii)</w:t>
            </w:r>
            <w:r w:rsidRPr="009469BE">
              <w:tab/>
              <w:t>between relevant suppliers; and/or</w:t>
            </w:r>
          </w:p>
          <w:p w14:paraId="3EF969BE" w14:textId="77777777" w:rsidR="00910EC9" w:rsidRPr="009469BE" w:rsidRDefault="00910EC9" w:rsidP="0097577A">
            <w:pPr>
              <w:pStyle w:val="Tablebodycopy"/>
              <w:ind w:left="793" w:right="238" w:hanging="340"/>
            </w:pPr>
            <w:r w:rsidRPr="009469BE">
              <w:t>(iii)</w:t>
            </w:r>
            <w:r w:rsidRPr="009469BE">
              <w:tab/>
              <w:t>between DN operators (who have entered into transportation arrangements with other relevant gas transporters) and relevant shippers.</w:t>
            </w:r>
          </w:p>
        </w:tc>
        <w:tc>
          <w:tcPr>
            <w:tcW w:w="2552" w:type="dxa"/>
          </w:tcPr>
          <w:p w14:paraId="015A794A" w14:textId="77777777" w:rsidR="00910EC9" w:rsidRDefault="008F4FD8" w:rsidP="008F4FD8">
            <w:pPr>
              <w:pStyle w:val="Tablebodycopy"/>
              <w:ind w:right="238"/>
              <w:rPr>
                <w:color w:val="auto"/>
              </w:rPr>
            </w:pPr>
            <w:r>
              <w:rPr>
                <w:color w:val="auto"/>
              </w:rPr>
              <w:t xml:space="preserve">0506 </w:t>
            </w:r>
            <w:r w:rsidR="00985411">
              <w:rPr>
                <w:color w:val="auto"/>
              </w:rPr>
              <w:t>–</w:t>
            </w:r>
            <w:r>
              <w:rPr>
                <w:color w:val="auto"/>
              </w:rPr>
              <w:t xml:space="preserve"> </w:t>
            </w:r>
            <w:r w:rsidR="00910EC9" w:rsidRPr="005E7348">
              <w:rPr>
                <w:color w:val="auto"/>
              </w:rPr>
              <w:t>Positive</w:t>
            </w:r>
          </w:p>
          <w:p w14:paraId="06EBC881" w14:textId="77777777" w:rsidR="00985411" w:rsidRPr="00985411" w:rsidRDefault="00985411" w:rsidP="008F4FD8">
            <w:pPr>
              <w:pStyle w:val="Tablebodycopy"/>
              <w:ind w:right="238"/>
              <w:rPr>
                <w:color w:val="0000FF"/>
              </w:rPr>
            </w:pPr>
            <w:r w:rsidRPr="00985411">
              <w:rPr>
                <w:color w:val="0000FF"/>
              </w:rPr>
              <w:t>0506A - Positive</w:t>
            </w:r>
          </w:p>
        </w:tc>
      </w:tr>
      <w:tr w:rsidR="00910EC9" w:rsidRPr="009469BE" w14:paraId="2228AE15" w14:textId="77777777" w:rsidTr="0097577A">
        <w:trPr>
          <w:trHeight w:val="397"/>
          <w:jc w:val="center"/>
        </w:trPr>
        <w:tc>
          <w:tcPr>
            <w:tcW w:w="7098" w:type="dxa"/>
            <w:tcBorders>
              <w:left w:val="single" w:sz="8" w:space="0" w:color="CCE0DA"/>
              <w:bottom w:val="single" w:sz="8" w:space="0" w:color="CCE0DA"/>
            </w:tcBorders>
          </w:tcPr>
          <w:p w14:paraId="70673A45" w14:textId="77777777" w:rsidR="00910EC9" w:rsidRPr="009469BE" w:rsidRDefault="00910EC9" w:rsidP="0097577A">
            <w:pPr>
              <w:pStyle w:val="Tablebodycopy"/>
              <w:ind w:left="453" w:right="238" w:hanging="340"/>
            </w:pPr>
            <w:r w:rsidRPr="009469BE">
              <w:t xml:space="preserve">e) </w:t>
            </w:r>
            <w:r w:rsidRPr="009469BE">
              <w:tab/>
              <w:t>Provision of reasonable economic incentives for relevant suppliers to secure that the domestic customer supply security standards… are satisfied as respects the availability of gas to their domestic customers.</w:t>
            </w:r>
          </w:p>
        </w:tc>
        <w:tc>
          <w:tcPr>
            <w:tcW w:w="2552" w:type="dxa"/>
          </w:tcPr>
          <w:p w14:paraId="43334D48" w14:textId="77777777" w:rsidR="00910EC9" w:rsidRPr="005E7348" w:rsidRDefault="00910EC9" w:rsidP="008F4FD8">
            <w:pPr>
              <w:pStyle w:val="Tablebodycopy"/>
              <w:ind w:right="238"/>
              <w:rPr>
                <w:color w:val="auto"/>
              </w:rPr>
            </w:pPr>
            <w:r w:rsidRPr="005E7348">
              <w:rPr>
                <w:color w:val="auto"/>
              </w:rPr>
              <w:t>None</w:t>
            </w:r>
          </w:p>
        </w:tc>
      </w:tr>
      <w:tr w:rsidR="00910EC9" w:rsidRPr="009469BE" w14:paraId="4946E403" w14:textId="77777777" w:rsidTr="0097577A">
        <w:trPr>
          <w:trHeight w:val="397"/>
          <w:jc w:val="center"/>
        </w:trPr>
        <w:tc>
          <w:tcPr>
            <w:tcW w:w="7098" w:type="dxa"/>
            <w:tcBorders>
              <w:left w:val="single" w:sz="8" w:space="0" w:color="CCE0DA"/>
              <w:bottom w:val="single" w:sz="8" w:space="0" w:color="CCE0DA"/>
            </w:tcBorders>
          </w:tcPr>
          <w:p w14:paraId="0DAB16D3" w14:textId="77777777" w:rsidR="00910EC9" w:rsidRPr="009469BE" w:rsidRDefault="00910EC9" w:rsidP="0097577A">
            <w:pPr>
              <w:pStyle w:val="Tablebodycopy"/>
              <w:ind w:left="453" w:right="238" w:hanging="340"/>
            </w:pPr>
            <w:r w:rsidRPr="009469BE">
              <w:t xml:space="preserve">f) </w:t>
            </w:r>
            <w:r w:rsidRPr="009469BE">
              <w:tab/>
              <w:t>Promotion of efficiency in the implementation and administration of the Code.</w:t>
            </w:r>
          </w:p>
        </w:tc>
        <w:tc>
          <w:tcPr>
            <w:tcW w:w="2552" w:type="dxa"/>
          </w:tcPr>
          <w:p w14:paraId="77976328" w14:textId="77777777" w:rsidR="00910EC9" w:rsidRDefault="008F4FD8" w:rsidP="008F4FD8">
            <w:pPr>
              <w:pStyle w:val="Tablebodycopy"/>
              <w:ind w:right="238"/>
              <w:rPr>
                <w:color w:val="auto"/>
              </w:rPr>
            </w:pPr>
            <w:r>
              <w:rPr>
                <w:color w:val="auto"/>
              </w:rPr>
              <w:t xml:space="preserve">0506 </w:t>
            </w:r>
            <w:r w:rsidR="00985411">
              <w:rPr>
                <w:color w:val="auto"/>
              </w:rPr>
              <w:t>–</w:t>
            </w:r>
            <w:r>
              <w:rPr>
                <w:color w:val="auto"/>
              </w:rPr>
              <w:t xml:space="preserve"> </w:t>
            </w:r>
            <w:r w:rsidR="00910EC9" w:rsidRPr="005E7348">
              <w:rPr>
                <w:color w:val="auto"/>
              </w:rPr>
              <w:t>Positive</w:t>
            </w:r>
          </w:p>
          <w:p w14:paraId="05C3F2D1" w14:textId="77777777" w:rsidR="00985411" w:rsidRPr="00985411" w:rsidRDefault="00985411" w:rsidP="008F4FD8">
            <w:pPr>
              <w:pStyle w:val="Tablebodycopy"/>
              <w:ind w:right="238"/>
              <w:rPr>
                <w:color w:val="0000FF"/>
              </w:rPr>
            </w:pPr>
            <w:r w:rsidRPr="00985411">
              <w:rPr>
                <w:color w:val="0000FF"/>
              </w:rPr>
              <w:t>0506A - Positive</w:t>
            </w:r>
          </w:p>
        </w:tc>
      </w:tr>
      <w:tr w:rsidR="00910EC9" w:rsidRPr="009469BE" w14:paraId="602DC1CA" w14:textId="77777777" w:rsidTr="0097577A">
        <w:trPr>
          <w:trHeight w:val="397"/>
          <w:jc w:val="center"/>
        </w:trPr>
        <w:tc>
          <w:tcPr>
            <w:tcW w:w="7098" w:type="dxa"/>
            <w:tcBorders>
              <w:left w:val="single" w:sz="8" w:space="0" w:color="CCE0DA"/>
              <w:bottom w:val="single" w:sz="8" w:space="0" w:color="CCE0DA"/>
            </w:tcBorders>
          </w:tcPr>
          <w:p w14:paraId="3FA627BF" w14:textId="77777777" w:rsidR="00910EC9" w:rsidRPr="009469BE" w:rsidRDefault="00910EC9" w:rsidP="0097577A">
            <w:pPr>
              <w:pStyle w:val="Tablebodycopy"/>
              <w:tabs>
                <w:tab w:val="left" w:pos="578"/>
              </w:tabs>
              <w:ind w:left="397" w:right="238" w:hanging="284"/>
            </w:pPr>
            <w:r w:rsidRPr="009469BE">
              <w:t>g)  Compliance with the Regulation and any relevant legally binding decisions of the European Commission and/or the Agency for the Co-operation of Energy Regulators.</w:t>
            </w:r>
          </w:p>
        </w:tc>
        <w:tc>
          <w:tcPr>
            <w:tcW w:w="2552" w:type="dxa"/>
          </w:tcPr>
          <w:p w14:paraId="644FB05D" w14:textId="77777777" w:rsidR="00910EC9" w:rsidRPr="005E7348" w:rsidRDefault="00910EC9" w:rsidP="008F4FD8">
            <w:pPr>
              <w:pStyle w:val="Tablebodycopy"/>
              <w:ind w:right="238"/>
              <w:rPr>
                <w:color w:val="auto"/>
              </w:rPr>
            </w:pPr>
            <w:r w:rsidRPr="005E7348">
              <w:rPr>
                <w:color w:val="auto"/>
              </w:rPr>
              <w:t>None</w:t>
            </w:r>
          </w:p>
        </w:tc>
      </w:tr>
    </w:tbl>
    <w:p w14:paraId="567052B3" w14:textId="77777777" w:rsidR="008F4FD8" w:rsidRPr="003E3CCC" w:rsidRDefault="008F4FD8" w:rsidP="008F4FD8">
      <w:pPr>
        <w:rPr>
          <w:b/>
        </w:rPr>
      </w:pPr>
      <w:bookmarkStart w:id="6" w:name="_Toc275420904"/>
      <w:r w:rsidRPr="003E3CCC">
        <w:rPr>
          <w:b/>
        </w:rPr>
        <w:t>0506</w:t>
      </w:r>
    </w:p>
    <w:p w14:paraId="2E218195" w14:textId="77777777" w:rsidR="008F4FD8" w:rsidRPr="005E7348" w:rsidRDefault="008F4FD8" w:rsidP="008F4FD8">
      <w:r w:rsidRPr="005E7348">
        <w:t xml:space="preserve">This modification proposal should have a positive effect on Relevant Objectives (d) and (f). It is intended that the Performance Assurance Framework will allow for the monitoring of Shipper performance in elements related to settlement accuracy and facilitate an incentive regime to improve performance and reduce settlement risk. </w:t>
      </w:r>
    </w:p>
    <w:p w14:paraId="567501D3" w14:textId="77777777" w:rsidR="008F4FD8" w:rsidRPr="005E7348" w:rsidRDefault="008F4FD8" w:rsidP="008F4FD8">
      <w:r w:rsidRPr="005E7348">
        <w:t xml:space="preserve">This is expected to lead to more accurate and up to date information being held on Xoserve’s system and therefore improve accuracy of settlement and information in relation to system utilisation and capacity needs. </w:t>
      </w:r>
    </w:p>
    <w:p w14:paraId="61D3ED8B" w14:textId="77777777" w:rsidR="008F4FD8" w:rsidRPr="005E7348" w:rsidRDefault="008F4FD8" w:rsidP="008F4FD8">
      <w:r w:rsidRPr="005E7348">
        <w:t>Introducing a PAF should help facilitate the realisation of benefits expected both from Project Nexus changes and the roll out of smart metering. In addition by introducing a competitive tender exercise to appoint the Performance Assurance Administrator this should ensure that there is competitive pressure on the cost of this service.</w:t>
      </w:r>
    </w:p>
    <w:p w14:paraId="1A4CCAEF" w14:textId="77777777" w:rsidR="008F4FD8" w:rsidRPr="005E7348" w:rsidRDefault="008F4FD8" w:rsidP="008F4FD8">
      <w:r w:rsidRPr="005E7348">
        <w:t>If accuracy of settlement and reduction of error can be improved and the PAF meets its objective of ensuring that no unfair commercial advantage can be derived from settlement market attractiveness should also improve and this may encourage new entrants to the market.  This should therefore further Relevant Objective (d).</w:t>
      </w:r>
    </w:p>
    <w:p w14:paraId="0F11F9B6" w14:textId="77777777" w:rsidR="003E3CCC" w:rsidRDefault="008F4FD8" w:rsidP="003E3CCC">
      <w:r w:rsidRPr="005E7348">
        <w:t>The creation of the UNCC Sub-Committee and UNC Related Document will facilitate the implementation of other modifications related to the Performance Assurance Framework, this modification proposal also furthers Relevant Objective (f).</w:t>
      </w:r>
      <w:r w:rsidR="003E3CCC">
        <w:br/>
      </w:r>
      <w:r w:rsidR="003E3CCC">
        <w:br/>
      </w:r>
      <w:r w:rsidR="003E3CCC" w:rsidRPr="003E3CCC">
        <w:rPr>
          <w:b/>
          <w:color w:val="0000FF"/>
        </w:rPr>
        <w:t>0506A</w:t>
      </w:r>
    </w:p>
    <w:p w14:paraId="3FA56826" w14:textId="77777777" w:rsidR="003E3CCC" w:rsidRDefault="003E3CCC" w:rsidP="003E3CCC">
      <w:pPr>
        <w:rPr>
          <w:color w:val="0000FF"/>
        </w:rPr>
      </w:pPr>
      <w:r w:rsidRPr="003E3CCC">
        <w:rPr>
          <w:color w:val="0000FF"/>
        </w:rPr>
        <w:t xml:space="preserve">This modification proposal should have a positive effect on Relevant Objectives (d) and (f). It is intended that the Performance Assurance Framework will allow for the monitoring of Shipper performance in elements related to settlement accuracy and facilitate an incentive regime to improve performance and reduce settlement risk. </w:t>
      </w:r>
    </w:p>
    <w:p w14:paraId="47995A03" w14:textId="77777777" w:rsidR="003E3CCC" w:rsidRDefault="003E3CCC" w:rsidP="003E3CCC">
      <w:pPr>
        <w:rPr>
          <w:color w:val="0000FF"/>
        </w:rPr>
      </w:pPr>
      <w:r w:rsidRPr="003E3CCC">
        <w:rPr>
          <w:color w:val="0000FF"/>
        </w:rPr>
        <w:t xml:space="preserve">This is expected to lead to more accurate and up to date information being held on Xoserve’s system and therefore improve accuracy of settlement and information in relation to system utilisation and capacity needs. </w:t>
      </w:r>
    </w:p>
    <w:p w14:paraId="611F079E" w14:textId="77777777" w:rsidR="003E3CCC" w:rsidRDefault="003E3CCC" w:rsidP="003E3CCC">
      <w:pPr>
        <w:rPr>
          <w:color w:val="0000FF"/>
        </w:rPr>
      </w:pPr>
      <w:r w:rsidRPr="003E3CCC">
        <w:rPr>
          <w:color w:val="0000FF"/>
        </w:rPr>
        <w:t>Introducing a PAF should help facilitate the realisation of benefits expected both from Project Nexus changes and the roll out of smart metering. In addition by introducing a competitive tender exercise to appoint the Performance Assurance Administrator this should ensure that there is competitive pressure on the cost of this service.</w:t>
      </w:r>
    </w:p>
    <w:p w14:paraId="7E743321" w14:textId="77777777" w:rsidR="003E3CCC" w:rsidRDefault="003E3CCC" w:rsidP="003E3CCC">
      <w:pPr>
        <w:rPr>
          <w:color w:val="0000FF"/>
        </w:rPr>
      </w:pPr>
      <w:r w:rsidRPr="003E3CCC">
        <w:rPr>
          <w:color w:val="0000FF"/>
        </w:rPr>
        <w:t>If accuracy of settlement and reduction of error can be improved and the PAF meets its objective of ensuring that no unfair commercial advantage can be derived from settlement market attractiveness should also improve and this may encourage new entrants to the market.  This should therefore further Relevant Objective (d).</w:t>
      </w:r>
    </w:p>
    <w:p w14:paraId="4ADA670F" w14:textId="77777777" w:rsidR="003E3CCC" w:rsidRPr="003E3CCC" w:rsidRDefault="003E3CCC" w:rsidP="003E3CCC">
      <w:pPr>
        <w:rPr>
          <w:color w:val="0000FF"/>
        </w:rPr>
      </w:pPr>
      <w:r w:rsidRPr="003E3CCC">
        <w:rPr>
          <w:color w:val="0000FF"/>
        </w:rPr>
        <w:t>The creation of the UNCC Sub-Committee and UNC Related Document will facilitate the implementation of other modifications related to the Performance Assurance Framework, this modification proposal also furthers Relevant Objective (f).</w:t>
      </w:r>
    </w:p>
    <w:p w14:paraId="37B07DD8" w14:textId="77777777" w:rsidR="008F4FD8" w:rsidRPr="005E7348" w:rsidRDefault="008F4FD8" w:rsidP="008F4FD8"/>
    <w:p w14:paraId="08D8A7AE" w14:textId="77777777" w:rsidR="00450385" w:rsidRPr="009469BE" w:rsidRDefault="00C31A20" w:rsidP="0097577A">
      <w:pPr>
        <w:pStyle w:val="Heading02"/>
        <w:rPr>
          <w:noProof/>
        </w:rPr>
      </w:pPr>
      <w:r w:rsidRPr="009469BE">
        <w:rPr>
          <w:noProof/>
        </w:rPr>
        <w:t>Imple</w:t>
      </w:r>
      <w:r w:rsidR="00461C2F" w:rsidRPr="009469BE">
        <w:rPr>
          <w:noProof/>
        </w:rPr>
        <w:t>me</w:t>
      </w:r>
      <w:r w:rsidRPr="009469BE">
        <w:rPr>
          <w:noProof/>
        </w:rPr>
        <w:t>ntation</w:t>
      </w:r>
      <w:bookmarkEnd w:id="6"/>
    </w:p>
    <w:p w14:paraId="7AA57A60" w14:textId="77777777" w:rsidR="006E4ECD" w:rsidRDefault="008F4FD8" w:rsidP="008F4FD8">
      <w:bookmarkStart w:id="7" w:name="_Toc275420905"/>
      <w:r w:rsidRPr="005E7348">
        <w:t>No implementation timescales are proposed</w:t>
      </w:r>
      <w:r>
        <w:t xml:space="preserve"> for either modification</w:t>
      </w:r>
      <w:r w:rsidRPr="005E7348">
        <w:t xml:space="preserve">. However, </w:t>
      </w:r>
      <w:r>
        <w:t xml:space="preserve">it would be desirable that the successful </w:t>
      </w:r>
      <w:r w:rsidRPr="005E7348">
        <w:t>proposal should be implemented as soon as</w:t>
      </w:r>
      <w:r>
        <w:t xml:space="preserve"> possible after </w:t>
      </w:r>
      <w:r w:rsidRPr="005E7348">
        <w:t xml:space="preserve">Ofgem approval. </w:t>
      </w:r>
    </w:p>
    <w:p w14:paraId="3954AF9C" w14:textId="77777777" w:rsidR="008F4FD8" w:rsidRPr="005E7348" w:rsidRDefault="008F4FD8" w:rsidP="008F4FD8">
      <w:r w:rsidRPr="005E7348">
        <w:t>This modification is expected to be one of a series of modifications around Performance Assurance, which should be able to be developed independently and implemented at different times. For the avoidance of doubt it is intended that this modification can be implemented without any modification on risk assessment being approved.</w:t>
      </w:r>
    </w:p>
    <w:p w14:paraId="00E1BB88" w14:textId="77777777" w:rsidR="008F4FD8" w:rsidRPr="005E7348" w:rsidRDefault="008F4FD8" w:rsidP="008F4FD8">
      <w:pPr>
        <w:rPr>
          <w:i/>
        </w:rPr>
      </w:pPr>
      <w:r w:rsidRPr="005E7348">
        <w:rPr>
          <w:i/>
        </w:rPr>
        <w:t>Note: the UNCC can create the Performance Assurance Framework Sub-</w:t>
      </w:r>
      <w:r w:rsidR="006E4ECD">
        <w:rPr>
          <w:i/>
        </w:rPr>
        <w:t xml:space="preserve">Committee at any point in time and </w:t>
      </w:r>
      <w:r w:rsidRPr="005E7348">
        <w:rPr>
          <w:i/>
        </w:rPr>
        <w:t xml:space="preserve">this may be prior to the modification implementation. </w:t>
      </w:r>
    </w:p>
    <w:p w14:paraId="6EE40B4C" w14:textId="77777777" w:rsidR="00EE5CD9" w:rsidRPr="00876FA4" w:rsidRDefault="00367F60" w:rsidP="0097577A">
      <w:pPr>
        <w:pStyle w:val="Heading02"/>
        <w:rPr>
          <w:noProof/>
        </w:rPr>
      </w:pPr>
      <w:r>
        <w:rPr>
          <w:noProof/>
        </w:rPr>
        <w:t>Impacts</w:t>
      </w:r>
      <w:bookmarkEnd w:id="7"/>
      <w:r w:rsidR="00BB32F0">
        <w:rPr>
          <w:noProof/>
        </w:rPr>
        <w:t xml:space="preserve"> </w:t>
      </w:r>
    </w:p>
    <w:p w14:paraId="3D9259F9" w14:textId="77777777" w:rsidR="006E7327" w:rsidRDefault="006E7327" w:rsidP="006E7327">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Does this </w:t>
      </w:r>
      <w:r w:rsidRPr="000B2E3D">
        <w:rPr>
          <w:rFonts w:ascii="Arial" w:eastAsia="Times New Roman" w:hAnsi="Arial" w:cs="Arial"/>
          <w:i w:val="0"/>
          <w:iCs w:val="0"/>
          <w:color w:val="008576"/>
          <w:sz w:val="24"/>
          <w:szCs w:val="28"/>
        </w:rPr>
        <w:t xml:space="preserve">modification </w:t>
      </w:r>
      <w:r w:rsidR="00771ACE">
        <w:rPr>
          <w:rFonts w:ascii="Arial" w:eastAsia="Times New Roman" w:hAnsi="Arial" w:cs="Arial"/>
          <w:i w:val="0"/>
          <w:iCs w:val="0"/>
          <w:color w:val="008576"/>
          <w:sz w:val="24"/>
          <w:szCs w:val="28"/>
        </w:rPr>
        <w:t>impact a</w:t>
      </w:r>
      <w:r>
        <w:rPr>
          <w:rFonts w:ascii="Arial" w:eastAsia="Times New Roman" w:hAnsi="Arial" w:cs="Arial"/>
          <w:i w:val="0"/>
          <w:iCs w:val="0"/>
          <w:color w:val="008576"/>
          <w:sz w:val="24"/>
          <w:szCs w:val="28"/>
        </w:rPr>
        <w:t xml:space="preserve"> S</w:t>
      </w:r>
      <w:r w:rsidR="00771ACE">
        <w:rPr>
          <w:rFonts w:ascii="Arial" w:eastAsia="Times New Roman" w:hAnsi="Arial" w:cs="Arial"/>
          <w:i w:val="0"/>
          <w:iCs w:val="0"/>
          <w:color w:val="008576"/>
          <w:sz w:val="24"/>
          <w:szCs w:val="28"/>
        </w:rPr>
        <w:t>ignificant Code Review (S</w:t>
      </w:r>
      <w:r>
        <w:rPr>
          <w:rFonts w:ascii="Arial" w:eastAsia="Times New Roman" w:hAnsi="Arial" w:cs="Arial"/>
          <w:i w:val="0"/>
          <w:iCs w:val="0"/>
          <w:color w:val="008576"/>
          <w:sz w:val="24"/>
          <w:szCs w:val="28"/>
        </w:rPr>
        <w:t>CR</w:t>
      </w:r>
      <w:r w:rsidR="00771ACE">
        <w:rPr>
          <w:rFonts w:ascii="Arial" w:eastAsia="Times New Roman" w:hAnsi="Arial" w:cs="Arial"/>
          <w:i w:val="0"/>
          <w:iCs w:val="0"/>
          <w:color w:val="008576"/>
          <w:sz w:val="24"/>
          <w:szCs w:val="28"/>
        </w:rPr>
        <w:t>)</w:t>
      </w:r>
      <w:r>
        <w:rPr>
          <w:rFonts w:ascii="Arial" w:eastAsia="Times New Roman" w:hAnsi="Arial" w:cs="Arial"/>
          <w:i w:val="0"/>
          <w:iCs w:val="0"/>
          <w:color w:val="008576"/>
          <w:sz w:val="24"/>
          <w:szCs w:val="28"/>
        </w:rPr>
        <w:t xml:space="preserve"> or other significant industry change projects, if so, how?</w:t>
      </w:r>
    </w:p>
    <w:p w14:paraId="3292721C" w14:textId="77777777" w:rsidR="00A874D1" w:rsidRDefault="00A874D1" w:rsidP="00A874D1">
      <w:pPr>
        <w:rPr>
          <w:color w:val="000000"/>
        </w:rPr>
      </w:pPr>
      <w:r>
        <w:rPr>
          <w:color w:val="000000"/>
        </w:rPr>
        <w:t>Both of these</w:t>
      </w:r>
      <w:r w:rsidRPr="005E7348">
        <w:rPr>
          <w:color w:val="000000"/>
        </w:rPr>
        <w:t xml:space="preserve"> modification</w:t>
      </w:r>
      <w:r>
        <w:rPr>
          <w:color w:val="000000"/>
        </w:rPr>
        <w:t>s seek</w:t>
      </w:r>
      <w:r w:rsidRPr="005E7348">
        <w:rPr>
          <w:color w:val="000000"/>
        </w:rPr>
        <w:t xml:space="preserve"> to implement a Performance Assurance Framework (PAF) in time for the implementation of Project Nexus. However, there is no interdependency for implementation as </w:t>
      </w:r>
      <w:r>
        <w:rPr>
          <w:color w:val="000000"/>
        </w:rPr>
        <w:t>they</w:t>
      </w:r>
      <w:r w:rsidRPr="005E7348">
        <w:rPr>
          <w:color w:val="000000"/>
        </w:rPr>
        <w:t xml:space="preserve"> could be implemented ahead of Project Nexus</w:t>
      </w:r>
      <w:r w:rsidR="004F55AD">
        <w:rPr>
          <w:color w:val="000000"/>
        </w:rPr>
        <w:t xml:space="preserve"> and they have no impact on the system build</w:t>
      </w:r>
      <w:r w:rsidRPr="005E7348">
        <w:rPr>
          <w:color w:val="000000"/>
        </w:rPr>
        <w:t>.</w:t>
      </w:r>
      <w:r w:rsidR="004F55AD">
        <w:rPr>
          <w:color w:val="000000"/>
        </w:rPr>
        <w:br/>
      </w:r>
      <w:r w:rsidR="004F55AD">
        <w:rPr>
          <w:color w:val="000000"/>
        </w:rPr>
        <w:br/>
        <w:t>It should be noted that reports requested for consideration should one of these modifications be implemented may not be available prior to or at the time Project Nexus is implemented.</w:t>
      </w:r>
      <w:r w:rsidR="004F55AD">
        <w:rPr>
          <w:color w:val="000000"/>
        </w:rPr>
        <w:br/>
      </w:r>
    </w:p>
    <w:p w14:paraId="37306F0B" w14:textId="77777777" w:rsidR="00F007A0" w:rsidRPr="009469BE" w:rsidRDefault="00F007A0" w:rsidP="0097577A">
      <w:pPr>
        <w:pStyle w:val="Heading02"/>
      </w:pPr>
      <w:bookmarkStart w:id="8" w:name="_Toc156882583"/>
      <w:bookmarkStart w:id="9" w:name="_Toc163008071"/>
      <w:bookmarkStart w:id="10" w:name="_Toc275420906"/>
      <w:r w:rsidRPr="009469BE">
        <w:t>Legal Text</w:t>
      </w:r>
      <w:bookmarkEnd w:id="8"/>
      <w:bookmarkEnd w:id="9"/>
      <w:bookmarkEnd w:id="10"/>
    </w:p>
    <w:p w14:paraId="5820CECA" w14:textId="77777777" w:rsidR="00193F47" w:rsidRPr="00291083" w:rsidRDefault="00193F47" w:rsidP="00876FA4">
      <w:pPr>
        <w:rPr>
          <w:i/>
          <w:iCs/>
          <w:color w:val="00B274"/>
          <w:lang w:val="en-US"/>
        </w:rPr>
      </w:pPr>
      <w:r w:rsidRPr="00291083">
        <w:rPr>
          <w:i/>
          <w:iCs/>
          <w:color w:val="00B274"/>
          <w:lang w:val="en-US"/>
        </w:rPr>
        <w:t xml:space="preserve">While the Proposer is welcome to put forward suggested legal text, </w:t>
      </w:r>
      <w:r w:rsidR="0051566C">
        <w:rPr>
          <w:i/>
          <w:iCs/>
          <w:color w:val="00B274"/>
          <w:lang w:val="en-US"/>
        </w:rPr>
        <w:t xml:space="preserve">formal legal </w:t>
      </w:r>
      <w:r w:rsidRPr="00291083">
        <w:rPr>
          <w:i/>
          <w:iCs/>
          <w:color w:val="00B274"/>
          <w:lang w:val="en-US"/>
        </w:rPr>
        <w:t xml:space="preserve">text </w:t>
      </w:r>
      <w:r w:rsidR="00F726D8">
        <w:rPr>
          <w:i/>
          <w:iCs/>
          <w:color w:val="00B274"/>
          <w:lang w:val="en-US"/>
        </w:rPr>
        <w:t xml:space="preserve">and commentary </w:t>
      </w:r>
      <w:r w:rsidRPr="00291083">
        <w:rPr>
          <w:i/>
          <w:iCs/>
          <w:color w:val="00B274"/>
          <w:lang w:val="en-US"/>
        </w:rPr>
        <w:t>will be provided by the Transporters when requested</w:t>
      </w:r>
      <w:r w:rsidR="0051566C">
        <w:rPr>
          <w:i/>
          <w:iCs/>
          <w:color w:val="00B274"/>
          <w:lang w:val="en-US"/>
        </w:rPr>
        <w:t xml:space="preserve"> to do so</w:t>
      </w:r>
      <w:r w:rsidRPr="00291083">
        <w:rPr>
          <w:i/>
          <w:iCs/>
          <w:color w:val="00B274"/>
          <w:lang w:val="en-US"/>
        </w:rPr>
        <w:t xml:space="preserve"> by the Modification Panel.</w:t>
      </w:r>
    </w:p>
    <w:p w14:paraId="7DA9F465" w14:textId="77777777" w:rsidR="00897EDC" w:rsidRPr="00291083" w:rsidRDefault="009E318C" w:rsidP="00876FA4">
      <w:pPr>
        <w:rPr>
          <w:i/>
          <w:iCs/>
          <w:color w:val="00B274"/>
          <w:lang w:val="en-US"/>
        </w:rPr>
      </w:pPr>
      <w:r w:rsidRPr="00291083">
        <w:rPr>
          <w:i/>
          <w:iCs/>
          <w:color w:val="00B274"/>
          <w:lang w:val="en-US"/>
        </w:rPr>
        <w:t>If this is a proposed Fast Track Self-Governance</w:t>
      </w:r>
      <w:r w:rsidR="00897EDC" w:rsidRPr="00291083">
        <w:rPr>
          <w:i/>
          <w:iCs/>
          <w:color w:val="00B274"/>
          <w:lang w:val="en-US"/>
        </w:rPr>
        <w:t xml:space="preserve"> modification then legal drafting </w:t>
      </w:r>
      <w:r w:rsidR="00F726D8">
        <w:rPr>
          <w:i/>
          <w:iCs/>
          <w:color w:val="00B274"/>
          <w:lang w:val="en-US"/>
        </w:rPr>
        <w:t xml:space="preserve">and commentary </w:t>
      </w:r>
      <w:r w:rsidR="00897EDC" w:rsidRPr="00291083">
        <w:rPr>
          <w:i/>
          <w:iCs/>
          <w:color w:val="00B274"/>
          <w:lang w:val="en-US"/>
        </w:rPr>
        <w:t>must be provid</w:t>
      </w:r>
      <w:r w:rsidR="002036BB" w:rsidRPr="00291083">
        <w:rPr>
          <w:i/>
          <w:iCs/>
          <w:color w:val="00B274"/>
          <w:lang w:val="en-US"/>
        </w:rPr>
        <w:t>ed</w:t>
      </w:r>
      <w:r w:rsidR="00897EDC" w:rsidRPr="00291083">
        <w:rPr>
          <w:i/>
          <w:iCs/>
          <w:color w:val="00B274"/>
          <w:lang w:val="en-US"/>
        </w:rPr>
        <w:t>.</w:t>
      </w:r>
    </w:p>
    <w:p w14:paraId="7C11BECC" w14:textId="77777777" w:rsidR="00F726D8" w:rsidRDefault="00F726D8" w:rsidP="00F726D8">
      <w:pPr>
        <w:pStyle w:val="Heading4"/>
        <w:keepLines w:val="0"/>
        <w:numPr>
          <w:ilvl w:val="0"/>
          <w:numId w:val="0"/>
        </w:numPr>
        <w:spacing w:before="120"/>
        <w:rPr>
          <w:rFonts w:ascii="Arial" w:eastAsia="Times New Roman" w:hAnsi="Arial" w:cs="Arial"/>
          <w:i w:val="0"/>
          <w:iCs w:val="0"/>
          <w:color w:val="008576"/>
          <w:sz w:val="24"/>
          <w:szCs w:val="28"/>
        </w:rPr>
      </w:pPr>
      <w:r w:rsidRPr="00876FA4">
        <w:rPr>
          <w:rFonts w:ascii="Arial" w:eastAsia="Times New Roman" w:hAnsi="Arial" w:cs="Arial"/>
          <w:i w:val="0"/>
          <w:iCs w:val="0"/>
          <w:color w:val="008576"/>
          <w:sz w:val="24"/>
          <w:szCs w:val="28"/>
        </w:rPr>
        <w:t>Text Commentary</w:t>
      </w:r>
    </w:p>
    <w:p w14:paraId="4FD19EE8" w14:textId="77777777" w:rsidR="00F726D8" w:rsidRPr="00F726D8" w:rsidRDefault="00AC5BEF" w:rsidP="00F726D8">
      <w:pPr>
        <w:rPr>
          <w:i/>
          <w:iCs/>
          <w:color w:val="00B274"/>
          <w:lang w:val="en-US"/>
        </w:rPr>
      </w:pPr>
      <w:r w:rsidRPr="00B52044">
        <w:rPr>
          <w:i/>
          <w:iCs/>
          <w:color w:val="00B274"/>
          <w:lang w:val="en-US"/>
        </w:rPr>
        <w:t>In support of the legal text provided, the legal representative shall provide a plain English explanatory note setting out the approach taken to converting the Solution into legal text, illustrating how the legal text delivers the intent of the Solution</w:t>
      </w:r>
      <w:r w:rsidR="00F726D8" w:rsidRPr="00F726D8">
        <w:rPr>
          <w:i/>
          <w:iCs/>
          <w:color w:val="00B274"/>
          <w:lang w:val="en-US"/>
        </w:rPr>
        <w:t>.</w:t>
      </w:r>
    </w:p>
    <w:p w14:paraId="37C9FB6E" w14:textId="77777777" w:rsidR="00F726D8" w:rsidRDefault="00F726D8" w:rsidP="00E07DD7">
      <w:r w:rsidRPr="009469BE">
        <w:t>Insert text here</w:t>
      </w:r>
    </w:p>
    <w:p w14:paraId="5ABF79EF" w14:textId="77777777" w:rsidR="00A80EE0" w:rsidRDefault="00A80EE0" w:rsidP="00622259">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Text</w:t>
      </w:r>
    </w:p>
    <w:p w14:paraId="7EB5B0E5" w14:textId="77777777" w:rsidR="007C64E8" w:rsidRPr="00173DFA" w:rsidRDefault="007C64E8" w:rsidP="00E07DD7">
      <w:r w:rsidRPr="00173DFA">
        <w:t xml:space="preserve">The following Text has been prepared by X, and no issues were raised by the Workgroup regarding its content. </w:t>
      </w:r>
    </w:p>
    <w:p w14:paraId="1B5030B0" w14:textId="77777777" w:rsidR="007C64E8" w:rsidRPr="00173DFA" w:rsidRDefault="007C64E8" w:rsidP="00E07DD7">
      <w:r w:rsidRPr="00173DFA">
        <w:t>or</w:t>
      </w:r>
    </w:p>
    <w:p w14:paraId="6E688E33" w14:textId="77777777" w:rsidR="007C64E8" w:rsidRPr="00173DFA" w:rsidRDefault="007C64E8" w:rsidP="00E07DD7">
      <w:r w:rsidRPr="00173DFA">
        <w:t xml:space="preserve">Text was not available for Workgroup assessment.  However Text has been provided as a separate document published alongside this </w:t>
      </w:r>
      <w:r w:rsidR="00BC4BD4">
        <w:t>r</w:t>
      </w:r>
      <w:r w:rsidRPr="00173DFA">
        <w:t>eport.</w:t>
      </w:r>
    </w:p>
    <w:p w14:paraId="3C24388F" w14:textId="77777777" w:rsidR="007C64E8" w:rsidRPr="00173DFA" w:rsidRDefault="007C64E8" w:rsidP="00E07DD7">
      <w:r w:rsidRPr="00173DFA">
        <w:t>or</w:t>
      </w:r>
    </w:p>
    <w:p w14:paraId="549A8D81" w14:textId="77777777" w:rsidR="007C64E8" w:rsidRPr="008C182E" w:rsidRDefault="007C64E8" w:rsidP="00E07DD7">
      <w:r w:rsidRPr="00173DFA">
        <w:t>The following Text has been prepared by X at the request of the Modification Panel.</w:t>
      </w:r>
    </w:p>
    <w:p w14:paraId="4833799C" w14:textId="77777777" w:rsidR="007C64E8" w:rsidRPr="007C64E8" w:rsidRDefault="007C64E8" w:rsidP="007C64E8"/>
    <w:p w14:paraId="79CD3726" w14:textId="77777777" w:rsidR="00F73FD6" w:rsidRPr="00F73FD6" w:rsidRDefault="00A00B4A" w:rsidP="0097577A">
      <w:pPr>
        <w:pStyle w:val="Heading02"/>
      </w:pPr>
      <w:bookmarkStart w:id="11" w:name="_Toc275420907"/>
      <w:r w:rsidRPr="009469BE">
        <w:t>Recommendation</w:t>
      </w:r>
      <w:bookmarkEnd w:id="11"/>
      <w:r w:rsidRPr="009469BE">
        <w:t xml:space="preserve"> </w:t>
      </w:r>
    </w:p>
    <w:p w14:paraId="50C9B912" w14:textId="77777777" w:rsidR="007C64E8" w:rsidRPr="008C182E" w:rsidRDefault="007C64E8" w:rsidP="00E07DD7">
      <w:r w:rsidRPr="008C182E">
        <w:t>The Workgroup invites the Panel to:</w:t>
      </w:r>
    </w:p>
    <w:p w14:paraId="65CDC293" w14:textId="77777777" w:rsidR="007C64E8" w:rsidRPr="008C182E" w:rsidRDefault="007C64E8" w:rsidP="007C64E8">
      <w:pPr>
        <w:pStyle w:val="ListBullet2"/>
      </w:pPr>
      <w:r w:rsidRPr="008C182E">
        <w:t>AG</w:t>
      </w:r>
      <w:r w:rsidR="004F55AD">
        <w:t xml:space="preserve">REE that these </w:t>
      </w:r>
      <w:r w:rsidRPr="008C182E">
        <w:t>modification</w:t>
      </w:r>
      <w:r w:rsidR="004F55AD">
        <w:t>s</w:t>
      </w:r>
      <w:r w:rsidRPr="008C182E">
        <w:t xml:space="preserve"> should be submitted for consultation.</w:t>
      </w:r>
    </w:p>
    <w:p w14:paraId="21AE75D8" w14:textId="77777777" w:rsidR="00597D29" w:rsidRPr="003711F3" w:rsidRDefault="00597D29" w:rsidP="007C64E8"/>
    <w:sectPr w:rsidR="00597D29" w:rsidRPr="003711F3" w:rsidSect="00E07DD7">
      <w:type w:val="continuous"/>
      <w:pgSz w:w="11906" w:h="16838"/>
      <w:pgMar w:top="993" w:right="1416" w:bottom="567" w:left="1134"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6B383" w14:textId="77777777" w:rsidR="00CB7ED1" w:rsidRDefault="00CB7ED1">
      <w:pPr>
        <w:spacing w:line="240" w:lineRule="auto"/>
      </w:pPr>
      <w:r>
        <w:separator/>
      </w:r>
    </w:p>
  </w:endnote>
  <w:endnote w:type="continuationSeparator" w:id="0">
    <w:p w14:paraId="1079F359" w14:textId="77777777" w:rsidR="00CB7ED1" w:rsidRDefault="00CB7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D337" w14:textId="77777777" w:rsidR="00CB7ED1" w:rsidRDefault="00CB7ED1" w:rsidP="005B2C45">
    <w:pPr>
      <w:pStyle w:val="Footer"/>
      <w:pBdr>
        <w:top w:val="single" w:sz="4" w:space="1" w:color="auto"/>
      </w:pBdr>
      <w:tabs>
        <w:tab w:val="clear" w:pos="4320"/>
        <w:tab w:val="clear" w:pos="8640"/>
        <w:tab w:val="center" w:pos="4962"/>
        <w:tab w:val="right" w:pos="9356"/>
      </w:tabs>
      <w:spacing w:before="0" w:after="0" w:line="240" w:lineRule="auto"/>
      <w:rPr>
        <w:sz w:val="16"/>
        <w:szCs w:val="16"/>
        <w:lang w:val="en-US"/>
      </w:rPr>
    </w:pPr>
    <w:r>
      <w:rPr>
        <w:sz w:val="16"/>
        <w:szCs w:val="16"/>
      </w:rPr>
      <w:t>0506 0506A</w:t>
    </w:r>
    <w:r>
      <w:rPr>
        <w:sz w:val="16"/>
        <w:szCs w:val="16"/>
      </w:rPr>
      <w:tab/>
    </w:r>
    <w:r w:rsidRPr="000660DF">
      <w:rPr>
        <w:sz w:val="16"/>
        <w:szCs w:val="16"/>
        <w:lang w:val="en-US"/>
      </w:rPr>
      <w:t xml:space="preserve">Page </w:t>
    </w:r>
    <w:r w:rsidRPr="000660DF">
      <w:rPr>
        <w:sz w:val="16"/>
        <w:szCs w:val="16"/>
        <w:lang w:val="en-US"/>
      </w:rPr>
      <w:fldChar w:fldCharType="begin"/>
    </w:r>
    <w:r w:rsidRPr="000660DF">
      <w:rPr>
        <w:sz w:val="16"/>
        <w:szCs w:val="16"/>
        <w:lang w:val="en-US"/>
      </w:rPr>
      <w:instrText xml:space="preserve"> PAGE </w:instrText>
    </w:r>
    <w:r w:rsidRPr="000660DF">
      <w:rPr>
        <w:sz w:val="16"/>
        <w:szCs w:val="16"/>
        <w:lang w:val="en-US"/>
      </w:rPr>
      <w:fldChar w:fldCharType="separate"/>
    </w:r>
    <w:r w:rsidR="000B010D">
      <w:rPr>
        <w:noProof/>
        <w:sz w:val="16"/>
        <w:szCs w:val="16"/>
        <w:lang w:val="en-US"/>
      </w:rPr>
      <w:t>1</w:t>
    </w:r>
    <w:r w:rsidRPr="000660DF">
      <w:rPr>
        <w:sz w:val="16"/>
        <w:szCs w:val="16"/>
        <w:lang w:val="en-US"/>
      </w:rPr>
      <w:fldChar w:fldCharType="end"/>
    </w:r>
    <w:r w:rsidRPr="000660DF">
      <w:rPr>
        <w:sz w:val="16"/>
        <w:szCs w:val="16"/>
        <w:lang w:val="en-US"/>
      </w:rPr>
      <w:t xml:space="preserve"> of </w:t>
    </w:r>
    <w:r w:rsidRPr="000660DF">
      <w:rPr>
        <w:sz w:val="16"/>
        <w:szCs w:val="16"/>
        <w:lang w:val="en-US"/>
      </w:rPr>
      <w:fldChar w:fldCharType="begin"/>
    </w:r>
    <w:r w:rsidRPr="000660DF">
      <w:rPr>
        <w:sz w:val="16"/>
        <w:szCs w:val="16"/>
        <w:lang w:val="en-US"/>
      </w:rPr>
      <w:instrText xml:space="preserve"> NUMPAGES </w:instrText>
    </w:r>
    <w:r w:rsidRPr="000660DF">
      <w:rPr>
        <w:sz w:val="16"/>
        <w:szCs w:val="16"/>
        <w:lang w:val="en-US"/>
      </w:rPr>
      <w:fldChar w:fldCharType="separate"/>
    </w:r>
    <w:r w:rsidR="000B010D">
      <w:rPr>
        <w:noProof/>
        <w:sz w:val="16"/>
        <w:szCs w:val="16"/>
        <w:lang w:val="en-US"/>
      </w:rPr>
      <w:t>1</w:t>
    </w:r>
    <w:r w:rsidRPr="000660DF">
      <w:rPr>
        <w:sz w:val="16"/>
        <w:szCs w:val="16"/>
        <w:lang w:val="en-US"/>
      </w:rPr>
      <w:fldChar w:fldCharType="end"/>
    </w:r>
    <w:r>
      <w:rPr>
        <w:sz w:val="16"/>
        <w:szCs w:val="16"/>
        <w:lang w:val="en-US"/>
      </w:rPr>
      <w:tab/>
      <w:t>Version 0.1</w:t>
    </w:r>
  </w:p>
  <w:p w14:paraId="0DFDB1C9" w14:textId="77777777" w:rsidR="00CB7ED1" w:rsidRPr="000660DF" w:rsidRDefault="00CB7ED1" w:rsidP="005B2C45">
    <w:pPr>
      <w:pStyle w:val="Footer"/>
      <w:pBdr>
        <w:top w:val="single" w:sz="4" w:space="1" w:color="auto"/>
      </w:pBdr>
      <w:tabs>
        <w:tab w:val="clear" w:pos="4320"/>
        <w:tab w:val="clear" w:pos="8640"/>
        <w:tab w:val="center" w:pos="4962"/>
        <w:tab w:val="right" w:pos="9356"/>
      </w:tabs>
      <w:spacing w:before="0" w:after="0" w:line="240" w:lineRule="auto"/>
      <w:jc w:val="center"/>
      <w:rPr>
        <w:sz w:val="16"/>
        <w:szCs w:val="16"/>
      </w:rPr>
    </w:pPr>
    <w:r>
      <w:rPr>
        <w:sz w:val="16"/>
        <w:szCs w:val="16"/>
        <w:lang w:val="en-US"/>
      </w:rPr>
      <w:t>Workgroup Report</w:t>
    </w:r>
    <w:r>
      <w:rPr>
        <w:sz w:val="16"/>
        <w:szCs w:val="16"/>
        <w:lang w:val="en-US"/>
      </w:rPr>
      <w:tab/>
    </w:r>
    <w:r w:rsidRPr="000660DF">
      <w:rPr>
        <w:sz w:val="16"/>
        <w:szCs w:val="16"/>
      </w:rPr>
      <w:t xml:space="preserve">© </w:t>
    </w:r>
    <w:r w:rsidRPr="000660DF">
      <w:rPr>
        <w:sz w:val="16"/>
        <w:szCs w:val="16"/>
      </w:rPr>
      <w:fldChar w:fldCharType="begin"/>
    </w:r>
    <w:r w:rsidRPr="000660DF">
      <w:rPr>
        <w:sz w:val="16"/>
        <w:szCs w:val="16"/>
      </w:rPr>
      <w:instrText xml:space="preserve"> DATE  \@ "yyyy"  \* MERGEFORMAT </w:instrText>
    </w:r>
    <w:r w:rsidRPr="000660DF">
      <w:rPr>
        <w:sz w:val="16"/>
        <w:szCs w:val="16"/>
      </w:rPr>
      <w:fldChar w:fldCharType="separate"/>
    </w:r>
    <w:r w:rsidR="000B010D">
      <w:rPr>
        <w:noProof/>
        <w:sz w:val="16"/>
        <w:szCs w:val="16"/>
      </w:rPr>
      <w:t>2015</w:t>
    </w:r>
    <w:r w:rsidRPr="000660DF">
      <w:rPr>
        <w:sz w:val="16"/>
        <w:szCs w:val="16"/>
      </w:rPr>
      <w:fldChar w:fldCharType="end"/>
    </w:r>
    <w:r w:rsidRPr="000660DF">
      <w:rPr>
        <w:sz w:val="16"/>
        <w:szCs w:val="16"/>
      </w:rPr>
      <w:t xml:space="preserve"> all rights reserved</w:t>
    </w:r>
    <w:r>
      <w:rPr>
        <w:sz w:val="16"/>
        <w:szCs w:val="16"/>
      </w:rPr>
      <w:tab/>
    </w:r>
    <w:r>
      <w:rPr>
        <w:sz w:val="16"/>
        <w:szCs w:val="16"/>
        <w:lang w:val="en-US"/>
      </w:rPr>
      <w:t>29 June 2015</w:t>
    </w:r>
  </w:p>
  <w:p w14:paraId="589A2676" w14:textId="77777777" w:rsidR="00CB7ED1" w:rsidRDefault="00CB7ED1" w:rsidP="005B2C45">
    <w:pPr>
      <w:pStyle w:val="Footer"/>
      <w:spacing w:before="0" w:after="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9E0D" w14:textId="77777777" w:rsidR="00CB7ED1" w:rsidRDefault="00CB7ED1">
      <w:pPr>
        <w:spacing w:line="240" w:lineRule="auto"/>
      </w:pPr>
      <w:r>
        <w:separator/>
      </w:r>
    </w:p>
  </w:footnote>
  <w:footnote w:type="continuationSeparator" w:id="0">
    <w:p w14:paraId="48666785" w14:textId="77777777" w:rsidR="00CB7ED1" w:rsidRDefault="00CB7ED1">
      <w:pPr>
        <w:spacing w:line="240" w:lineRule="auto"/>
      </w:pPr>
      <w:r>
        <w:continuationSeparator/>
      </w:r>
    </w:p>
  </w:footnote>
  <w:footnote w:id="1">
    <w:p w14:paraId="163133F1" w14:textId="77777777" w:rsidR="00CB7ED1" w:rsidRPr="008A7F3A" w:rsidRDefault="00CB7ED1" w:rsidP="00B858EF">
      <w:pPr>
        <w:pStyle w:val="FootnoteText"/>
        <w:rPr>
          <w:rFonts w:ascii="Arial" w:hAnsi="Arial"/>
          <w:sz w:val="16"/>
          <w:szCs w:val="18"/>
          <w:lang w:val="en-US"/>
        </w:rPr>
      </w:pPr>
      <w:r w:rsidRPr="008A7F3A">
        <w:rPr>
          <w:rStyle w:val="FootnoteReference"/>
          <w:rFonts w:ascii="Arial" w:hAnsi="Arial"/>
          <w:sz w:val="16"/>
          <w:szCs w:val="18"/>
        </w:rPr>
        <w:footnoteRef/>
      </w:r>
      <w:r w:rsidRPr="008A7F3A">
        <w:rPr>
          <w:rFonts w:ascii="Arial" w:hAnsi="Arial"/>
          <w:sz w:val="16"/>
          <w:szCs w:val="18"/>
        </w:rPr>
        <w:t xml:space="preserve"> </w:t>
      </w:r>
      <w:hyperlink r:id="rId1" w:history="1">
        <w:r w:rsidRPr="008A7F3A">
          <w:rPr>
            <w:rStyle w:val="Hyperlink"/>
            <w:rFonts w:ascii="Arial" w:hAnsi="Arial"/>
            <w:sz w:val="16"/>
            <w:szCs w:val="18"/>
          </w:rPr>
          <w:t>http://www.gasgovernance.co.uk/sites/default/files/UNC473D.pdf</w:t>
        </w:r>
      </w:hyperlink>
      <w:r w:rsidRPr="008A7F3A">
        <w:rPr>
          <w:rFonts w:ascii="Arial" w:hAnsi="Arial"/>
          <w:sz w:val="16"/>
          <w:szCs w:val="18"/>
        </w:rPr>
        <w:t xml:space="preserve"> (page 1 - summary)</w:t>
      </w:r>
    </w:p>
  </w:footnote>
  <w:footnote w:id="2">
    <w:p w14:paraId="42EE9751" w14:textId="77777777" w:rsidR="00CB7ED1" w:rsidRPr="008A7F3A" w:rsidRDefault="00CB7ED1" w:rsidP="0046433A">
      <w:pPr>
        <w:pStyle w:val="FootnoteText"/>
        <w:rPr>
          <w:rFonts w:ascii="Arial" w:hAnsi="Arial"/>
          <w:sz w:val="16"/>
          <w:szCs w:val="18"/>
          <w:lang w:val="en-US"/>
        </w:rPr>
      </w:pPr>
      <w:r w:rsidRPr="008A7F3A">
        <w:rPr>
          <w:rStyle w:val="FootnoteReference"/>
          <w:rFonts w:ascii="Arial" w:hAnsi="Arial"/>
          <w:sz w:val="16"/>
          <w:szCs w:val="18"/>
        </w:rPr>
        <w:footnoteRef/>
      </w:r>
      <w:r w:rsidRPr="008A7F3A">
        <w:rPr>
          <w:rFonts w:ascii="Arial" w:hAnsi="Arial"/>
          <w:sz w:val="16"/>
          <w:szCs w:val="18"/>
        </w:rPr>
        <w:t xml:space="preserve"> </w:t>
      </w:r>
      <w:hyperlink r:id="rId2" w:history="1">
        <w:r w:rsidRPr="008A7F3A">
          <w:rPr>
            <w:rStyle w:val="Hyperlink"/>
            <w:rFonts w:ascii="Arial" w:hAnsi="Arial"/>
            <w:sz w:val="16"/>
            <w:szCs w:val="18"/>
          </w:rPr>
          <w:t>http://www.gasgovernance.co.uk/sites/default/files/UNC473D.pdf</w:t>
        </w:r>
      </w:hyperlink>
      <w:r w:rsidRPr="008A7F3A">
        <w:rPr>
          <w:rFonts w:ascii="Arial" w:hAnsi="Arial"/>
          <w:sz w:val="16"/>
          <w:szCs w:val="18"/>
        </w:rPr>
        <w:t xml:space="preserve"> (page 1 - summary)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90F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D205B2"/>
    <w:lvl w:ilvl="0">
      <w:start w:val="1"/>
      <w:numFmt w:val="decimal"/>
      <w:lvlText w:val="%1."/>
      <w:lvlJc w:val="left"/>
      <w:pPr>
        <w:tabs>
          <w:tab w:val="num" w:pos="1492"/>
        </w:tabs>
        <w:ind w:left="1492" w:hanging="360"/>
      </w:pPr>
    </w:lvl>
  </w:abstractNum>
  <w:abstractNum w:abstractNumId="2">
    <w:nsid w:val="FFFFFF7D"/>
    <w:multiLevelType w:val="singleLevel"/>
    <w:tmpl w:val="1F322B38"/>
    <w:lvl w:ilvl="0">
      <w:start w:val="1"/>
      <w:numFmt w:val="decimal"/>
      <w:lvlText w:val="%1."/>
      <w:lvlJc w:val="left"/>
      <w:pPr>
        <w:tabs>
          <w:tab w:val="num" w:pos="1209"/>
        </w:tabs>
        <w:ind w:left="1209" w:hanging="360"/>
      </w:pPr>
    </w:lvl>
  </w:abstractNum>
  <w:abstractNum w:abstractNumId="3">
    <w:nsid w:val="FFFFFF83"/>
    <w:multiLevelType w:val="singleLevel"/>
    <w:tmpl w:val="0332D49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nsid w:val="0BE0328D"/>
    <w:multiLevelType w:val="hybridMultilevel"/>
    <w:tmpl w:val="9184E8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nsid w:val="0EFD3626"/>
    <w:multiLevelType w:val="multilevel"/>
    <w:tmpl w:val="AACCF2F8"/>
    <w:lvl w:ilvl="0">
      <w:start w:val="1"/>
      <w:numFmt w:val="decimal"/>
      <w:lvlText w:val="%1"/>
      <w:lvlJc w:val="left"/>
      <w:pPr>
        <w:ind w:left="0" w:firstLine="0"/>
      </w:pPr>
      <w:rPr>
        <w:rFonts w:ascii="Tahoma" w:hAnsi="Tahoma" w:hint="default"/>
        <w:b w:val="0"/>
        <w:i w:val="0"/>
        <w:color w:val="FFFFFF"/>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FC3847"/>
    <w:multiLevelType w:val="hybridMultilevel"/>
    <w:tmpl w:val="792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nsid w:val="3E951595"/>
    <w:multiLevelType w:val="multilevel"/>
    <w:tmpl w:val="5C9AE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62EC2"/>
    <w:multiLevelType w:val="multilevel"/>
    <w:tmpl w:val="792CE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6">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D805CF9"/>
    <w:multiLevelType w:val="multilevel"/>
    <w:tmpl w:val="340CFE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FF77F9F"/>
    <w:multiLevelType w:val="hybridMultilevel"/>
    <w:tmpl w:val="931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3"/>
  </w:num>
  <w:num w:numId="4">
    <w:abstractNumId w:val="14"/>
  </w:num>
  <w:num w:numId="5">
    <w:abstractNumId w:val="10"/>
  </w:num>
  <w:num w:numId="6">
    <w:abstractNumId w:val="23"/>
  </w:num>
  <w:num w:numId="7">
    <w:abstractNumId w:val="15"/>
  </w:num>
  <w:num w:numId="8">
    <w:abstractNumId w:val="12"/>
  </w:num>
  <w:num w:numId="9">
    <w:abstractNumId w:val="21"/>
  </w:num>
  <w:num w:numId="10">
    <w:abstractNumId w:val="19"/>
  </w:num>
  <w:num w:numId="11">
    <w:abstractNumId w:val="8"/>
  </w:num>
  <w:num w:numId="12">
    <w:abstractNumId w:val="6"/>
  </w:num>
  <w:num w:numId="13">
    <w:abstractNumId w:val="20"/>
  </w:num>
  <w:num w:numId="14">
    <w:abstractNumId w:val="9"/>
  </w:num>
  <w:num w:numId="15">
    <w:abstractNumId w:val="4"/>
  </w:num>
  <w:num w:numId="16">
    <w:abstractNumId w:val="5"/>
  </w:num>
  <w:num w:numId="17">
    <w:abstractNumId w:val="24"/>
  </w:num>
  <w:num w:numId="18">
    <w:abstractNumId w:val="3"/>
  </w:num>
  <w:num w:numId="19">
    <w:abstractNumId w:val="4"/>
  </w:num>
  <w:num w:numId="20">
    <w:abstractNumId w:val="4"/>
  </w:num>
  <w:num w:numId="21">
    <w:abstractNumId w:val="4"/>
  </w:num>
  <w:num w:numId="22">
    <w:abstractNumId w:val="26"/>
  </w:num>
  <w:num w:numId="23">
    <w:abstractNumId w:val="18"/>
  </w:num>
  <w:num w:numId="24">
    <w:abstractNumId w:val="4"/>
  </w:num>
  <w:num w:numId="25">
    <w:abstractNumId w:val="2"/>
  </w:num>
  <w:num w:numId="26">
    <w:abstractNumId w:val="1"/>
  </w:num>
  <w:num w:numId="27">
    <w:abstractNumId w:val="0"/>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8"/>
  </w:num>
  <w:num w:numId="37">
    <w:abstractNumId w:val="4"/>
  </w:num>
  <w:num w:numId="38">
    <w:abstractNumId w:val="17"/>
  </w:num>
  <w:num w:numId="39">
    <w:abstractNumId w:val="4"/>
  </w:num>
  <w:num w:numId="40">
    <w:abstractNumId w:val="27"/>
  </w:num>
  <w:num w:numId="41">
    <w:abstractNumId w:val="4"/>
  </w:num>
  <w:num w:numId="42">
    <w:abstractNumId w:val="4"/>
  </w:num>
  <w:num w:numId="43">
    <w:abstractNumId w:val="16"/>
  </w:num>
  <w:num w:numId="4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03462"/>
    <w:rsid w:val="00004426"/>
    <w:rsid w:val="00004A78"/>
    <w:rsid w:val="00005C2A"/>
    <w:rsid w:val="0001312A"/>
    <w:rsid w:val="000131C0"/>
    <w:rsid w:val="00014A06"/>
    <w:rsid w:val="00021E27"/>
    <w:rsid w:val="00041A17"/>
    <w:rsid w:val="000427B0"/>
    <w:rsid w:val="000546C7"/>
    <w:rsid w:val="000561DC"/>
    <w:rsid w:val="00062E0D"/>
    <w:rsid w:val="00082674"/>
    <w:rsid w:val="00096C4E"/>
    <w:rsid w:val="000A36A8"/>
    <w:rsid w:val="000B007D"/>
    <w:rsid w:val="000B010D"/>
    <w:rsid w:val="000B2E3D"/>
    <w:rsid w:val="000D1ECA"/>
    <w:rsid w:val="000D5720"/>
    <w:rsid w:val="000E0100"/>
    <w:rsid w:val="000E034A"/>
    <w:rsid w:val="000E2E48"/>
    <w:rsid w:val="000E3F5B"/>
    <w:rsid w:val="000E76BF"/>
    <w:rsid w:val="000F7ACB"/>
    <w:rsid w:val="00104381"/>
    <w:rsid w:val="001060C1"/>
    <w:rsid w:val="00112F45"/>
    <w:rsid w:val="001216C5"/>
    <w:rsid w:val="0012496E"/>
    <w:rsid w:val="00143041"/>
    <w:rsid w:val="0014327C"/>
    <w:rsid w:val="001445A0"/>
    <w:rsid w:val="001451F4"/>
    <w:rsid w:val="00153B91"/>
    <w:rsid w:val="00164E30"/>
    <w:rsid w:val="00174D21"/>
    <w:rsid w:val="00182A0C"/>
    <w:rsid w:val="00193F47"/>
    <w:rsid w:val="00197A37"/>
    <w:rsid w:val="001A5839"/>
    <w:rsid w:val="001A6F74"/>
    <w:rsid w:val="001B2D7A"/>
    <w:rsid w:val="001C01D5"/>
    <w:rsid w:val="001C0C6E"/>
    <w:rsid w:val="001C207A"/>
    <w:rsid w:val="001C665E"/>
    <w:rsid w:val="001D0B92"/>
    <w:rsid w:val="001D147B"/>
    <w:rsid w:val="001D3EFD"/>
    <w:rsid w:val="001D7EC5"/>
    <w:rsid w:val="001E32D7"/>
    <w:rsid w:val="001E6DCF"/>
    <w:rsid w:val="001F1485"/>
    <w:rsid w:val="001F36FC"/>
    <w:rsid w:val="001F3812"/>
    <w:rsid w:val="001F6DA9"/>
    <w:rsid w:val="001F7908"/>
    <w:rsid w:val="001F79B8"/>
    <w:rsid w:val="001F7D0E"/>
    <w:rsid w:val="002034ED"/>
    <w:rsid w:val="002036BB"/>
    <w:rsid w:val="002047E2"/>
    <w:rsid w:val="00204D61"/>
    <w:rsid w:val="00212BF5"/>
    <w:rsid w:val="0021418F"/>
    <w:rsid w:val="002148B6"/>
    <w:rsid w:val="00215877"/>
    <w:rsid w:val="002161A4"/>
    <w:rsid w:val="00225F2B"/>
    <w:rsid w:val="002272EF"/>
    <w:rsid w:val="00236DCB"/>
    <w:rsid w:val="0024000A"/>
    <w:rsid w:val="002426A7"/>
    <w:rsid w:val="00251F86"/>
    <w:rsid w:val="00255B22"/>
    <w:rsid w:val="00256075"/>
    <w:rsid w:val="00256566"/>
    <w:rsid w:val="00260C2C"/>
    <w:rsid w:val="002612FD"/>
    <w:rsid w:val="00265E6E"/>
    <w:rsid w:val="00266BC0"/>
    <w:rsid w:val="002758A6"/>
    <w:rsid w:val="00281CF1"/>
    <w:rsid w:val="00281F45"/>
    <w:rsid w:val="00286CBD"/>
    <w:rsid w:val="00290F86"/>
    <w:rsid w:val="00291083"/>
    <w:rsid w:val="002A369F"/>
    <w:rsid w:val="002B6671"/>
    <w:rsid w:val="002B68DB"/>
    <w:rsid w:val="002C1553"/>
    <w:rsid w:val="002D25F9"/>
    <w:rsid w:val="002D5DFC"/>
    <w:rsid w:val="002D6575"/>
    <w:rsid w:val="002E2ECA"/>
    <w:rsid w:val="002F0224"/>
    <w:rsid w:val="002F13B8"/>
    <w:rsid w:val="002F357D"/>
    <w:rsid w:val="002F40F9"/>
    <w:rsid w:val="002F6CD0"/>
    <w:rsid w:val="00301DAF"/>
    <w:rsid w:val="0030347F"/>
    <w:rsid w:val="00306BF5"/>
    <w:rsid w:val="00313E9E"/>
    <w:rsid w:val="00313FE4"/>
    <w:rsid w:val="00316676"/>
    <w:rsid w:val="00320457"/>
    <w:rsid w:val="003221E9"/>
    <w:rsid w:val="00332FE3"/>
    <w:rsid w:val="00336821"/>
    <w:rsid w:val="00341CAD"/>
    <w:rsid w:val="00344FDC"/>
    <w:rsid w:val="00351960"/>
    <w:rsid w:val="00352A27"/>
    <w:rsid w:val="0035487C"/>
    <w:rsid w:val="003557B1"/>
    <w:rsid w:val="00357570"/>
    <w:rsid w:val="00363FE9"/>
    <w:rsid w:val="00367F60"/>
    <w:rsid w:val="00370107"/>
    <w:rsid w:val="003711F3"/>
    <w:rsid w:val="00377752"/>
    <w:rsid w:val="00380C64"/>
    <w:rsid w:val="00381EB7"/>
    <w:rsid w:val="00382814"/>
    <w:rsid w:val="00386096"/>
    <w:rsid w:val="00390D19"/>
    <w:rsid w:val="003971AB"/>
    <w:rsid w:val="003A2AA8"/>
    <w:rsid w:val="003A2BCC"/>
    <w:rsid w:val="003B0780"/>
    <w:rsid w:val="003B1A71"/>
    <w:rsid w:val="003B4359"/>
    <w:rsid w:val="003B44D0"/>
    <w:rsid w:val="003B5816"/>
    <w:rsid w:val="003C1BBC"/>
    <w:rsid w:val="003C6AB2"/>
    <w:rsid w:val="003D0281"/>
    <w:rsid w:val="003D41D8"/>
    <w:rsid w:val="003D5877"/>
    <w:rsid w:val="003D6504"/>
    <w:rsid w:val="003E0B53"/>
    <w:rsid w:val="003E10BF"/>
    <w:rsid w:val="003E16D8"/>
    <w:rsid w:val="003E3CCC"/>
    <w:rsid w:val="003F030F"/>
    <w:rsid w:val="003F0B70"/>
    <w:rsid w:val="003F2A86"/>
    <w:rsid w:val="004045E4"/>
    <w:rsid w:val="00413790"/>
    <w:rsid w:val="00416FC8"/>
    <w:rsid w:val="00420FB8"/>
    <w:rsid w:val="00421B40"/>
    <w:rsid w:val="00422258"/>
    <w:rsid w:val="0042584E"/>
    <w:rsid w:val="00426FD6"/>
    <w:rsid w:val="00430E90"/>
    <w:rsid w:val="00433909"/>
    <w:rsid w:val="00433CFE"/>
    <w:rsid w:val="00435CF2"/>
    <w:rsid w:val="00436AEA"/>
    <w:rsid w:val="004428DE"/>
    <w:rsid w:val="00446636"/>
    <w:rsid w:val="00447064"/>
    <w:rsid w:val="00450385"/>
    <w:rsid w:val="004504EA"/>
    <w:rsid w:val="004579CF"/>
    <w:rsid w:val="0046001A"/>
    <w:rsid w:val="00461C2F"/>
    <w:rsid w:val="00463EF6"/>
    <w:rsid w:val="0046433A"/>
    <w:rsid w:val="00473B9D"/>
    <w:rsid w:val="0048657A"/>
    <w:rsid w:val="00486F4B"/>
    <w:rsid w:val="004958FC"/>
    <w:rsid w:val="004A105A"/>
    <w:rsid w:val="004A3386"/>
    <w:rsid w:val="004A43B0"/>
    <w:rsid w:val="004A5970"/>
    <w:rsid w:val="004A631D"/>
    <w:rsid w:val="004B0EA7"/>
    <w:rsid w:val="004B27FB"/>
    <w:rsid w:val="004B376C"/>
    <w:rsid w:val="004B53C8"/>
    <w:rsid w:val="004B7ABF"/>
    <w:rsid w:val="004C2609"/>
    <w:rsid w:val="004C4371"/>
    <w:rsid w:val="004C61EF"/>
    <w:rsid w:val="004C66D0"/>
    <w:rsid w:val="004D09F0"/>
    <w:rsid w:val="004D0D74"/>
    <w:rsid w:val="004D149E"/>
    <w:rsid w:val="004E2468"/>
    <w:rsid w:val="004E30FC"/>
    <w:rsid w:val="004F55AD"/>
    <w:rsid w:val="00500707"/>
    <w:rsid w:val="005023B5"/>
    <w:rsid w:val="00504E6C"/>
    <w:rsid w:val="005079E0"/>
    <w:rsid w:val="00513062"/>
    <w:rsid w:val="00513631"/>
    <w:rsid w:val="0051566C"/>
    <w:rsid w:val="005177DA"/>
    <w:rsid w:val="005251AD"/>
    <w:rsid w:val="005310CC"/>
    <w:rsid w:val="00531B35"/>
    <w:rsid w:val="005352A6"/>
    <w:rsid w:val="00540357"/>
    <w:rsid w:val="005469C0"/>
    <w:rsid w:val="0055068A"/>
    <w:rsid w:val="0055672D"/>
    <w:rsid w:val="00560EF2"/>
    <w:rsid w:val="00562829"/>
    <w:rsid w:val="005703B3"/>
    <w:rsid w:val="00587E1E"/>
    <w:rsid w:val="00597D29"/>
    <w:rsid w:val="005A0143"/>
    <w:rsid w:val="005A1E00"/>
    <w:rsid w:val="005A4046"/>
    <w:rsid w:val="005A4F5D"/>
    <w:rsid w:val="005A6174"/>
    <w:rsid w:val="005A7145"/>
    <w:rsid w:val="005B2C45"/>
    <w:rsid w:val="005B378E"/>
    <w:rsid w:val="005C5CDA"/>
    <w:rsid w:val="005D3CB5"/>
    <w:rsid w:val="005D4631"/>
    <w:rsid w:val="005D4958"/>
    <w:rsid w:val="005D4A2B"/>
    <w:rsid w:val="005E46DC"/>
    <w:rsid w:val="005E661A"/>
    <w:rsid w:val="005F3932"/>
    <w:rsid w:val="005F4AE3"/>
    <w:rsid w:val="0060188E"/>
    <w:rsid w:val="00613074"/>
    <w:rsid w:val="0062062A"/>
    <w:rsid w:val="00622259"/>
    <w:rsid w:val="00622DC8"/>
    <w:rsid w:val="00624FA6"/>
    <w:rsid w:val="00627983"/>
    <w:rsid w:val="00630F15"/>
    <w:rsid w:val="00631710"/>
    <w:rsid w:val="0063186C"/>
    <w:rsid w:val="006377B6"/>
    <w:rsid w:val="00637CD6"/>
    <w:rsid w:val="00642E53"/>
    <w:rsid w:val="006446DD"/>
    <w:rsid w:val="00650186"/>
    <w:rsid w:val="00652D78"/>
    <w:rsid w:val="006533C3"/>
    <w:rsid w:val="006551B8"/>
    <w:rsid w:val="00665358"/>
    <w:rsid w:val="006653B5"/>
    <w:rsid w:val="00691A06"/>
    <w:rsid w:val="00697683"/>
    <w:rsid w:val="006A0767"/>
    <w:rsid w:val="006A5279"/>
    <w:rsid w:val="006B6D83"/>
    <w:rsid w:val="006C1856"/>
    <w:rsid w:val="006C5683"/>
    <w:rsid w:val="006D0E98"/>
    <w:rsid w:val="006D0FB6"/>
    <w:rsid w:val="006D1F16"/>
    <w:rsid w:val="006E4ECD"/>
    <w:rsid w:val="006E7327"/>
    <w:rsid w:val="006E7560"/>
    <w:rsid w:val="006E7A7E"/>
    <w:rsid w:val="006F4254"/>
    <w:rsid w:val="006F4689"/>
    <w:rsid w:val="007015FF"/>
    <w:rsid w:val="00701E18"/>
    <w:rsid w:val="00706916"/>
    <w:rsid w:val="00722FCE"/>
    <w:rsid w:val="0072385C"/>
    <w:rsid w:val="00726171"/>
    <w:rsid w:val="00731B99"/>
    <w:rsid w:val="00733D46"/>
    <w:rsid w:val="00733F4B"/>
    <w:rsid w:val="00734630"/>
    <w:rsid w:val="00740A8F"/>
    <w:rsid w:val="00742876"/>
    <w:rsid w:val="00747A24"/>
    <w:rsid w:val="007607E8"/>
    <w:rsid w:val="007608FF"/>
    <w:rsid w:val="00760BD6"/>
    <w:rsid w:val="007626D9"/>
    <w:rsid w:val="00771ACE"/>
    <w:rsid w:val="00772942"/>
    <w:rsid w:val="00774F15"/>
    <w:rsid w:val="00775EF4"/>
    <w:rsid w:val="00780130"/>
    <w:rsid w:val="0079113B"/>
    <w:rsid w:val="00797AA8"/>
    <w:rsid w:val="007A0FB2"/>
    <w:rsid w:val="007A4F58"/>
    <w:rsid w:val="007A6725"/>
    <w:rsid w:val="007B002D"/>
    <w:rsid w:val="007C00DA"/>
    <w:rsid w:val="007C0E16"/>
    <w:rsid w:val="007C64E8"/>
    <w:rsid w:val="007D7C47"/>
    <w:rsid w:val="007E572E"/>
    <w:rsid w:val="007E718E"/>
    <w:rsid w:val="00803F37"/>
    <w:rsid w:val="008115C5"/>
    <w:rsid w:val="00812C70"/>
    <w:rsid w:val="008149B0"/>
    <w:rsid w:val="00822D9F"/>
    <w:rsid w:val="0082429E"/>
    <w:rsid w:val="008277A6"/>
    <w:rsid w:val="008423A3"/>
    <w:rsid w:val="0085211A"/>
    <w:rsid w:val="00856C0B"/>
    <w:rsid w:val="0086142A"/>
    <w:rsid w:val="00861D88"/>
    <w:rsid w:val="00862D16"/>
    <w:rsid w:val="0087362B"/>
    <w:rsid w:val="00876FA4"/>
    <w:rsid w:val="00880168"/>
    <w:rsid w:val="00882D3C"/>
    <w:rsid w:val="008842EF"/>
    <w:rsid w:val="008847ED"/>
    <w:rsid w:val="00887D24"/>
    <w:rsid w:val="00892D3B"/>
    <w:rsid w:val="00895154"/>
    <w:rsid w:val="00897EDC"/>
    <w:rsid w:val="008A167E"/>
    <w:rsid w:val="008A17EB"/>
    <w:rsid w:val="008A2F12"/>
    <w:rsid w:val="008A5134"/>
    <w:rsid w:val="008B6CCD"/>
    <w:rsid w:val="008C5774"/>
    <w:rsid w:val="008C579E"/>
    <w:rsid w:val="008D0BAE"/>
    <w:rsid w:val="008D0FCF"/>
    <w:rsid w:val="008D5B54"/>
    <w:rsid w:val="008D6266"/>
    <w:rsid w:val="008E1C7F"/>
    <w:rsid w:val="008F4FD8"/>
    <w:rsid w:val="00900963"/>
    <w:rsid w:val="0090492C"/>
    <w:rsid w:val="00910EC9"/>
    <w:rsid w:val="009121FF"/>
    <w:rsid w:val="00913148"/>
    <w:rsid w:val="009208D8"/>
    <w:rsid w:val="00920AA0"/>
    <w:rsid w:val="00922DBD"/>
    <w:rsid w:val="0092387F"/>
    <w:rsid w:val="00924F3F"/>
    <w:rsid w:val="00925F3A"/>
    <w:rsid w:val="009265C0"/>
    <w:rsid w:val="00926F0E"/>
    <w:rsid w:val="00935573"/>
    <w:rsid w:val="009356A2"/>
    <w:rsid w:val="009469BE"/>
    <w:rsid w:val="0094797C"/>
    <w:rsid w:val="00947DC2"/>
    <w:rsid w:val="00951053"/>
    <w:rsid w:val="00954FC6"/>
    <w:rsid w:val="00957FBC"/>
    <w:rsid w:val="00960420"/>
    <w:rsid w:val="00960714"/>
    <w:rsid w:val="0096255F"/>
    <w:rsid w:val="00967C6A"/>
    <w:rsid w:val="009704FB"/>
    <w:rsid w:val="0097527E"/>
    <w:rsid w:val="009752C8"/>
    <w:rsid w:val="0097577A"/>
    <w:rsid w:val="00977CEC"/>
    <w:rsid w:val="00981348"/>
    <w:rsid w:val="009832ED"/>
    <w:rsid w:val="00985411"/>
    <w:rsid w:val="00985FC1"/>
    <w:rsid w:val="00991785"/>
    <w:rsid w:val="00993E9F"/>
    <w:rsid w:val="00994B34"/>
    <w:rsid w:val="00994EF3"/>
    <w:rsid w:val="00997577"/>
    <w:rsid w:val="009A13C1"/>
    <w:rsid w:val="009A200B"/>
    <w:rsid w:val="009A395D"/>
    <w:rsid w:val="009B56DD"/>
    <w:rsid w:val="009C1C52"/>
    <w:rsid w:val="009C2EA4"/>
    <w:rsid w:val="009C7CDB"/>
    <w:rsid w:val="009D1A9A"/>
    <w:rsid w:val="009D7913"/>
    <w:rsid w:val="009D7B56"/>
    <w:rsid w:val="009E1A09"/>
    <w:rsid w:val="009E318C"/>
    <w:rsid w:val="009E4D2D"/>
    <w:rsid w:val="009E63A4"/>
    <w:rsid w:val="009E7589"/>
    <w:rsid w:val="009F3981"/>
    <w:rsid w:val="009F70E9"/>
    <w:rsid w:val="00A00B4A"/>
    <w:rsid w:val="00A10377"/>
    <w:rsid w:val="00A13230"/>
    <w:rsid w:val="00A154D2"/>
    <w:rsid w:val="00A31D12"/>
    <w:rsid w:val="00A4337D"/>
    <w:rsid w:val="00A50878"/>
    <w:rsid w:val="00A51787"/>
    <w:rsid w:val="00A518E1"/>
    <w:rsid w:val="00A56ED0"/>
    <w:rsid w:val="00A579D3"/>
    <w:rsid w:val="00A66894"/>
    <w:rsid w:val="00A809BC"/>
    <w:rsid w:val="00A80EE0"/>
    <w:rsid w:val="00A81AA5"/>
    <w:rsid w:val="00A83189"/>
    <w:rsid w:val="00A874D1"/>
    <w:rsid w:val="00A93BF0"/>
    <w:rsid w:val="00A94C94"/>
    <w:rsid w:val="00A96295"/>
    <w:rsid w:val="00AA463E"/>
    <w:rsid w:val="00AA69EF"/>
    <w:rsid w:val="00AB2DA2"/>
    <w:rsid w:val="00AC0309"/>
    <w:rsid w:val="00AC0716"/>
    <w:rsid w:val="00AC5BEF"/>
    <w:rsid w:val="00AC68BE"/>
    <w:rsid w:val="00AD0028"/>
    <w:rsid w:val="00AE4FA9"/>
    <w:rsid w:val="00AE7C82"/>
    <w:rsid w:val="00AF5B6E"/>
    <w:rsid w:val="00B057CB"/>
    <w:rsid w:val="00B10136"/>
    <w:rsid w:val="00B320DC"/>
    <w:rsid w:val="00B35A8E"/>
    <w:rsid w:val="00B45635"/>
    <w:rsid w:val="00B52044"/>
    <w:rsid w:val="00B539A1"/>
    <w:rsid w:val="00B53C15"/>
    <w:rsid w:val="00B615CC"/>
    <w:rsid w:val="00B6291B"/>
    <w:rsid w:val="00B7023F"/>
    <w:rsid w:val="00B7630C"/>
    <w:rsid w:val="00B77A7C"/>
    <w:rsid w:val="00B858EF"/>
    <w:rsid w:val="00B9451F"/>
    <w:rsid w:val="00BB32F0"/>
    <w:rsid w:val="00BC10C2"/>
    <w:rsid w:val="00BC4BD4"/>
    <w:rsid w:val="00BD10A6"/>
    <w:rsid w:val="00BD78DB"/>
    <w:rsid w:val="00BE50AA"/>
    <w:rsid w:val="00BE7316"/>
    <w:rsid w:val="00BE7C55"/>
    <w:rsid w:val="00BF00E3"/>
    <w:rsid w:val="00BF0C5F"/>
    <w:rsid w:val="00C10827"/>
    <w:rsid w:val="00C14277"/>
    <w:rsid w:val="00C1772A"/>
    <w:rsid w:val="00C236F4"/>
    <w:rsid w:val="00C30980"/>
    <w:rsid w:val="00C31A20"/>
    <w:rsid w:val="00C3321C"/>
    <w:rsid w:val="00C356E8"/>
    <w:rsid w:val="00C471ED"/>
    <w:rsid w:val="00C5056D"/>
    <w:rsid w:val="00C53B99"/>
    <w:rsid w:val="00C57C4A"/>
    <w:rsid w:val="00C607C9"/>
    <w:rsid w:val="00C64B15"/>
    <w:rsid w:val="00C65823"/>
    <w:rsid w:val="00C67F24"/>
    <w:rsid w:val="00C72782"/>
    <w:rsid w:val="00C75154"/>
    <w:rsid w:val="00C76D9F"/>
    <w:rsid w:val="00C83898"/>
    <w:rsid w:val="00C84950"/>
    <w:rsid w:val="00C924ED"/>
    <w:rsid w:val="00C94E7B"/>
    <w:rsid w:val="00C954D7"/>
    <w:rsid w:val="00CA4EA1"/>
    <w:rsid w:val="00CA5C8C"/>
    <w:rsid w:val="00CA6F12"/>
    <w:rsid w:val="00CA75DC"/>
    <w:rsid w:val="00CA7800"/>
    <w:rsid w:val="00CA7D25"/>
    <w:rsid w:val="00CB5D46"/>
    <w:rsid w:val="00CB5E98"/>
    <w:rsid w:val="00CB7ED1"/>
    <w:rsid w:val="00CC39D2"/>
    <w:rsid w:val="00CC6223"/>
    <w:rsid w:val="00CD719F"/>
    <w:rsid w:val="00CE19AC"/>
    <w:rsid w:val="00CE3A2D"/>
    <w:rsid w:val="00CE5938"/>
    <w:rsid w:val="00CE7F33"/>
    <w:rsid w:val="00CF549A"/>
    <w:rsid w:val="00D122BE"/>
    <w:rsid w:val="00D1530C"/>
    <w:rsid w:val="00D1613E"/>
    <w:rsid w:val="00D20C24"/>
    <w:rsid w:val="00D34E70"/>
    <w:rsid w:val="00D363E8"/>
    <w:rsid w:val="00D41486"/>
    <w:rsid w:val="00D4173D"/>
    <w:rsid w:val="00D4254B"/>
    <w:rsid w:val="00D50089"/>
    <w:rsid w:val="00D54568"/>
    <w:rsid w:val="00D620D5"/>
    <w:rsid w:val="00D635CE"/>
    <w:rsid w:val="00D80A98"/>
    <w:rsid w:val="00D8331A"/>
    <w:rsid w:val="00D8769C"/>
    <w:rsid w:val="00D90F5D"/>
    <w:rsid w:val="00DA19C0"/>
    <w:rsid w:val="00DA5F89"/>
    <w:rsid w:val="00DA6586"/>
    <w:rsid w:val="00DA6C89"/>
    <w:rsid w:val="00DB5096"/>
    <w:rsid w:val="00DC3562"/>
    <w:rsid w:val="00DC4325"/>
    <w:rsid w:val="00DD269D"/>
    <w:rsid w:val="00DD7C82"/>
    <w:rsid w:val="00DE1518"/>
    <w:rsid w:val="00DE2088"/>
    <w:rsid w:val="00DF184E"/>
    <w:rsid w:val="00DF6863"/>
    <w:rsid w:val="00E02F60"/>
    <w:rsid w:val="00E070F1"/>
    <w:rsid w:val="00E07BA5"/>
    <w:rsid w:val="00E07DD7"/>
    <w:rsid w:val="00E10A8C"/>
    <w:rsid w:val="00E1701D"/>
    <w:rsid w:val="00E24BDF"/>
    <w:rsid w:val="00E2789D"/>
    <w:rsid w:val="00E41BB9"/>
    <w:rsid w:val="00E4348E"/>
    <w:rsid w:val="00E510C9"/>
    <w:rsid w:val="00E55C4A"/>
    <w:rsid w:val="00E609CA"/>
    <w:rsid w:val="00E666BF"/>
    <w:rsid w:val="00E70BE7"/>
    <w:rsid w:val="00E74111"/>
    <w:rsid w:val="00E81704"/>
    <w:rsid w:val="00E81739"/>
    <w:rsid w:val="00E82BDD"/>
    <w:rsid w:val="00E844CC"/>
    <w:rsid w:val="00E86FE0"/>
    <w:rsid w:val="00E91400"/>
    <w:rsid w:val="00EA1C2B"/>
    <w:rsid w:val="00EA2475"/>
    <w:rsid w:val="00EA4674"/>
    <w:rsid w:val="00EB1FF2"/>
    <w:rsid w:val="00EC647D"/>
    <w:rsid w:val="00EE1190"/>
    <w:rsid w:val="00EE2334"/>
    <w:rsid w:val="00EE2569"/>
    <w:rsid w:val="00EE4519"/>
    <w:rsid w:val="00EE5CD9"/>
    <w:rsid w:val="00EF0CE5"/>
    <w:rsid w:val="00EF6CC8"/>
    <w:rsid w:val="00EF789C"/>
    <w:rsid w:val="00F007A0"/>
    <w:rsid w:val="00F1043A"/>
    <w:rsid w:val="00F10E14"/>
    <w:rsid w:val="00F1132A"/>
    <w:rsid w:val="00F14070"/>
    <w:rsid w:val="00F17B9C"/>
    <w:rsid w:val="00F212C1"/>
    <w:rsid w:val="00F2335B"/>
    <w:rsid w:val="00F42F29"/>
    <w:rsid w:val="00F4356A"/>
    <w:rsid w:val="00F450E7"/>
    <w:rsid w:val="00F50C02"/>
    <w:rsid w:val="00F511D1"/>
    <w:rsid w:val="00F51FCB"/>
    <w:rsid w:val="00F57A16"/>
    <w:rsid w:val="00F60F04"/>
    <w:rsid w:val="00F61549"/>
    <w:rsid w:val="00F62E4B"/>
    <w:rsid w:val="00F726D8"/>
    <w:rsid w:val="00F73FD6"/>
    <w:rsid w:val="00F751E8"/>
    <w:rsid w:val="00F80207"/>
    <w:rsid w:val="00F80510"/>
    <w:rsid w:val="00F81314"/>
    <w:rsid w:val="00F847DE"/>
    <w:rsid w:val="00F87578"/>
    <w:rsid w:val="00F940B1"/>
    <w:rsid w:val="00F94961"/>
    <w:rsid w:val="00F95411"/>
    <w:rsid w:val="00F962B5"/>
    <w:rsid w:val="00FA22E9"/>
    <w:rsid w:val="00FB44B2"/>
    <w:rsid w:val="00FB71C1"/>
    <w:rsid w:val="00FC1065"/>
    <w:rsid w:val="00FD29A2"/>
    <w:rsid w:val="00FD2BFB"/>
    <w:rsid w:val="00FD32A2"/>
    <w:rsid w:val="00FD60CA"/>
    <w:rsid w:val="00FE004A"/>
    <w:rsid w:val="00FE3169"/>
    <w:rsid w:val="00FF252A"/>
    <w:rsid w:val="00FF617A"/>
    <w:rsid w:val="00FF67BD"/>
    <w:rsid w:val="00FF6B34"/>
    <w:rsid w:val="00FF71A0"/>
    <w:rsid w:val="00FF798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Arial"/>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List Paragraph" w:uiPriority="34" w:qFormat="1"/>
    <w:lsdException w:name="TOC Heading" w:uiPriority="39" w:qFormat="1"/>
  </w:latentStyles>
  <w:style w:type="paragraph" w:default="1" w:styleId="Normal">
    <w:name w:val="Normal"/>
    <w:qFormat/>
    <w:rsid w:val="00E07DD7"/>
    <w:pPr>
      <w:spacing w:before="120" w:after="120" w:line="300" w:lineRule="atLeast"/>
    </w:pPr>
  </w:style>
  <w:style w:type="paragraph" w:styleId="Heading1">
    <w:name w:val="heading 1"/>
    <w:basedOn w:val="Normal"/>
    <w:next w:val="Normal"/>
    <w:link w:val="Heading1Char"/>
    <w:qFormat/>
    <w:rsid w:val="006E7560"/>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b/>
      <w:bCs/>
      <w:iCs/>
      <w:color w:val="FFFFFF"/>
      <w:kern w:val="32"/>
      <w:sz w:val="28"/>
      <w:szCs w:val="32"/>
    </w:rPr>
  </w:style>
  <w:style w:type="paragraph" w:styleId="Heading2">
    <w:name w:val="heading 2"/>
    <w:basedOn w:val="Normal"/>
    <w:next w:val="Normal"/>
    <w:link w:val="Heading2Char"/>
    <w:qFormat/>
    <w:rsid w:val="00731B99"/>
    <w:pPr>
      <w:keepNext/>
      <w:numPr>
        <w:ilvl w:val="1"/>
        <w:numId w:val="15"/>
      </w:numPr>
      <w:spacing w:line="840" w:lineRule="atLeast"/>
      <w:outlineLvl w:val="1"/>
    </w:pPr>
    <w:rPr>
      <w:bCs/>
      <w:iCs/>
      <w:color w:val="008576"/>
      <w:sz w:val="80"/>
      <w:szCs w:val="28"/>
    </w:rPr>
  </w:style>
  <w:style w:type="paragraph" w:styleId="Heading3">
    <w:name w:val="heading 3"/>
    <w:basedOn w:val="Normal"/>
    <w:next w:val="Normal"/>
    <w:link w:val="Heading3Char"/>
    <w:unhideWhenUsed/>
    <w:qFormat/>
    <w:rsid w:val="00313E9E"/>
    <w:pPr>
      <w:keepNext/>
      <w:keepLines/>
      <w:numPr>
        <w:ilvl w:val="2"/>
        <w:numId w:val="15"/>
      </w:numPr>
      <w:spacing w:before="200"/>
      <w:outlineLvl w:val="2"/>
    </w:pPr>
    <w:rPr>
      <w:rFonts w:ascii="Calibri" w:eastAsia="ＭＳ ゴシック" w:hAnsi="Calibri" w:cs="Times New Roman"/>
      <w:b/>
      <w:bCs/>
      <w:color w:val="4F81BD"/>
    </w:rPr>
  </w:style>
  <w:style w:type="paragraph" w:styleId="Heading4">
    <w:name w:val="heading 4"/>
    <w:basedOn w:val="Normal"/>
    <w:next w:val="Normal"/>
    <w:link w:val="Heading4Char"/>
    <w:unhideWhenUsed/>
    <w:qFormat/>
    <w:rsid w:val="00313E9E"/>
    <w:pPr>
      <w:keepNext/>
      <w:keepLines/>
      <w:numPr>
        <w:ilvl w:val="3"/>
        <w:numId w:val="15"/>
      </w:numPr>
      <w:spacing w:before="200"/>
      <w:outlineLvl w:val="3"/>
    </w:pPr>
    <w:rPr>
      <w:rFonts w:ascii="Calibri" w:eastAsia="ＭＳ ゴシック" w:hAnsi="Calibri" w:cs="Times New Roman"/>
      <w:b/>
      <w:bCs/>
      <w:i/>
      <w:iCs/>
      <w:color w:val="4F81BD"/>
    </w:rPr>
  </w:style>
  <w:style w:type="paragraph" w:styleId="Heading5">
    <w:name w:val="heading 5"/>
    <w:basedOn w:val="Normal"/>
    <w:next w:val="Normal"/>
    <w:link w:val="Heading5Char"/>
    <w:unhideWhenUsed/>
    <w:qFormat/>
    <w:rsid w:val="00313E9E"/>
    <w:pPr>
      <w:keepNext/>
      <w:keepLines/>
      <w:numPr>
        <w:ilvl w:val="4"/>
        <w:numId w:val="15"/>
      </w:numPr>
      <w:spacing w:before="200"/>
      <w:outlineLvl w:val="4"/>
    </w:pPr>
    <w:rPr>
      <w:rFonts w:ascii="Calibri" w:eastAsia="ＭＳ ゴシック" w:hAnsi="Calibri" w:cs="Times New Roman"/>
      <w:color w:val="244061"/>
    </w:rPr>
  </w:style>
  <w:style w:type="paragraph" w:styleId="Heading6">
    <w:name w:val="heading 6"/>
    <w:basedOn w:val="Normal"/>
    <w:next w:val="Normal"/>
    <w:link w:val="Heading6Char"/>
    <w:unhideWhenUsed/>
    <w:qFormat/>
    <w:rsid w:val="00313E9E"/>
    <w:pPr>
      <w:keepNext/>
      <w:keepLines/>
      <w:numPr>
        <w:ilvl w:val="5"/>
        <w:numId w:val="15"/>
      </w:numPr>
      <w:spacing w:before="200"/>
      <w:outlineLvl w:val="5"/>
    </w:pPr>
    <w:rPr>
      <w:rFonts w:ascii="Calibri" w:eastAsia="ＭＳ ゴシック" w:hAnsi="Calibri" w:cs="Times New Roman"/>
      <w:i/>
      <w:iCs/>
      <w:color w:val="244061"/>
    </w:rPr>
  </w:style>
  <w:style w:type="paragraph" w:styleId="Heading7">
    <w:name w:val="heading 7"/>
    <w:basedOn w:val="Normal"/>
    <w:next w:val="Normal"/>
    <w:link w:val="Heading7Char"/>
    <w:unhideWhenUsed/>
    <w:qFormat/>
    <w:rsid w:val="00313E9E"/>
    <w:pPr>
      <w:keepNext/>
      <w:keepLines/>
      <w:numPr>
        <w:ilvl w:val="6"/>
        <w:numId w:val="15"/>
      </w:numPr>
      <w:spacing w:before="200"/>
      <w:outlineLvl w:val="6"/>
    </w:pPr>
    <w:rPr>
      <w:rFonts w:ascii="Calibri" w:eastAsia="ＭＳ ゴシック" w:hAnsi="Calibri" w:cs="Times New Roman"/>
      <w:i/>
      <w:iCs/>
      <w:color w:val="404040"/>
    </w:rPr>
  </w:style>
  <w:style w:type="paragraph" w:styleId="Heading8">
    <w:name w:val="heading 8"/>
    <w:basedOn w:val="Normal"/>
    <w:next w:val="Normal"/>
    <w:link w:val="Heading8Char"/>
    <w:unhideWhenUsed/>
    <w:qFormat/>
    <w:rsid w:val="00313E9E"/>
    <w:pPr>
      <w:keepNext/>
      <w:keepLines/>
      <w:numPr>
        <w:ilvl w:val="7"/>
        <w:numId w:val="15"/>
      </w:numPr>
      <w:spacing w:before="200"/>
      <w:outlineLvl w:val="7"/>
    </w:pPr>
    <w:rPr>
      <w:rFonts w:ascii="Calibri" w:eastAsia="ＭＳ ゴシック" w:hAnsi="Calibri" w:cs="Times New Roman"/>
      <w:color w:val="363636"/>
    </w:rPr>
  </w:style>
  <w:style w:type="paragraph" w:styleId="Heading9">
    <w:name w:val="heading 9"/>
    <w:basedOn w:val="Normal"/>
    <w:next w:val="Normal"/>
    <w:link w:val="Heading9Char"/>
    <w:unhideWhenUsed/>
    <w:qFormat/>
    <w:rsid w:val="00313E9E"/>
    <w:pPr>
      <w:keepNext/>
      <w:keepLines/>
      <w:numPr>
        <w:ilvl w:val="8"/>
        <w:numId w:val="15"/>
      </w:numPr>
      <w:spacing w:before="200"/>
      <w:outlineLvl w:val="8"/>
    </w:pPr>
    <w:rPr>
      <w:rFonts w:ascii="Calibri" w:eastAsia="ＭＳ ゴシック" w:hAnsi="Calibri" w:cs="Times New Roman"/>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Tahoma" w:eastAsia="Times New Roman" w:hAnsi="Tahoma"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Tahoma" w:eastAsia="Times New Roman" w:hAnsi="Tahoma"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ＭＳ ゴシック" w:hAnsi="Calibri"/>
      <w:b/>
      <w:bCs/>
      <w:i/>
      <w:iCs/>
      <w:color w:val="4F81BD"/>
      <w:szCs w:val="24"/>
      <w:lang w:eastAsia="en-GB"/>
    </w:rPr>
  </w:style>
  <w:style w:type="character" w:customStyle="1" w:styleId="Heading8Char">
    <w:name w:val="Heading 8 Char"/>
    <w:link w:val="Heading8"/>
    <w:rsid w:val="00313E9E"/>
    <w:rPr>
      <w:rFonts w:ascii="Calibri" w:eastAsia="ＭＳ ゴシック"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eastAsia="en-GB"/>
    </w:rPr>
  </w:style>
  <w:style w:type="character" w:customStyle="1" w:styleId="ListBullet2Char">
    <w:name w:val="List Bullet 2 Char"/>
    <w:link w:val="ListBullet2"/>
    <w:rsid w:val="00313E9E"/>
    <w:rPr>
      <w:rFonts w:ascii="Tahoma" w:eastAsia="Times New Roman" w:hAnsi="Tahoma"/>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ＭＳ ゴシック" w:hAnsi="Calibri"/>
      <w:b/>
      <w:bCs/>
      <w:color w:val="4F81BD"/>
      <w:szCs w:val="24"/>
      <w:lang w:eastAsia="en-GB"/>
    </w:rPr>
  </w:style>
  <w:style w:type="character" w:customStyle="1" w:styleId="Heading5Char">
    <w:name w:val="Heading 5 Char"/>
    <w:link w:val="Heading5"/>
    <w:rsid w:val="00313E9E"/>
    <w:rPr>
      <w:rFonts w:ascii="Calibri" w:eastAsia="ＭＳ ゴシック" w:hAnsi="Calibri"/>
      <w:color w:val="244061"/>
      <w:szCs w:val="24"/>
      <w:lang w:eastAsia="en-GB"/>
    </w:rPr>
  </w:style>
  <w:style w:type="character" w:customStyle="1" w:styleId="Heading6Char">
    <w:name w:val="Heading 6 Char"/>
    <w:link w:val="Heading6"/>
    <w:rsid w:val="00313E9E"/>
    <w:rPr>
      <w:rFonts w:ascii="Calibri" w:eastAsia="ＭＳ ゴシック" w:hAnsi="Calibri"/>
      <w:i/>
      <w:iCs/>
      <w:color w:val="244061"/>
      <w:szCs w:val="24"/>
      <w:lang w:eastAsia="en-GB"/>
    </w:rPr>
  </w:style>
  <w:style w:type="character" w:customStyle="1" w:styleId="Heading7Char">
    <w:name w:val="Heading 7 Char"/>
    <w:link w:val="Heading7"/>
    <w:rsid w:val="00313E9E"/>
    <w:rPr>
      <w:rFonts w:ascii="Calibri" w:eastAsia="ＭＳ ゴシック" w:hAnsi="Calibri"/>
      <w:i/>
      <w:iCs/>
      <w:color w:val="404040"/>
      <w:szCs w:val="24"/>
      <w:lang w:eastAsia="en-GB"/>
    </w:rPr>
  </w:style>
  <w:style w:type="character" w:customStyle="1" w:styleId="Heading9Char">
    <w:name w:val="Heading 9 Char"/>
    <w:link w:val="Heading9"/>
    <w:rsid w:val="00313E9E"/>
    <w:rPr>
      <w:rFonts w:ascii="Calibri" w:eastAsia="ＭＳ ゴシック"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8A17EB"/>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E07DD7"/>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FF67BD"/>
  </w:style>
  <w:style w:type="table" w:styleId="TableGrid">
    <w:name w:val="Table Grid"/>
    <w:basedOn w:val="TableNormal"/>
    <w:rsid w:val="005B378E"/>
    <w:pPr>
      <w:spacing w:line="30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sz w:val="24"/>
    </w:rPr>
  </w:style>
  <w:style w:type="paragraph" w:styleId="EnvelopeReturn">
    <w:name w:val="envelope return"/>
    <w:basedOn w:val="Normal"/>
    <w:rsid w:val="005B378E"/>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Tahoma" w:eastAsia="Times New Roman" w:hAnsi="Tahoma"/>
      <w:sz w:val="24"/>
      <w:szCs w:val="24"/>
      <w:lang w:eastAsia="en-GB"/>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B858EF"/>
    <w:pPr>
      <w:spacing w:before="0" w:after="0"/>
    </w:pPr>
    <w:rPr>
      <w:rFonts w:ascii="Tahoma" w:eastAsia="Times New Roman" w:hAnsi="Tahoma" w:cs="Times New Roman"/>
      <w:sz w:val="24"/>
      <w:szCs w:val="24"/>
      <w:lang w:val="x-none" w:eastAsia="en-GB"/>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ＭＳ ゴシック" w:hAnsi="Calibri" w:cs="Times New Roman"/>
      <w:iCs w:val="0"/>
      <w:color w:val="365F91"/>
      <w:kern w:val="0"/>
      <w:szCs w:val="28"/>
      <w:lang w:val="en-US"/>
    </w:rPr>
  </w:style>
  <w:style w:type="paragraph" w:styleId="ListParagraph">
    <w:name w:val="List Paragraph"/>
    <w:basedOn w:val="Normal"/>
    <w:uiPriority w:val="34"/>
    <w:qFormat/>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styleId="Revision">
    <w:name w:val="Revision"/>
    <w:hidden/>
    <w:rsid w:val="00FB71C1"/>
    <w:rPr>
      <w:rFonts w:ascii="Tahoma" w:eastAsia="Times New Roman" w:hAnsi="Tahoma"/>
      <w:szCs w:val="24"/>
      <w:lang w:eastAsia="en-GB"/>
    </w:rPr>
  </w:style>
  <w:style w:type="paragraph" w:customStyle="1" w:styleId="About02">
    <w:name w:val="About 02"/>
    <w:basedOn w:val="About01"/>
    <w:qFormat/>
    <w:rsid w:val="00E07DD7"/>
    <w:pPr>
      <w:numPr>
        <w:ilvl w:val="0"/>
      </w:numPr>
      <w:shd w:val="clear" w:color="auto" w:fill="0096D7"/>
      <w:ind w:left="720" w:hanging="720"/>
    </w:pPr>
  </w:style>
  <w:style w:type="paragraph" w:customStyle="1" w:styleId="About03">
    <w:name w:val="About 03"/>
    <w:basedOn w:val="About01"/>
    <w:qFormat/>
    <w:rsid w:val="00E07DD7"/>
    <w:pPr>
      <w:shd w:val="clear" w:color="auto" w:fill="9A4D9E"/>
    </w:pPr>
  </w:style>
  <w:style w:type="paragraph" w:customStyle="1" w:styleId="About04">
    <w:name w:val="About 04"/>
    <w:basedOn w:val="About01"/>
    <w:qFormat/>
    <w:rsid w:val="00E07DD7"/>
    <w:pPr>
      <w:shd w:val="clear" w:color="auto" w:fill="F59114"/>
    </w:pPr>
  </w:style>
  <w:style w:type="paragraph" w:customStyle="1" w:styleId="Contents02">
    <w:name w:val="Contents 02"/>
    <w:basedOn w:val="Contents01"/>
    <w:next w:val="Normal"/>
    <w:qFormat/>
    <w:rsid w:val="00E07DD7"/>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E07DD7"/>
    <w:pPr>
      <w:pBdr>
        <w:top w:val="single" w:sz="48" w:space="1" w:color="0096D7"/>
        <w:left w:val="single" w:sz="48" w:space="4" w:color="0096D7"/>
        <w:bottom w:val="single" w:sz="48" w:space="1" w:color="0096D7"/>
        <w:right w:val="single" w:sz="48" w:space="4" w:color="0096D7"/>
      </w:pBdr>
      <w:shd w:val="clear" w:color="auto" w:fill="0096D7"/>
      <w:spacing w:before="360"/>
      <w:ind w:left="431" w:hanging="431"/>
    </w:pPr>
  </w:style>
  <w:style w:type="paragraph" w:customStyle="1" w:styleId="Heading03">
    <w:name w:val="Heading 03"/>
    <w:basedOn w:val="Heading01"/>
    <w:next w:val="Normal"/>
    <w:qFormat/>
    <w:rsid w:val="00E07DD7"/>
    <w:pPr>
      <w:pBdr>
        <w:top w:val="single" w:sz="48" w:space="1" w:color="9A4D9E"/>
        <w:left w:val="single" w:sz="48" w:space="4" w:color="9A4D9E"/>
        <w:bottom w:val="single" w:sz="48" w:space="1" w:color="9A4D9E"/>
        <w:right w:val="single" w:sz="48" w:space="4" w:color="9A4D9E"/>
      </w:pBdr>
      <w:shd w:val="clear" w:color="auto" w:fill="9A4D9E"/>
      <w:spacing w:before="360"/>
      <w:ind w:left="431" w:hanging="431"/>
    </w:pPr>
  </w:style>
  <w:style w:type="paragraph" w:customStyle="1" w:styleId="Heading04">
    <w:name w:val="Heading 04"/>
    <w:basedOn w:val="Heading01"/>
    <w:next w:val="Normal"/>
    <w:qFormat/>
    <w:rsid w:val="00E07DD7"/>
    <w:pPr>
      <w:pBdr>
        <w:top w:val="single" w:sz="48" w:space="1" w:color="F59114"/>
        <w:left w:val="single" w:sz="48" w:space="4" w:color="F59114"/>
        <w:bottom w:val="single" w:sz="48" w:space="1" w:color="F59114"/>
        <w:right w:val="single" w:sz="48" w:space="4" w:color="F59114"/>
      </w:pBdr>
      <w:shd w:val="clear" w:color="auto" w:fill="F59114"/>
      <w:spacing w:before="360"/>
      <w:ind w:left="431" w:hanging="431"/>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562829"/>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character" w:customStyle="1" w:styleId="FootnoteTextChar">
    <w:name w:val="Footnote Text Char"/>
    <w:link w:val="FootnoteText"/>
    <w:rsid w:val="00B858EF"/>
    <w:rPr>
      <w:rFonts w:ascii="Tahoma" w:eastAsia="Times New Roman" w:hAnsi="Tahoma" w:cs="Times New Roman"/>
      <w:sz w:val="24"/>
      <w:szCs w:val="24"/>
      <w:lang w:val="x-none" w:eastAsia="en-GB"/>
    </w:rPr>
  </w:style>
  <w:style w:type="character" w:styleId="FootnoteReference">
    <w:name w:val="footnote reference"/>
    <w:rsid w:val="00B858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Arial"/>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List Paragraph" w:uiPriority="34" w:qFormat="1"/>
    <w:lsdException w:name="TOC Heading" w:uiPriority="39" w:qFormat="1"/>
  </w:latentStyles>
  <w:style w:type="paragraph" w:default="1" w:styleId="Normal">
    <w:name w:val="Normal"/>
    <w:qFormat/>
    <w:rsid w:val="00E07DD7"/>
    <w:pPr>
      <w:spacing w:before="120" w:after="120" w:line="300" w:lineRule="atLeast"/>
    </w:pPr>
  </w:style>
  <w:style w:type="paragraph" w:styleId="Heading1">
    <w:name w:val="heading 1"/>
    <w:basedOn w:val="Normal"/>
    <w:next w:val="Normal"/>
    <w:link w:val="Heading1Char"/>
    <w:qFormat/>
    <w:rsid w:val="006E7560"/>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b/>
      <w:bCs/>
      <w:iCs/>
      <w:color w:val="FFFFFF"/>
      <w:kern w:val="32"/>
      <w:sz w:val="28"/>
      <w:szCs w:val="32"/>
    </w:rPr>
  </w:style>
  <w:style w:type="paragraph" w:styleId="Heading2">
    <w:name w:val="heading 2"/>
    <w:basedOn w:val="Normal"/>
    <w:next w:val="Normal"/>
    <w:link w:val="Heading2Char"/>
    <w:qFormat/>
    <w:rsid w:val="00731B99"/>
    <w:pPr>
      <w:keepNext/>
      <w:numPr>
        <w:ilvl w:val="1"/>
        <w:numId w:val="15"/>
      </w:numPr>
      <w:spacing w:line="840" w:lineRule="atLeast"/>
      <w:outlineLvl w:val="1"/>
    </w:pPr>
    <w:rPr>
      <w:bCs/>
      <w:iCs/>
      <w:color w:val="008576"/>
      <w:sz w:val="80"/>
      <w:szCs w:val="28"/>
    </w:rPr>
  </w:style>
  <w:style w:type="paragraph" w:styleId="Heading3">
    <w:name w:val="heading 3"/>
    <w:basedOn w:val="Normal"/>
    <w:next w:val="Normal"/>
    <w:link w:val="Heading3Char"/>
    <w:unhideWhenUsed/>
    <w:qFormat/>
    <w:rsid w:val="00313E9E"/>
    <w:pPr>
      <w:keepNext/>
      <w:keepLines/>
      <w:numPr>
        <w:ilvl w:val="2"/>
        <w:numId w:val="15"/>
      </w:numPr>
      <w:spacing w:before="200"/>
      <w:outlineLvl w:val="2"/>
    </w:pPr>
    <w:rPr>
      <w:rFonts w:ascii="Calibri" w:eastAsia="ＭＳ ゴシック" w:hAnsi="Calibri" w:cs="Times New Roman"/>
      <w:b/>
      <w:bCs/>
      <w:color w:val="4F81BD"/>
    </w:rPr>
  </w:style>
  <w:style w:type="paragraph" w:styleId="Heading4">
    <w:name w:val="heading 4"/>
    <w:basedOn w:val="Normal"/>
    <w:next w:val="Normal"/>
    <w:link w:val="Heading4Char"/>
    <w:unhideWhenUsed/>
    <w:qFormat/>
    <w:rsid w:val="00313E9E"/>
    <w:pPr>
      <w:keepNext/>
      <w:keepLines/>
      <w:numPr>
        <w:ilvl w:val="3"/>
        <w:numId w:val="15"/>
      </w:numPr>
      <w:spacing w:before="200"/>
      <w:outlineLvl w:val="3"/>
    </w:pPr>
    <w:rPr>
      <w:rFonts w:ascii="Calibri" w:eastAsia="ＭＳ ゴシック" w:hAnsi="Calibri" w:cs="Times New Roman"/>
      <w:b/>
      <w:bCs/>
      <w:i/>
      <w:iCs/>
      <w:color w:val="4F81BD"/>
    </w:rPr>
  </w:style>
  <w:style w:type="paragraph" w:styleId="Heading5">
    <w:name w:val="heading 5"/>
    <w:basedOn w:val="Normal"/>
    <w:next w:val="Normal"/>
    <w:link w:val="Heading5Char"/>
    <w:unhideWhenUsed/>
    <w:qFormat/>
    <w:rsid w:val="00313E9E"/>
    <w:pPr>
      <w:keepNext/>
      <w:keepLines/>
      <w:numPr>
        <w:ilvl w:val="4"/>
        <w:numId w:val="15"/>
      </w:numPr>
      <w:spacing w:before="200"/>
      <w:outlineLvl w:val="4"/>
    </w:pPr>
    <w:rPr>
      <w:rFonts w:ascii="Calibri" w:eastAsia="ＭＳ ゴシック" w:hAnsi="Calibri" w:cs="Times New Roman"/>
      <w:color w:val="244061"/>
    </w:rPr>
  </w:style>
  <w:style w:type="paragraph" w:styleId="Heading6">
    <w:name w:val="heading 6"/>
    <w:basedOn w:val="Normal"/>
    <w:next w:val="Normal"/>
    <w:link w:val="Heading6Char"/>
    <w:unhideWhenUsed/>
    <w:qFormat/>
    <w:rsid w:val="00313E9E"/>
    <w:pPr>
      <w:keepNext/>
      <w:keepLines/>
      <w:numPr>
        <w:ilvl w:val="5"/>
        <w:numId w:val="15"/>
      </w:numPr>
      <w:spacing w:before="200"/>
      <w:outlineLvl w:val="5"/>
    </w:pPr>
    <w:rPr>
      <w:rFonts w:ascii="Calibri" w:eastAsia="ＭＳ ゴシック" w:hAnsi="Calibri" w:cs="Times New Roman"/>
      <w:i/>
      <w:iCs/>
      <w:color w:val="244061"/>
    </w:rPr>
  </w:style>
  <w:style w:type="paragraph" w:styleId="Heading7">
    <w:name w:val="heading 7"/>
    <w:basedOn w:val="Normal"/>
    <w:next w:val="Normal"/>
    <w:link w:val="Heading7Char"/>
    <w:unhideWhenUsed/>
    <w:qFormat/>
    <w:rsid w:val="00313E9E"/>
    <w:pPr>
      <w:keepNext/>
      <w:keepLines/>
      <w:numPr>
        <w:ilvl w:val="6"/>
        <w:numId w:val="15"/>
      </w:numPr>
      <w:spacing w:before="200"/>
      <w:outlineLvl w:val="6"/>
    </w:pPr>
    <w:rPr>
      <w:rFonts w:ascii="Calibri" w:eastAsia="ＭＳ ゴシック" w:hAnsi="Calibri" w:cs="Times New Roman"/>
      <w:i/>
      <w:iCs/>
      <w:color w:val="404040"/>
    </w:rPr>
  </w:style>
  <w:style w:type="paragraph" w:styleId="Heading8">
    <w:name w:val="heading 8"/>
    <w:basedOn w:val="Normal"/>
    <w:next w:val="Normal"/>
    <w:link w:val="Heading8Char"/>
    <w:unhideWhenUsed/>
    <w:qFormat/>
    <w:rsid w:val="00313E9E"/>
    <w:pPr>
      <w:keepNext/>
      <w:keepLines/>
      <w:numPr>
        <w:ilvl w:val="7"/>
        <w:numId w:val="15"/>
      </w:numPr>
      <w:spacing w:before="200"/>
      <w:outlineLvl w:val="7"/>
    </w:pPr>
    <w:rPr>
      <w:rFonts w:ascii="Calibri" w:eastAsia="ＭＳ ゴシック" w:hAnsi="Calibri" w:cs="Times New Roman"/>
      <w:color w:val="363636"/>
    </w:rPr>
  </w:style>
  <w:style w:type="paragraph" w:styleId="Heading9">
    <w:name w:val="heading 9"/>
    <w:basedOn w:val="Normal"/>
    <w:next w:val="Normal"/>
    <w:link w:val="Heading9Char"/>
    <w:unhideWhenUsed/>
    <w:qFormat/>
    <w:rsid w:val="00313E9E"/>
    <w:pPr>
      <w:keepNext/>
      <w:keepLines/>
      <w:numPr>
        <w:ilvl w:val="8"/>
        <w:numId w:val="15"/>
      </w:numPr>
      <w:spacing w:before="200"/>
      <w:outlineLvl w:val="8"/>
    </w:pPr>
    <w:rPr>
      <w:rFonts w:ascii="Calibri" w:eastAsia="ＭＳ ゴシック" w:hAnsi="Calibri" w:cs="Times New Roman"/>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Tahoma" w:eastAsia="Times New Roman" w:hAnsi="Tahoma"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Tahoma" w:eastAsia="Times New Roman" w:hAnsi="Tahoma"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ＭＳ ゴシック" w:hAnsi="Calibri"/>
      <w:b/>
      <w:bCs/>
      <w:i/>
      <w:iCs/>
      <w:color w:val="4F81BD"/>
      <w:szCs w:val="24"/>
      <w:lang w:eastAsia="en-GB"/>
    </w:rPr>
  </w:style>
  <w:style w:type="character" w:customStyle="1" w:styleId="Heading8Char">
    <w:name w:val="Heading 8 Char"/>
    <w:link w:val="Heading8"/>
    <w:rsid w:val="00313E9E"/>
    <w:rPr>
      <w:rFonts w:ascii="Calibri" w:eastAsia="ＭＳ ゴシック"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eastAsia="en-GB"/>
    </w:rPr>
  </w:style>
  <w:style w:type="character" w:customStyle="1" w:styleId="ListBullet2Char">
    <w:name w:val="List Bullet 2 Char"/>
    <w:link w:val="ListBullet2"/>
    <w:rsid w:val="00313E9E"/>
    <w:rPr>
      <w:rFonts w:ascii="Tahoma" w:eastAsia="Times New Roman" w:hAnsi="Tahoma"/>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ＭＳ ゴシック" w:hAnsi="Calibri"/>
      <w:b/>
      <w:bCs/>
      <w:color w:val="4F81BD"/>
      <w:szCs w:val="24"/>
      <w:lang w:eastAsia="en-GB"/>
    </w:rPr>
  </w:style>
  <w:style w:type="character" w:customStyle="1" w:styleId="Heading5Char">
    <w:name w:val="Heading 5 Char"/>
    <w:link w:val="Heading5"/>
    <w:rsid w:val="00313E9E"/>
    <w:rPr>
      <w:rFonts w:ascii="Calibri" w:eastAsia="ＭＳ ゴシック" w:hAnsi="Calibri"/>
      <w:color w:val="244061"/>
      <w:szCs w:val="24"/>
      <w:lang w:eastAsia="en-GB"/>
    </w:rPr>
  </w:style>
  <w:style w:type="character" w:customStyle="1" w:styleId="Heading6Char">
    <w:name w:val="Heading 6 Char"/>
    <w:link w:val="Heading6"/>
    <w:rsid w:val="00313E9E"/>
    <w:rPr>
      <w:rFonts w:ascii="Calibri" w:eastAsia="ＭＳ ゴシック" w:hAnsi="Calibri"/>
      <w:i/>
      <w:iCs/>
      <w:color w:val="244061"/>
      <w:szCs w:val="24"/>
      <w:lang w:eastAsia="en-GB"/>
    </w:rPr>
  </w:style>
  <w:style w:type="character" w:customStyle="1" w:styleId="Heading7Char">
    <w:name w:val="Heading 7 Char"/>
    <w:link w:val="Heading7"/>
    <w:rsid w:val="00313E9E"/>
    <w:rPr>
      <w:rFonts w:ascii="Calibri" w:eastAsia="ＭＳ ゴシック" w:hAnsi="Calibri"/>
      <w:i/>
      <w:iCs/>
      <w:color w:val="404040"/>
      <w:szCs w:val="24"/>
      <w:lang w:eastAsia="en-GB"/>
    </w:rPr>
  </w:style>
  <w:style w:type="character" w:customStyle="1" w:styleId="Heading9Char">
    <w:name w:val="Heading 9 Char"/>
    <w:link w:val="Heading9"/>
    <w:rsid w:val="00313E9E"/>
    <w:rPr>
      <w:rFonts w:ascii="Calibri" w:eastAsia="ＭＳ ゴシック"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8A17EB"/>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E07DD7"/>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FF67BD"/>
  </w:style>
  <w:style w:type="table" w:styleId="TableGrid">
    <w:name w:val="Table Grid"/>
    <w:basedOn w:val="TableNormal"/>
    <w:rsid w:val="005B378E"/>
    <w:pPr>
      <w:spacing w:line="30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sz w:val="24"/>
    </w:rPr>
  </w:style>
  <w:style w:type="paragraph" w:styleId="EnvelopeReturn">
    <w:name w:val="envelope return"/>
    <w:basedOn w:val="Normal"/>
    <w:rsid w:val="005B378E"/>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Tahoma" w:eastAsia="Times New Roman" w:hAnsi="Tahoma"/>
      <w:sz w:val="24"/>
      <w:szCs w:val="24"/>
      <w:lang w:eastAsia="en-GB"/>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B858EF"/>
    <w:pPr>
      <w:spacing w:before="0" w:after="0"/>
    </w:pPr>
    <w:rPr>
      <w:rFonts w:ascii="Tahoma" w:eastAsia="Times New Roman" w:hAnsi="Tahoma" w:cs="Times New Roman"/>
      <w:sz w:val="24"/>
      <w:szCs w:val="24"/>
      <w:lang w:val="x-none" w:eastAsia="en-GB"/>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ＭＳ ゴシック" w:hAnsi="Calibri" w:cs="Times New Roman"/>
      <w:iCs w:val="0"/>
      <w:color w:val="365F91"/>
      <w:kern w:val="0"/>
      <w:szCs w:val="28"/>
      <w:lang w:val="en-US"/>
    </w:rPr>
  </w:style>
  <w:style w:type="paragraph" w:styleId="ListParagraph">
    <w:name w:val="List Paragraph"/>
    <w:basedOn w:val="Normal"/>
    <w:uiPriority w:val="34"/>
    <w:qFormat/>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styleId="Revision">
    <w:name w:val="Revision"/>
    <w:hidden/>
    <w:rsid w:val="00FB71C1"/>
    <w:rPr>
      <w:rFonts w:ascii="Tahoma" w:eastAsia="Times New Roman" w:hAnsi="Tahoma"/>
      <w:szCs w:val="24"/>
      <w:lang w:eastAsia="en-GB"/>
    </w:rPr>
  </w:style>
  <w:style w:type="paragraph" w:customStyle="1" w:styleId="About02">
    <w:name w:val="About 02"/>
    <w:basedOn w:val="About01"/>
    <w:qFormat/>
    <w:rsid w:val="00E07DD7"/>
    <w:pPr>
      <w:numPr>
        <w:ilvl w:val="0"/>
      </w:numPr>
      <w:shd w:val="clear" w:color="auto" w:fill="0096D7"/>
      <w:ind w:left="720" w:hanging="720"/>
    </w:pPr>
  </w:style>
  <w:style w:type="paragraph" w:customStyle="1" w:styleId="About03">
    <w:name w:val="About 03"/>
    <w:basedOn w:val="About01"/>
    <w:qFormat/>
    <w:rsid w:val="00E07DD7"/>
    <w:pPr>
      <w:shd w:val="clear" w:color="auto" w:fill="9A4D9E"/>
    </w:pPr>
  </w:style>
  <w:style w:type="paragraph" w:customStyle="1" w:styleId="About04">
    <w:name w:val="About 04"/>
    <w:basedOn w:val="About01"/>
    <w:qFormat/>
    <w:rsid w:val="00E07DD7"/>
    <w:pPr>
      <w:shd w:val="clear" w:color="auto" w:fill="F59114"/>
    </w:pPr>
  </w:style>
  <w:style w:type="paragraph" w:customStyle="1" w:styleId="Contents02">
    <w:name w:val="Contents 02"/>
    <w:basedOn w:val="Contents01"/>
    <w:next w:val="Normal"/>
    <w:qFormat/>
    <w:rsid w:val="00E07DD7"/>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E07DD7"/>
    <w:pPr>
      <w:pBdr>
        <w:top w:val="single" w:sz="48" w:space="1" w:color="0096D7"/>
        <w:left w:val="single" w:sz="48" w:space="4" w:color="0096D7"/>
        <w:bottom w:val="single" w:sz="48" w:space="1" w:color="0096D7"/>
        <w:right w:val="single" w:sz="48" w:space="4" w:color="0096D7"/>
      </w:pBdr>
      <w:shd w:val="clear" w:color="auto" w:fill="0096D7"/>
      <w:spacing w:before="360"/>
      <w:ind w:left="431" w:hanging="431"/>
    </w:pPr>
  </w:style>
  <w:style w:type="paragraph" w:customStyle="1" w:styleId="Heading03">
    <w:name w:val="Heading 03"/>
    <w:basedOn w:val="Heading01"/>
    <w:next w:val="Normal"/>
    <w:qFormat/>
    <w:rsid w:val="00E07DD7"/>
    <w:pPr>
      <w:pBdr>
        <w:top w:val="single" w:sz="48" w:space="1" w:color="9A4D9E"/>
        <w:left w:val="single" w:sz="48" w:space="4" w:color="9A4D9E"/>
        <w:bottom w:val="single" w:sz="48" w:space="1" w:color="9A4D9E"/>
        <w:right w:val="single" w:sz="48" w:space="4" w:color="9A4D9E"/>
      </w:pBdr>
      <w:shd w:val="clear" w:color="auto" w:fill="9A4D9E"/>
      <w:spacing w:before="360"/>
      <w:ind w:left="431" w:hanging="431"/>
    </w:pPr>
  </w:style>
  <w:style w:type="paragraph" w:customStyle="1" w:styleId="Heading04">
    <w:name w:val="Heading 04"/>
    <w:basedOn w:val="Heading01"/>
    <w:next w:val="Normal"/>
    <w:qFormat/>
    <w:rsid w:val="00E07DD7"/>
    <w:pPr>
      <w:pBdr>
        <w:top w:val="single" w:sz="48" w:space="1" w:color="F59114"/>
        <w:left w:val="single" w:sz="48" w:space="4" w:color="F59114"/>
        <w:bottom w:val="single" w:sz="48" w:space="1" w:color="F59114"/>
        <w:right w:val="single" w:sz="48" w:space="4" w:color="F59114"/>
      </w:pBdr>
      <w:shd w:val="clear" w:color="auto" w:fill="F59114"/>
      <w:spacing w:before="360"/>
      <w:ind w:left="431" w:hanging="431"/>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562829"/>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character" w:customStyle="1" w:styleId="FootnoteTextChar">
    <w:name w:val="Footnote Text Char"/>
    <w:link w:val="FootnoteText"/>
    <w:rsid w:val="00B858EF"/>
    <w:rPr>
      <w:rFonts w:ascii="Tahoma" w:eastAsia="Times New Roman" w:hAnsi="Tahoma" w:cs="Times New Roman"/>
      <w:sz w:val="24"/>
      <w:szCs w:val="24"/>
      <w:lang w:val="x-none" w:eastAsia="en-GB"/>
    </w:rPr>
  </w:style>
  <w:style w:type="character" w:styleId="FootnoteReference">
    <w:name w:val="footnote reference"/>
    <w:rsid w:val="00B85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7.jpeg"/><Relationship Id="rId21" Type="http://schemas.openxmlformats.org/officeDocument/2006/relationships/hyperlink" Target="mailto:angela.love@scottishpower.com" TargetMode="External"/><Relationship Id="rId22" Type="http://schemas.openxmlformats.org/officeDocument/2006/relationships/hyperlink" Target="mailto:commercial.enquiries@xoserve.co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emf"/><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asgovernance.co.uk/sites/default/files/UNC473D.pdf" TargetMode="External"/><Relationship Id="rId2" Type="http://schemas.openxmlformats.org/officeDocument/2006/relationships/hyperlink" Target="http://www.gasgovernance.co.uk/sites/default/files/UNC473D.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4177"/>
          <a:ext cx="337801" cy="337805"/>
        </a:xfrm>
        <a:prstGeom prst="roundRect">
          <a:avLst/>
        </a:prstGeom>
        <a:no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rgbClr val="008576"/>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14090"/>
          <a:ext cx="341659" cy="34165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218173"/>
          <a:ext cx="341659" cy="34372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78201" y="831"/>
          <a:ext cx="898129" cy="344919"/>
        </a:xfrm>
        <a:prstGeom prst="roundRect">
          <a:avLst/>
        </a:prstGeom>
        <a:noFill/>
        <a:ln w="9525" cap="flat" cmpd="sng" algn="ctr">
          <a:solidFill>
            <a:srgbClr val="008000">
              <a:alpha val="95000"/>
            </a:srgbClr>
          </a:solidFill>
          <a:prstDash val="solid"/>
        </a:ln>
        <a:effectLst/>
      </dgm:spPr>
      <dgm:t>
        <a:bodyPr/>
        <a:lstStyle/>
        <a:p>
          <a:pPr algn="l"/>
          <a:r>
            <a:rPr lang="en-US">
              <a:solidFill>
                <a:srgbClr val="008576"/>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8574"/>
          <a:ext cx="338765" cy="341655"/>
        </a:xfrm>
        <a:prstGeom prst="roundRect">
          <a:avLst/>
        </a:prstGeom>
        <a:solidFill>
          <a:srgbClr val="0096D7">
            <a:alpha val="90000"/>
          </a:srgbClr>
        </a:solid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78201" y="407141"/>
          <a:ext cx="893980" cy="344522"/>
        </a:xfrm>
        <a:prstGeom prst="roundRect">
          <a:avLst/>
        </a:prstGeom>
        <a:solidFill>
          <a:srgbClr val="0096D7"/>
        </a:solidFill>
        <a:ln w="9525" cap="flat" cmpd="sng" algn="ctr">
          <a:solidFill>
            <a:srgbClr val="3366FF">
              <a:alpha val="95000"/>
            </a:srgbClr>
          </a:solidFill>
          <a:prstDash val="solid"/>
        </a:ln>
        <a:effectLst/>
      </dgm:spPr>
      <dgm:t>
        <a:bodyPr/>
        <a:lstStyle/>
        <a:p>
          <a:pPr algn="l"/>
          <a:r>
            <a:rPr lang="en-US">
              <a:solidFill>
                <a:sysClr val="window" lastClr="FFFFFF"/>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83347" y="813054"/>
          <a:ext cx="891960" cy="343729"/>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83347" y="1218370"/>
          <a:ext cx="891960" cy="343336"/>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26B500B7-1833-5B4C-95E6-3FAF8F4D6FBC}" type="presOf" srcId="{FE36DC7D-33C3-474A-84C4-F97FE5B7F95C}" destId="{477BA8D3-8A7D-C94B-88A0-39B820B72CE0}" srcOrd="0" destOrd="0" presId="urn:microsoft.com/office/officeart/2005/8/layout/lProcess3"/>
    <dgm:cxn modelId="{5BB20A7C-3237-8247-ABC7-5D53DBD51361}" type="presOf" srcId="{8F951A2D-8316-7942-B199-785B2B0AB0C3}" destId="{CDF19424-C7C4-9F40-84E9-8D4B4EB62BE8}" srcOrd="0" destOrd="0" presId="urn:microsoft.com/office/officeart/2005/8/layout/lProcess3"/>
    <dgm:cxn modelId="{0AA09B37-1070-D246-9B8E-A0B84C072D6A}" srcId="{A0B44F8A-6A2F-0044-9BB8-0A3469DF2734}" destId="{A5986DFE-7725-1847-8814-D50D66AFCC15}" srcOrd="0" destOrd="0" parTransId="{260D3B08-4E53-2048-BDA1-E75675D393D8}" sibTransId="{263D9C09-EA4C-0D40-8829-6657872CBEE1}"/>
    <dgm:cxn modelId="{887BE923-E47B-FB43-B05E-D790DAAB665B}" type="presOf" srcId="{A935C7C2-51E9-394B-865D-5CF1BEB503EE}" destId="{CBCF94E4-C372-C648-B533-E3C7976D39B7}"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2AC9879B-3861-E542-B1FB-60ABBD61AB31}" srcId="{A935C7C2-51E9-394B-865D-5CF1BEB503EE}" destId="{A0B44F8A-6A2F-0044-9BB8-0A3469DF2734}" srcOrd="3" destOrd="0" parTransId="{322E361A-FB1B-0D47-80B8-6F8E1E98915A}" sibTransId="{AEE3A9E3-7BE1-1C41-B42E-F4079641B9E8}"/>
    <dgm:cxn modelId="{03D52E04-0D26-0D4A-A28A-FFBF2BBE9ECF}" srcId="{A935C7C2-51E9-394B-865D-5CF1BEB503EE}" destId="{7D3B8AB1-5EA8-DD4D-ACED-0CCAB6FDFAE6}" srcOrd="0" destOrd="0" parTransId="{ED96D06F-9A1E-2743-9913-78FDF7A29C30}" sibTransId="{555EF976-CB3E-3740-9714-D4E964B9FB72}"/>
    <dgm:cxn modelId="{9682C6E7-9F4B-6346-8BED-168165282FD7}" type="presOf" srcId="{A5986DFE-7725-1847-8814-D50D66AFCC15}" destId="{003BC28C-F1D9-CC4D-A9FB-3697781EB6A5}" srcOrd="0" destOrd="0" presId="urn:microsoft.com/office/officeart/2005/8/layout/lProcess3"/>
    <dgm:cxn modelId="{4FC93C60-DAD1-9E4A-A380-C95D8096CB4F}" type="presOf" srcId="{7D0B45A4-2442-6540-9DAF-B0FB130DD5F7}" destId="{50D2A4A2-A1F7-9C4D-8457-347EC5CF1DDC}" srcOrd="0" destOrd="0" presId="urn:microsoft.com/office/officeart/2005/8/layout/lProcess3"/>
    <dgm:cxn modelId="{20C56579-98EF-414C-A2F7-D269929FB9B8}" type="presOf" srcId="{5BE3AFFD-0744-D545-9D0B-FED6D271D6BB}" destId="{55103E2B-E140-DA40-8077-094E745E8F05}"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D95B5513-FD1D-024D-A3E7-DB65839174C4}" srcId="{FE36DC7D-33C3-474A-84C4-F97FE5B7F95C}" destId="{7D0B45A4-2442-6540-9DAF-B0FB130DD5F7}" srcOrd="0" destOrd="0" parTransId="{D2990E9F-00EA-AA48-8299-3BF2CAE557BB}" sibTransId="{446D302A-985B-074E-97D7-904E98899421}"/>
    <dgm:cxn modelId="{78440C87-3AE5-9F47-B731-01903F0CDE04}" type="presOf" srcId="{7D3B8AB1-5EA8-DD4D-ACED-0CCAB6FDFAE6}" destId="{1DE6589B-7756-5243-A756-6830A54BB680}" srcOrd="0" destOrd="0" presId="urn:microsoft.com/office/officeart/2005/8/layout/lProcess3"/>
    <dgm:cxn modelId="{F767FDA4-B27C-3E4C-B976-BEA6302D14AC}" srcId="{7D3B8AB1-5EA8-DD4D-ACED-0CCAB6FDFAE6}" destId="{5BE3AFFD-0744-D545-9D0B-FED6D271D6BB}" srcOrd="0" destOrd="0" parTransId="{49B6E38E-A4F0-BB4A-9082-460B9A1001BB}" sibTransId="{AFA8EBC2-38CB-824B-863F-CC7215829219}"/>
    <dgm:cxn modelId="{B90DB813-6A8B-DE44-A9E8-A44096E3DD11}" type="presOf" srcId="{8C22D270-2B1D-3647-BB97-6172866B4A32}" destId="{CFDAD9C7-3A4F-DF48-A43E-D4DC637F1C2D}" srcOrd="0" destOrd="0" presId="urn:microsoft.com/office/officeart/2005/8/layout/lProcess3"/>
    <dgm:cxn modelId="{6D56A3CB-31D4-AB45-9029-224F43FAC6B9}" type="presOf" srcId="{A0B44F8A-6A2F-0044-9BB8-0A3469DF2734}" destId="{DAD3E78C-AE02-7946-8AFD-B6C6799EE258}"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61D400A7-6D4F-EB48-8FA9-5DC313342636}" type="presParOf" srcId="{CBCF94E4-C372-C648-B533-E3C7976D39B7}" destId="{6974E495-C66D-B74A-8158-D06B249C137E}" srcOrd="0" destOrd="0" presId="urn:microsoft.com/office/officeart/2005/8/layout/lProcess3"/>
    <dgm:cxn modelId="{4A5865B4-292C-324D-A770-45DF64D2835D}" type="presParOf" srcId="{6974E495-C66D-B74A-8158-D06B249C137E}" destId="{1DE6589B-7756-5243-A756-6830A54BB680}" srcOrd="0" destOrd="0" presId="urn:microsoft.com/office/officeart/2005/8/layout/lProcess3"/>
    <dgm:cxn modelId="{C4CF5185-6355-DC47-9E6C-9747BF9DD422}" type="presParOf" srcId="{6974E495-C66D-B74A-8158-D06B249C137E}" destId="{9043C52A-E63D-8149-8A79-39158C778D65}" srcOrd="1" destOrd="0" presId="urn:microsoft.com/office/officeart/2005/8/layout/lProcess3"/>
    <dgm:cxn modelId="{188304E4-1AB5-4D47-A236-A9C4259DFB70}" type="presParOf" srcId="{6974E495-C66D-B74A-8158-D06B249C137E}" destId="{55103E2B-E140-DA40-8077-094E745E8F05}" srcOrd="2" destOrd="0" presId="urn:microsoft.com/office/officeart/2005/8/layout/lProcess3"/>
    <dgm:cxn modelId="{07499D2B-13A1-544C-83ED-8F51C42AD71C}" type="presParOf" srcId="{CBCF94E4-C372-C648-B533-E3C7976D39B7}" destId="{01DC6A27-04AE-0945-A20B-41F58A1B7F4F}" srcOrd="1" destOrd="0" presId="urn:microsoft.com/office/officeart/2005/8/layout/lProcess3"/>
    <dgm:cxn modelId="{E655201B-8C8E-5C47-8C4D-A17908D858F5}" type="presParOf" srcId="{CBCF94E4-C372-C648-B533-E3C7976D39B7}" destId="{4B83D6C4-550C-444A-9954-89B557AB82E9}" srcOrd="2" destOrd="0" presId="urn:microsoft.com/office/officeart/2005/8/layout/lProcess3"/>
    <dgm:cxn modelId="{96EC68F0-6F48-4045-906A-C6F8CD7E7E3E}" type="presParOf" srcId="{4B83D6C4-550C-444A-9954-89B557AB82E9}" destId="{477BA8D3-8A7D-C94B-88A0-39B820B72CE0}" srcOrd="0" destOrd="0" presId="urn:microsoft.com/office/officeart/2005/8/layout/lProcess3"/>
    <dgm:cxn modelId="{B83D65E6-0403-9A44-A678-88491DB98915}" type="presParOf" srcId="{4B83D6C4-550C-444A-9954-89B557AB82E9}" destId="{D10C13D4-3269-994C-82C1-75B3C073B557}" srcOrd="1" destOrd="0" presId="urn:microsoft.com/office/officeart/2005/8/layout/lProcess3"/>
    <dgm:cxn modelId="{5F20BD06-C191-174F-8C2C-DFF2A77F8746}" type="presParOf" srcId="{4B83D6C4-550C-444A-9954-89B557AB82E9}" destId="{50D2A4A2-A1F7-9C4D-8457-347EC5CF1DDC}" srcOrd="2" destOrd="0" presId="urn:microsoft.com/office/officeart/2005/8/layout/lProcess3"/>
    <dgm:cxn modelId="{C699D6CF-43AE-244B-A4B2-78D4C2DF85ED}" type="presParOf" srcId="{CBCF94E4-C372-C648-B533-E3C7976D39B7}" destId="{61A6B003-AF47-4046-841B-DEAABAAB6256}" srcOrd="3" destOrd="0" presId="urn:microsoft.com/office/officeart/2005/8/layout/lProcess3"/>
    <dgm:cxn modelId="{C9DA85C0-38A7-084F-B060-6FD9DD5DDB3A}" type="presParOf" srcId="{CBCF94E4-C372-C648-B533-E3C7976D39B7}" destId="{08745444-8660-124F-B9E3-F7CB72B8A9F6}" srcOrd="4" destOrd="0" presId="urn:microsoft.com/office/officeart/2005/8/layout/lProcess3"/>
    <dgm:cxn modelId="{C231BF42-9F20-BB45-9F79-3BF4252BF77A}" type="presParOf" srcId="{08745444-8660-124F-B9E3-F7CB72B8A9F6}" destId="{CDF19424-C7C4-9F40-84E9-8D4B4EB62BE8}" srcOrd="0" destOrd="0" presId="urn:microsoft.com/office/officeart/2005/8/layout/lProcess3"/>
    <dgm:cxn modelId="{A4448D0B-FA8B-424B-B3D8-43F000E063ED}" type="presParOf" srcId="{08745444-8660-124F-B9E3-F7CB72B8A9F6}" destId="{7717A314-C3AA-034D-BD28-ECA9DB8EF134}" srcOrd="1" destOrd="0" presId="urn:microsoft.com/office/officeart/2005/8/layout/lProcess3"/>
    <dgm:cxn modelId="{8CFA4ACA-ED79-F74F-A2AF-81B53DA8D459}" type="presParOf" srcId="{08745444-8660-124F-B9E3-F7CB72B8A9F6}" destId="{CFDAD9C7-3A4F-DF48-A43E-D4DC637F1C2D}" srcOrd="2" destOrd="0" presId="urn:microsoft.com/office/officeart/2005/8/layout/lProcess3"/>
    <dgm:cxn modelId="{63599625-C781-EF4C-8365-D17B76A8C7BB}" type="presParOf" srcId="{CBCF94E4-C372-C648-B533-E3C7976D39B7}" destId="{FE7A17E7-4371-8F43-991C-D33780A18970}" srcOrd="5" destOrd="0" presId="urn:microsoft.com/office/officeart/2005/8/layout/lProcess3"/>
    <dgm:cxn modelId="{0C4D82BB-1F79-C941-98B6-C3C8E456938D}" type="presParOf" srcId="{CBCF94E4-C372-C648-B533-E3C7976D39B7}" destId="{B30DEA06-BB50-134C-A79D-C98A8A0DEC5A}" srcOrd="6" destOrd="0" presId="urn:microsoft.com/office/officeart/2005/8/layout/lProcess3"/>
    <dgm:cxn modelId="{70CEE49E-0F57-CE4A-8FB5-3C5BEFC8847F}" type="presParOf" srcId="{B30DEA06-BB50-134C-A79D-C98A8A0DEC5A}" destId="{DAD3E78C-AE02-7946-8AFD-B6C6799EE258}" srcOrd="0" destOrd="0" presId="urn:microsoft.com/office/officeart/2005/8/layout/lProcess3"/>
    <dgm:cxn modelId="{AB85EAAB-E07B-E044-A201-0943A1514258}" type="presParOf" srcId="{B30DEA06-BB50-134C-A79D-C98A8A0DEC5A}" destId="{D5A934E3-EE19-0641-957A-617846E374CD}" srcOrd="1" destOrd="0" presId="urn:microsoft.com/office/officeart/2005/8/layout/lProcess3"/>
    <dgm:cxn modelId="{D3B569F2-9426-0A4C-9441-3C430FA3D325}"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3297"/>
          <a:ext cx="331421" cy="331425"/>
        </a:xfrm>
        <a:prstGeom prst="roundRect">
          <a:avLst/>
        </a:prstGeom>
        <a:no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008576"/>
              </a:solidFill>
              <a:latin typeface="Arial"/>
              <a:ea typeface="+mn-ea"/>
              <a:cs typeface="Arial"/>
            </a:rPr>
            <a:t>01</a:t>
          </a:r>
        </a:p>
      </dsp:txBody>
      <dsp:txXfrm>
        <a:off x="16179" y="19476"/>
        <a:ext cx="299063" cy="299067"/>
      </dsp:txXfrm>
    </dsp:sp>
    <dsp:sp modelId="{55103E2B-E140-DA40-8077-094E745E8F05}">
      <dsp:nvSpPr>
        <dsp:cNvPr id="0" name=""/>
        <dsp:cNvSpPr/>
      </dsp:nvSpPr>
      <dsp:spPr>
        <a:xfrm>
          <a:off x="357716" y="14"/>
          <a:ext cx="881168" cy="338405"/>
        </a:xfrm>
        <a:prstGeom prst="roundRect">
          <a:avLst/>
        </a:prstGeom>
        <a:no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008576"/>
              </a:solidFill>
              <a:latin typeface="Arial"/>
              <a:ea typeface="+mn-ea"/>
              <a:cs typeface="Arial"/>
            </a:rPr>
            <a:t>Modification</a:t>
          </a:r>
        </a:p>
      </dsp:txBody>
      <dsp:txXfrm>
        <a:off x="374236" y="16534"/>
        <a:ext cx="848128" cy="305365"/>
      </dsp:txXfrm>
    </dsp:sp>
    <dsp:sp modelId="{477BA8D3-8A7D-C94B-88A0-39B820B72CE0}">
      <dsp:nvSpPr>
        <dsp:cNvPr id="0" name=""/>
        <dsp:cNvSpPr/>
      </dsp:nvSpPr>
      <dsp:spPr>
        <a:xfrm>
          <a:off x="0" y="400057"/>
          <a:ext cx="332368" cy="335203"/>
        </a:xfrm>
        <a:prstGeom prst="roundRect">
          <a:avLst/>
        </a:prstGeom>
        <a:solidFill>
          <a:srgbClr val="0096D7">
            <a:alpha val="90000"/>
          </a:srgbClr>
        </a:solid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Arial"/>
              <a:ea typeface="+mn-ea"/>
              <a:cs typeface="Arial"/>
            </a:rPr>
            <a:t>02</a:t>
          </a:r>
        </a:p>
      </dsp:txBody>
      <dsp:txXfrm>
        <a:off x="16225" y="416282"/>
        <a:ext cx="299918" cy="302753"/>
      </dsp:txXfrm>
    </dsp:sp>
    <dsp:sp modelId="{50D2A4A2-A1F7-9C4D-8457-347EC5CF1DDC}">
      <dsp:nvSpPr>
        <dsp:cNvPr id="0" name=""/>
        <dsp:cNvSpPr/>
      </dsp:nvSpPr>
      <dsp:spPr>
        <a:xfrm>
          <a:off x="359706" y="398651"/>
          <a:ext cx="877097" cy="338016"/>
        </a:xfrm>
        <a:prstGeom prst="roundRect">
          <a:avLst/>
        </a:prstGeom>
        <a:solidFill>
          <a:srgbClr val="0096D7"/>
        </a:solid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Arial"/>
              <a:ea typeface="+mn-ea"/>
              <a:cs typeface="Arial"/>
            </a:rPr>
            <a:t>Workgroup Report</a:t>
          </a:r>
        </a:p>
      </dsp:txBody>
      <dsp:txXfrm>
        <a:off x="376207" y="415152"/>
        <a:ext cx="844095" cy="305014"/>
      </dsp:txXfrm>
    </dsp:sp>
    <dsp:sp modelId="{CDF19424-C7C4-9F40-84E9-8D4B4EB62BE8}">
      <dsp:nvSpPr>
        <dsp:cNvPr id="0" name=""/>
        <dsp:cNvSpPr/>
      </dsp:nvSpPr>
      <dsp:spPr>
        <a:xfrm>
          <a:off x="0" y="797915"/>
          <a:ext cx="335207" cy="33520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8064A2"/>
              </a:solidFill>
              <a:latin typeface="Arial"/>
              <a:ea typeface="+mn-ea"/>
              <a:cs typeface="Arial"/>
            </a:rPr>
            <a:t>03</a:t>
          </a:r>
        </a:p>
      </dsp:txBody>
      <dsp:txXfrm>
        <a:off x="16363" y="814278"/>
        <a:ext cx="302481" cy="302477"/>
      </dsp:txXfrm>
    </dsp:sp>
    <dsp:sp modelId="{CFDAD9C7-3A4F-DF48-A43E-D4DC637F1C2D}">
      <dsp:nvSpPr>
        <dsp:cNvPr id="0" name=""/>
        <dsp:cNvSpPr/>
      </dsp:nvSpPr>
      <dsp:spPr>
        <a:xfrm>
          <a:off x="363769" y="796898"/>
          <a:ext cx="875115" cy="337237"/>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Arial"/>
              <a:ea typeface="+mn-ea"/>
              <a:cs typeface="Arial"/>
            </a:rPr>
            <a:t>Draft Modification Report</a:t>
          </a:r>
        </a:p>
      </dsp:txBody>
      <dsp:txXfrm>
        <a:off x="380232" y="813361"/>
        <a:ext cx="842189" cy="304311"/>
      </dsp:txXfrm>
    </dsp:sp>
    <dsp:sp modelId="{DAD3E78C-AE02-7946-8AFD-B6C6799EE258}">
      <dsp:nvSpPr>
        <dsp:cNvPr id="0" name=""/>
        <dsp:cNvSpPr/>
      </dsp:nvSpPr>
      <dsp:spPr>
        <a:xfrm>
          <a:off x="0" y="1194367"/>
          <a:ext cx="335207" cy="337238"/>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FF6600"/>
              </a:solidFill>
              <a:latin typeface="Arial"/>
              <a:ea typeface="+mn-ea"/>
              <a:cs typeface="Arial"/>
            </a:rPr>
            <a:t>04</a:t>
          </a:r>
        </a:p>
      </dsp:txBody>
      <dsp:txXfrm>
        <a:off x="16363" y="1210730"/>
        <a:ext cx="302481" cy="304512"/>
      </dsp:txXfrm>
    </dsp:sp>
    <dsp:sp modelId="{003BC28C-F1D9-CC4D-A9FB-3697781EB6A5}">
      <dsp:nvSpPr>
        <dsp:cNvPr id="0" name=""/>
        <dsp:cNvSpPr/>
      </dsp:nvSpPr>
      <dsp:spPr>
        <a:xfrm>
          <a:off x="363769" y="1194560"/>
          <a:ext cx="875115" cy="336852"/>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Arial"/>
              <a:ea typeface="+mn-ea"/>
              <a:cs typeface="Arial"/>
            </a:rPr>
            <a:t>Final Modification Report</a:t>
          </a:r>
        </a:p>
      </dsp:txBody>
      <dsp:txXfrm>
        <a:off x="380213" y="1211004"/>
        <a:ext cx="842227" cy="30396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D295-4F9C-0A4E-AB36-78E6B46F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3864</Words>
  <Characters>22030</Characters>
  <Application>Microsoft Macintosh Word</Application>
  <DocSecurity>0</DocSecurity>
  <Lines>183</Lines>
  <Paragraphs>51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Summary</vt:lpstr>
      <vt:lpstr>Why Change?</vt:lpstr>
      <vt:lpstr>Solution</vt:lpstr>
      <vt:lpstr>Relevant Objectives</vt:lpstr>
      <vt:lpstr>Implementation</vt:lpstr>
      <vt:lpstr>Impacts </vt:lpstr>
      <vt:lpstr>Legal Text</vt:lpstr>
      <vt:lpstr>Recommendation </vt:lpstr>
    </vt:vector>
  </TitlesOfParts>
  <Manager/>
  <Company>Joint Office of Gas Transporters</Company>
  <LinksUpToDate>false</LinksUpToDate>
  <CharactersWithSpaces>25843</CharactersWithSpaces>
  <SharedDoc>false</SharedDoc>
  <HyperlinkBase/>
  <HLinks>
    <vt:vector size="36" baseType="variant">
      <vt:variant>
        <vt:i4>5505098</vt:i4>
      </vt:variant>
      <vt:variant>
        <vt:i4>30</vt:i4>
      </vt:variant>
      <vt:variant>
        <vt:i4>0</vt:i4>
      </vt:variant>
      <vt:variant>
        <vt:i4>5</vt:i4>
      </vt:variant>
      <vt:variant>
        <vt:lpwstr>mailto:commercial.enquiries@xoserve.com</vt:lpwstr>
      </vt:variant>
      <vt:variant>
        <vt:lpwstr/>
      </vt:variant>
      <vt:variant>
        <vt:i4>4980775</vt:i4>
      </vt:variant>
      <vt:variant>
        <vt:i4>27</vt:i4>
      </vt:variant>
      <vt:variant>
        <vt:i4>0</vt:i4>
      </vt:variant>
      <vt:variant>
        <vt:i4>5</vt:i4>
      </vt:variant>
      <vt:variant>
        <vt:lpwstr>mailto:angela.love@scottishpower.com</vt:lpwstr>
      </vt:variant>
      <vt:variant>
        <vt:lpwstr/>
      </vt:variant>
      <vt:variant>
        <vt:i4>2818095</vt:i4>
      </vt:variant>
      <vt:variant>
        <vt:i4>9</vt:i4>
      </vt:variant>
      <vt:variant>
        <vt:i4>0</vt:i4>
      </vt:variant>
      <vt:variant>
        <vt:i4>5</vt:i4>
      </vt:variant>
      <vt:variant>
        <vt:lpwstr>http://www.gasgovernance.co.uk/sites/default/files/UNC473D.pdf</vt:lpwstr>
      </vt:variant>
      <vt:variant>
        <vt:lpwstr/>
      </vt:variant>
      <vt:variant>
        <vt:i4>2818095</vt:i4>
      </vt:variant>
      <vt:variant>
        <vt:i4>6</vt:i4>
      </vt:variant>
      <vt:variant>
        <vt:i4>0</vt:i4>
      </vt:variant>
      <vt:variant>
        <vt:i4>5</vt:i4>
      </vt:variant>
      <vt:variant>
        <vt:lpwstr>http://www.gasgovernance.co.uk/sites/default/files/UNC473D.pdf</vt:lpwstr>
      </vt:variant>
      <vt:variant>
        <vt:lpwstr/>
      </vt:variant>
      <vt:variant>
        <vt:i4>2818095</vt:i4>
      </vt:variant>
      <vt:variant>
        <vt:i4>3</vt:i4>
      </vt:variant>
      <vt:variant>
        <vt:i4>0</vt:i4>
      </vt:variant>
      <vt:variant>
        <vt:i4>5</vt:i4>
      </vt:variant>
      <vt:variant>
        <vt:lpwstr>http://www.gasgovernance.co.uk/sites/default/files/UNC473D.pdf</vt:lpwstr>
      </vt:variant>
      <vt:variant>
        <vt:lpwstr/>
      </vt:variant>
      <vt:variant>
        <vt:i4>2818095</vt:i4>
      </vt:variant>
      <vt:variant>
        <vt:i4>0</vt:i4>
      </vt:variant>
      <vt:variant>
        <vt:i4>0</vt:i4>
      </vt:variant>
      <vt:variant>
        <vt:i4>5</vt:i4>
      </vt:variant>
      <vt:variant>
        <vt:lpwstr>http://www.gasgovernance.co.uk/sites/default/files/UNC473D.pdf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Bob Fletcher</cp:lastModifiedBy>
  <cp:revision>3</cp:revision>
  <cp:lastPrinted>2015-07-06T13:09:00Z</cp:lastPrinted>
  <dcterms:created xsi:type="dcterms:W3CDTF">2015-07-06T13:09:00Z</dcterms:created>
  <dcterms:modified xsi:type="dcterms:W3CDTF">2015-07-06T13:09:00Z</dcterms:modified>
  <cp:category/>
</cp:coreProperties>
</file>