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3A2033" w:rsidP="00AF7358">
      <w:pPr>
        <w:spacing w:before="60" w:after="60"/>
        <w:jc w:val="center"/>
        <w:rPr>
          <w:rFonts w:cs="Arial"/>
          <w:b/>
          <w:bCs/>
          <w:color w:val="7030A0"/>
          <w:sz w:val="44"/>
          <w:szCs w:val="44"/>
        </w:rPr>
      </w:pPr>
      <w:r w:rsidRPr="003A2033">
        <w:rPr>
          <w:rFonts w:cs="Arial"/>
          <w:b/>
          <w:bCs/>
          <w:color w:val="0066FF"/>
          <w:sz w:val="36"/>
        </w:rPr>
        <w:t>Change to read validation tolerances</w:t>
      </w:r>
    </w:p>
    <w:p w:rsidR="00E40EE9" w:rsidRPr="00C2627B" w:rsidRDefault="0021055F">
      <w:pPr>
        <w:spacing w:before="60" w:after="60"/>
        <w:jc w:val="center"/>
        <w:rPr>
          <w:rFonts w:cs="Arial"/>
          <w:b/>
          <w:bCs/>
          <w:sz w:val="28"/>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3A2033">
        <w:rPr>
          <w:rFonts w:cs="Arial"/>
          <w:b/>
          <w:bCs/>
          <w:color w:val="000000" w:themeColor="text1"/>
          <w:sz w:val="36"/>
        </w:rPr>
        <w:t>XRN</w:t>
      </w:r>
      <w:r w:rsidR="00F551A1">
        <w:rPr>
          <w:rFonts w:cs="Arial"/>
          <w:b/>
          <w:bCs/>
          <w:color w:val="000000" w:themeColor="text1"/>
          <w:sz w:val="36"/>
        </w:rPr>
        <w:t>3656</w:t>
      </w: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A06982" w:rsidP="001A3D51">
            <w:r>
              <w:t>0.1</w:t>
            </w:r>
          </w:p>
        </w:tc>
        <w:tc>
          <w:tcPr>
            <w:tcW w:w="1307" w:type="dxa"/>
          </w:tcPr>
          <w:p w:rsidR="00A96501" w:rsidRDefault="00A06982" w:rsidP="001A3D51">
            <w:r>
              <w:t>16/01/17</w:t>
            </w:r>
          </w:p>
        </w:tc>
        <w:tc>
          <w:tcPr>
            <w:tcW w:w="2140" w:type="dxa"/>
          </w:tcPr>
          <w:p w:rsidR="00A96501" w:rsidRDefault="00A06982" w:rsidP="001A3D51">
            <w:r>
              <w:t>Kirsty Dudley</w:t>
            </w:r>
          </w:p>
        </w:tc>
        <w:sdt>
          <w:sdtPr>
            <w:alias w:val="Document Status"/>
            <w:tag w:val="Document Status"/>
            <w:id w:val="448975349"/>
            <w:placeholder>
              <w:docPart w:val="507B2332A4AE4B9C82719CA1BBB578B2"/>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2F1630" w:rsidP="001A3D51">
                <w:r w:rsidRPr="00E5134D">
                  <w:rPr>
                    <w:rStyle w:val="PlaceholderText"/>
                  </w:rPr>
                  <w:t>Choose an item.</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02"/>
        <w:gridCol w:w="730"/>
        <w:gridCol w:w="1187"/>
        <w:gridCol w:w="2209"/>
        <w:gridCol w:w="3919"/>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A06982" w:rsidP="005864A3">
            <w:r>
              <w:t>Kirsty Dudley</w:t>
            </w:r>
          </w:p>
          <w:p w:rsidR="008F23E2" w:rsidRDefault="008F23E2" w:rsidP="005864A3">
            <w:r>
              <w:t>E.ON</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3A2033" w:rsidP="005864A3">
            <w:r>
              <w:t>07816 172 645</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8B21A2" w:rsidP="005864A3">
            <w:hyperlink r:id="rId13" w:history="1">
              <w:r w:rsidR="003A2033" w:rsidRPr="006C324F">
                <w:rPr>
                  <w:rStyle w:val="Hyperlink"/>
                </w:rPr>
                <w:t>Kirsty.Dudley@eonenergy.com</w:t>
              </w:r>
            </w:hyperlink>
            <w:r w:rsidR="003A2033">
              <w:t xml:space="preserve"> </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A06982" w:rsidP="005864A3">
            <w:r>
              <w:t>Emma Smith</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20429" w:rsidP="005864A3">
            <w:r>
              <w:t>0121 623 2386</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20429" w:rsidP="005864A3">
            <w:r>
              <w:t>Emma.Smith@Xoserve.com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A06982" w:rsidP="005864A3">
            <w:r>
              <w:t>Karen Marklew</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20429" w:rsidP="005864A3">
            <w:r>
              <w:t>Karen.Marklew@xoserve.com</w:t>
            </w:r>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8B21A2" w:rsidP="005864A3">
            <w:sdt>
              <w:sdtPr>
                <w:id w:val="-2140862440"/>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81302A">
              <w:t xml:space="preserve"> Shipper</w:t>
            </w:r>
          </w:p>
          <w:p w:rsidR="005864A3" w:rsidRDefault="008B21A2"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8B21A2"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8B21A2"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88563B" w:rsidRPr="008F23E2" w:rsidRDefault="0088563B" w:rsidP="0088563B">
            <w:pPr>
              <w:rPr>
                <w:rFonts w:cs="Arial"/>
                <w:szCs w:val="20"/>
              </w:rPr>
            </w:pPr>
            <w:r w:rsidRPr="0088563B">
              <w:rPr>
                <w:rFonts w:cs="Arial"/>
                <w:szCs w:val="20"/>
              </w:rPr>
              <w:t xml:space="preserve">The desire to </w:t>
            </w:r>
            <w:r w:rsidR="008F23E2">
              <w:rPr>
                <w:rFonts w:cs="Arial"/>
                <w:szCs w:val="20"/>
              </w:rPr>
              <w:t>develop the</w:t>
            </w:r>
            <w:r w:rsidRPr="0088563B">
              <w:rPr>
                <w:rFonts w:cs="Arial"/>
                <w:szCs w:val="20"/>
              </w:rPr>
              <w:t xml:space="preserve"> reading validation </w:t>
            </w:r>
            <w:r w:rsidR="008F23E2">
              <w:rPr>
                <w:rFonts w:cs="Arial"/>
                <w:szCs w:val="20"/>
              </w:rPr>
              <w:t>for</w:t>
            </w:r>
            <w:r w:rsidRPr="0088563B">
              <w:rPr>
                <w:rFonts w:cs="Arial"/>
                <w:szCs w:val="20"/>
              </w:rPr>
              <w:t xml:space="preserve"> meter points with </w:t>
            </w:r>
            <w:r w:rsidR="008F23E2">
              <w:rPr>
                <w:rFonts w:cs="Arial"/>
                <w:szCs w:val="20"/>
              </w:rPr>
              <w:t>very low</w:t>
            </w:r>
            <w:r w:rsidRPr="0088563B">
              <w:rPr>
                <w:rFonts w:cs="Arial"/>
                <w:szCs w:val="20"/>
              </w:rPr>
              <w:t xml:space="preserve"> AQs was highlighted during the </w:t>
            </w:r>
            <w:r w:rsidRPr="008F23E2">
              <w:rPr>
                <w:rFonts w:cs="Arial"/>
                <w:szCs w:val="20"/>
              </w:rPr>
              <w:t>development of Nexus</w:t>
            </w:r>
            <w:r w:rsidR="008F23E2">
              <w:rPr>
                <w:rFonts w:cs="Arial"/>
                <w:szCs w:val="20"/>
              </w:rPr>
              <w:t>,</w:t>
            </w:r>
            <w:r w:rsidRPr="008F23E2">
              <w:rPr>
                <w:rFonts w:cs="Arial"/>
                <w:szCs w:val="20"/>
              </w:rPr>
              <w:t xml:space="preserve"> however</w:t>
            </w:r>
            <w:r w:rsidR="008F23E2">
              <w:rPr>
                <w:rFonts w:cs="Arial"/>
                <w:szCs w:val="20"/>
              </w:rPr>
              <w:t>,</w:t>
            </w:r>
            <w:r w:rsidRPr="008F23E2">
              <w:rPr>
                <w:rFonts w:cs="Arial"/>
                <w:szCs w:val="20"/>
              </w:rPr>
              <w:t xml:space="preserve"> there was little tangible data available (until the systems were live)</w:t>
            </w:r>
            <w:r w:rsidR="008F23E2">
              <w:rPr>
                <w:rFonts w:cs="Arial"/>
                <w:szCs w:val="20"/>
              </w:rPr>
              <w:t xml:space="preserve"> to move this forward</w:t>
            </w:r>
            <w:r w:rsidRPr="008F23E2">
              <w:rPr>
                <w:rFonts w:cs="Arial"/>
                <w:szCs w:val="20"/>
              </w:rPr>
              <w:t xml:space="preserve">.  </w:t>
            </w:r>
            <w:r w:rsidR="00D51C83">
              <w:rPr>
                <w:rFonts w:cs="Arial"/>
                <w:szCs w:val="20"/>
              </w:rPr>
              <w:t xml:space="preserve">Several </w:t>
            </w:r>
            <w:r w:rsidRPr="008F23E2">
              <w:rPr>
                <w:rFonts w:cs="Arial"/>
                <w:szCs w:val="20"/>
              </w:rPr>
              <w:t xml:space="preserve">options </w:t>
            </w:r>
            <w:r w:rsidR="008F23E2">
              <w:rPr>
                <w:rFonts w:cs="Arial"/>
                <w:szCs w:val="20"/>
              </w:rPr>
              <w:t>were</w:t>
            </w:r>
            <w:r w:rsidRPr="008F23E2">
              <w:rPr>
                <w:rFonts w:cs="Arial"/>
                <w:szCs w:val="20"/>
              </w:rPr>
              <w:t xml:space="preserve"> discussed (including moving from a percentage based approach to a fix value) however</w:t>
            </w:r>
            <w:r w:rsidR="00D51C83">
              <w:rPr>
                <w:rFonts w:cs="Arial"/>
                <w:szCs w:val="20"/>
              </w:rPr>
              <w:t xml:space="preserve"> with Nexus development complete </w:t>
            </w:r>
            <w:r w:rsidRPr="008F23E2">
              <w:rPr>
                <w:rFonts w:cs="Arial"/>
                <w:szCs w:val="20"/>
              </w:rPr>
              <w:t>the alternative options are expected to be costl</w:t>
            </w:r>
            <w:r w:rsidR="00D51C83">
              <w:rPr>
                <w:rFonts w:cs="Arial"/>
                <w:szCs w:val="20"/>
              </w:rPr>
              <w:t>y</w:t>
            </w:r>
            <w:r w:rsidRPr="008F23E2">
              <w:rPr>
                <w:rFonts w:cs="Arial"/>
                <w:szCs w:val="20"/>
              </w:rPr>
              <w:t xml:space="preserve"> to develop and implement.</w:t>
            </w:r>
          </w:p>
          <w:p w:rsidR="008F23E2" w:rsidRPr="008F23E2" w:rsidRDefault="008F23E2" w:rsidP="008F23E2">
            <w:pPr>
              <w:rPr>
                <w:rFonts w:cs="Arial"/>
                <w:szCs w:val="20"/>
              </w:rPr>
            </w:pPr>
            <w:r w:rsidRPr="008F23E2">
              <w:rPr>
                <w:rFonts w:cs="Arial"/>
                <w:szCs w:val="20"/>
              </w:rPr>
              <w:t xml:space="preserve">Sufficient time </w:t>
            </w:r>
            <w:r w:rsidR="008E45FF">
              <w:rPr>
                <w:rFonts w:cs="Arial"/>
                <w:szCs w:val="20"/>
              </w:rPr>
              <w:t>has</w:t>
            </w:r>
            <w:r w:rsidR="008E45FF" w:rsidRPr="008F23E2">
              <w:rPr>
                <w:rFonts w:cs="Arial"/>
                <w:szCs w:val="20"/>
              </w:rPr>
              <w:t xml:space="preserve"> </w:t>
            </w:r>
            <w:r w:rsidRPr="008F23E2">
              <w:rPr>
                <w:rFonts w:cs="Arial"/>
                <w:szCs w:val="20"/>
              </w:rPr>
              <w:t xml:space="preserve">now passed </w:t>
            </w:r>
            <w:r w:rsidR="00D51C83">
              <w:rPr>
                <w:rFonts w:cs="Arial"/>
                <w:szCs w:val="20"/>
              </w:rPr>
              <w:t xml:space="preserve">and </w:t>
            </w:r>
            <w:r w:rsidRPr="008F23E2">
              <w:rPr>
                <w:rFonts w:cs="Arial"/>
                <w:szCs w:val="20"/>
              </w:rPr>
              <w:t xml:space="preserve">data is available </w:t>
            </w:r>
            <w:r>
              <w:rPr>
                <w:rFonts w:cs="Arial"/>
                <w:szCs w:val="20"/>
              </w:rPr>
              <w:t>which confirms amendments to small/low AQs</w:t>
            </w:r>
            <w:r w:rsidRPr="008F23E2">
              <w:rPr>
                <w:rFonts w:cs="Arial"/>
                <w:szCs w:val="20"/>
              </w:rPr>
              <w:t xml:space="preserve"> would have a positive (albeit modest) impact on the Gas read validation and settlement processes.</w:t>
            </w:r>
            <w:r w:rsidR="00D51C83">
              <w:rPr>
                <w:rFonts w:cs="Arial"/>
                <w:szCs w:val="20"/>
              </w:rPr>
              <w:t xml:space="preserve">  This proposal seeks to make minor alterations to the tolerance values for meter points with a low AQ on classes 3 or 4 rather than changing the validation mechanism.  This will achieve benefit</w:t>
            </w:r>
            <w:r w:rsidR="008E45FF">
              <w:rPr>
                <w:rFonts w:cs="Arial"/>
                <w:szCs w:val="20"/>
              </w:rPr>
              <w:t>s</w:t>
            </w:r>
            <w:r w:rsidR="00D51C83">
              <w:rPr>
                <w:rFonts w:cs="Arial"/>
                <w:szCs w:val="20"/>
              </w:rPr>
              <w:t xml:space="preserve"> but without the significant development costs.</w:t>
            </w:r>
          </w:p>
          <w:p w:rsidR="00A06982" w:rsidRPr="008F23E2" w:rsidRDefault="0088563B" w:rsidP="001D281A">
            <w:pPr>
              <w:rPr>
                <w:rFonts w:cs="Arial"/>
                <w:szCs w:val="20"/>
              </w:rPr>
            </w:pPr>
            <w:r w:rsidRPr="008F23E2">
              <w:rPr>
                <w:rFonts w:cs="Arial"/>
                <w:szCs w:val="20"/>
              </w:rPr>
              <w:t>T</w:t>
            </w:r>
            <w:r w:rsidR="00D51C83">
              <w:rPr>
                <w:rFonts w:cs="Arial"/>
                <w:szCs w:val="20"/>
              </w:rPr>
              <w:t xml:space="preserve">his proposal would require an </w:t>
            </w:r>
            <w:r w:rsidR="003A134A">
              <w:rPr>
                <w:rFonts w:cs="Arial"/>
                <w:szCs w:val="20"/>
              </w:rPr>
              <w:t>amend</w:t>
            </w:r>
            <w:r w:rsidR="00D51C83">
              <w:rPr>
                <w:rFonts w:cs="Arial"/>
                <w:szCs w:val="20"/>
              </w:rPr>
              <w:t>ment to</w:t>
            </w:r>
            <w:r w:rsidR="001D281A" w:rsidRPr="008F23E2">
              <w:rPr>
                <w:rFonts w:cs="Arial"/>
                <w:szCs w:val="20"/>
              </w:rPr>
              <w:t xml:space="preserve"> section 8.2 of the Uniform Network Code Validation Rules (currently Version 4.0)</w:t>
            </w:r>
            <w:r w:rsidR="003A134A">
              <w:rPr>
                <w:rFonts w:cs="Arial"/>
                <w:szCs w:val="20"/>
              </w:rPr>
              <w:t xml:space="preserve"> by:</w:t>
            </w:r>
          </w:p>
          <w:p w:rsidR="005864A3" w:rsidRDefault="005864A3">
            <w:pPr>
              <w:rPr>
                <w:rFonts w:ascii="MS Gothic" w:eastAsia="MS Gothic" w:hAnsi="MS Gothic"/>
              </w:rPr>
            </w:pPr>
          </w:p>
          <w:p w:rsidR="004E5415" w:rsidRPr="00753C43" w:rsidRDefault="004E5415" w:rsidP="004E5415">
            <w:pPr>
              <w:rPr>
                <w:b/>
              </w:rPr>
            </w:pPr>
            <w:r w:rsidRPr="00753C43">
              <w:rPr>
                <w:b/>
              </w:rPr>
              <w:t>Proposal</w:t>
            </w:r>
          </w:p>
          <w:p w:rsidR="004E5415" w:rsidRPr="00FE439C" w:rsidRDefault="004E5415" w:rsidP="004E5415">
            <w:r w:rsidRPr="00FE439C">
              <w:t>Split the current 2kWh-200kWh band into 2 bands and widen the tolerance on the lower of the two bands.</w:t>
            </w:r>
          </w:p>
          <w:p w:rsidR="004E5415" w:rsidRPr="00FE439C" w:rsidRDefault="004E5415" w:rsidP="004E5415">
            <w:r w:rsidRPr="00FE439C">
              <w:t>Current:</w:t>
            </w:r>
          </w:p>
          <w:tbl>
            <w:tblPr>
              <w:tblStyle w:val="TableGrid"/>
              <w:tblW w:w="7034" w:type="dxa"/>
              <w:tblLook w:val="04A0" w:firstRow="1" w:lastRow="0" w:firstColumn="1" w:lastColumn="0" w:noHBand="0" w:noVBand="1"/>
            </w:tblPr>
            <w:tblGrid>
              <w:gridCol w:w="851"/>
              <w:gridCol w:w="1739"/>
              <w:gridCol w:w="2430"/>
              <w:gridCol w:w="2014"/>
            </w:tblGrid>
            <w:tr w:rsidR="004E5415" w:rsidRPr="00FE439C" w:rsidTr="008E45FF">
              <w:trPr>
                <w:trHeight w:val="227"/>
              </w:trPr>
              <w:tc>
                <w:tcPr>
                  <w:tcW w:w="851" w:type="dxa"/>
                </w:tcPr>
                <w:p w:rsidR="004E5415" w:rsidRPr="00FE439C" w:rsidRDefault="004E5415" w:rsidP="004E5415">
                  <w:pPr>
                    <w:rPr>
                      <w:sz w:val="14"/>
                    </w:rPr>
                  </w:pPr>
                  <w:r w:rsidRPr="00FE439C">
                    <w:rPr>
                      <w:sz w:val="14"/>
                    </w:rPr>
                    <w:t>AQ Band</w:t>
                  </w:r>
                </w:p>
              </w:tc>
              <w:tc>
                <w:tcPr>
                  <w:tcW w:w="1739" w:type="dxa"/>
                </w:tcPr>
                <w:p w:rsidR="004E5415" w:rsidRPr="00FE439C" w:rsidRDefault="004E5415" w:rsidP="004E5415">
                  <w:pPr>
                    <w:rPr>
                      <w:sz w:val="14"/>
                    </w:rPr>
                  </w:pPr>
                  <w:r w:rsidRPr="00FE439C">
                    <w:rPr>
                      <w:sz w:val="14"/>
                    </w:rPr>
                    <w:t>Read accepted</w:t>
                  </w:r>
                </w:p>
              </w:tc>
              <w:tc>
                <w:tcPr>
                  <w:tcW w:w="2430" w:type="dxa"/>
                </w:tcPr>
                <w:p w:rsidR="004E5415" w:rsidRPr="00FE439C" w:rsidRDefault="004E5415" w:rsidP="004E5415">
                  <w:pPr>
                    <w:rPr>
                      <w:sz w:val="14"/>
                    </w:rPr>
                  </w:pPr>
                  <w:r w:rsidRPr="00FE439C">
                    <w:rPr>
                      <w:sz w:val="14"/>
                    </w:rPr>
                    <w:t>Over-ride required</w:t>
                  </w:r>
                </w:p>
              </w:tc>
              <w:tc>
                <w:tcPr>
                  <w:tcW w:w="2014" w:type="dxa"/>
                </w:tcPr>
                <w:p w:rsidR="004E5415" w:rsidRPr="00FE439C" w:rsidRDefault="004E5415" w:rsidP="004E5415">
                  <w:pPr>
                    <w:rPr>
                      <w:sz w:val="14"/>
                    </w:rPr>
                  </w:pPr>
                  <w:r w:rsidRPr="00FE439C">
                    <w:rPr>
                      <w:sz w:val="14"/>
                    </w:rPr>
                    <w:t>Market Breaker</w:t>
                  </w:r>
                </w:p>
              </w:tc>
            </w:tr>
            <w:tr w:rsidR="004E5415" w:rsidRPr="00FE439C" w:rsidTr="008E45FF">
              <w:tc>
                <w:tcPr>
                  <w:tcW w:w="851" w:type="dxa"/>
                </w:tcPr>
                <w:p w:rsidR="004E5415" w:rsidRPr="00FE439C" w:rsidRDefault="004E5415" w:rsidP="004E5415">
                  <w:pPr>
                    <w:rPr>
                      <w:sz w:val="14"/>
                    </w:rPr>
                  </w:pPr>
                  <w:r w:rsidRPr="00FE439C">
                    <w:rPr>
                      <w:sz w:val="14"/>
                    </w:rPr>
                    <w:t>1  -  1</w:t>
                  </w:r>
                </w:p>
              </w:tc>
              <w:tc>
                <w:tcPr>
                  <w:tcW w:w="1739" w:type="dxa"/>
                </w:tcPr>
                <w:p w:rsidR="004E5415" w:rsidRPr="00FE439C" w:rsidRDefault="004E5415" w:rsidP="004E5415">
                  <w:pPr>
                    <w:rPr>
                      <w:sz w:val="14"/>
                    </w:rPr>
                  </w:pPr>
                  <w:r w:rsidRPr="00FE439C">
                    <w:rPr>
                      <w:sz w:val="14"/>
                    </w:rPr>
                    <w:t>0% - 2,000,000% of AQ/365 x no. of days</w:t>
                  </w:r>
                </w:p>
              </w:tc>
              <w:tc>
                <w:tcPr>
                  <w:tcW w:w="2430" w:type="dxa"/>
                </w:tcPr>
                <w:p w:rsidR="004E5415" w:rsidRPr="00FE439C" w:rsidRDefault="004E5415" w:rsidP="004E5415">
                  <w:pPr>
                    <w:rPr>
                      <w:sz w:val="14"/>
                    </w:rPr>
                  </w:pPr>
                  <w:r w:rsidRPr="00FE439C">
                    <w:rPr>
                      <w:sz w:val="14"/>
                    </w:rPr>
                    <w:t>2,000,001% - 7,000,000% of AQ/365 x no. of days</w:t>
                  </w:r>
                </w:p>
              </w:tc>
              <w:tc>
                <w:tcPr>
                  <w:tcW w:w="2014" w:type="dxa"/>
                </w:tcPr>
                <w:p w:rsidR="004E5415" w:rsidRPr="00FE439C" w:rsidRDefault="004E5415" w:rsidP="004E5415">
                  <w:pPr>
                    <w:rPr>
                      <w:sz w:val="14"/>
                    </w:rPr>
                  </w:pPr>
                  <w:r w:rsidRPr="00FE439C">
                    <w:rPr>
                      <w:sz w:val="14"/>
                    </w:rPr>
                    <w:t>&gt;= 7,000,001% of AQ/365 x no. of days</w:t>
                  </w:r>
                </w:p>
              </w:tc>
            </w:tr>
            <w:tr w:rsidR="004E5415" w:rsidRPr="00FE439C" w:rsidTr="008E45FF">
              <w:tc>
                <w:tcPr>
                  <w:tcW w:w="851" w:type="dxa"/>
                </w:tcPr>
                <w:p w:rsidR="004E5415" w:rsidRPr="00FE439C" w:rsidRDefault="004E5415" w:rsidP="004E5415">
                  <w:pPr>
                    <w:rPr>
                      <w:color w:val="FF0000"/>
                      <w:sz w:val="14"/>
                    </w:rPr>
                  </w:pPr>
                  <w:r w:rsidRPr="00FE439C">
                    <w:rPr>
                      <w:color w:val="FF0000"/>
                      <w:sz w:val="14"/>
                    </w:rPr>
                    <w:t>2  -  200</w:t>
                  </w:r>
                </w:p>
              </w:tc>
              <w:tc>
                <w:tcPr>
                  <w:tcW w:w="1739" w:type="dxa"/>
                </w:tcPr>
                <w:p w:rsidR="004E5415" w:rsidRPr="00FE439C" w:rsidRDefault="004E5415" w:rsidP="004E5415">
                  <w:pPr>
                    <w:rPr>
                      <w:color w:val="FF0000"/>
                      <w:sz w:val="14"/>
                    </w:rPr>
                  </w:pPr>
                  <w:r w:rsidRPr="00FE439C">
                    <w:rPr>
                      <w:color w:val="FF0000"/>
                      <w:sz w:val="14"/>
                    </w:rPr>
                    <w:t>0% - 10 ,000% of AQ/365 x no. of days</w:t>
                  </w:r>
                </w:p>
              </w:tc>
              <w:tc>
                <w:tcPr>
                  <w:tcW w:w="2430" w:type="dxa"/>
                </w:tcPr>
                <w:p w:rsidR="004E5415" w:rsidRPr="00FE439C" w:rsidRDefault="004E5415" w:rsidP="004E5415">
                  <w:pPr>
                    <w:rPr>
                      <w:color w:val="FF0000"/>
                      <w:sz w:val="14"/>
                    </w:rPr>
                  </w:pPr>
                  <w:r w:rsidRPr="00FE439C">
                    <w:rPr>
                      <w:color w:val="FF0000"/>
                      <w:sz w:val="14"/>
                    </w:rPr>
                    <w:t>10,001% - 25,000% of AQ/365 x no. of days</w:t>
                  </w:r>
                </w:p>
              </w:tc>
              <w:tc>
                <w:tcPr>
                  <w:tcW w:w="2014" w:type="dxa"/>
                </w:tcPr>
                <w:p w:rsidR="004E5415" w:rsidRPr="00FE439C" w:rsidRDefault="004E5415" w:rsidP="004E5415">
                  <w:pPr>
                    <w:rPr>
                      <w:color w:val="FF0000"/>
                      <w:sz w:val="14"/>
                    </w:rPr>
                  </w:pPr>
                  <w:r w:rsidRPr="00FE439C">
                    <w:rPr>
                      <w:color w:val="FF0000"/>
                      <w:sz w:val="14"/>
                    </w:rPr>
                    <w:t>&gt;= 25,001% of AQ/365 x no. of days</w:t>
                  </w:r>
                </w:p>
              </w:tc>
            </w:tr>
            <w:tr w:rsidR="004E5415" w:rsidRPr="00FE439C" w:rsidTr="008E45FF">
              <w:tc>
                <w:tcPr>
                  <w:tcW w:w="851" w:type="dxa"/>
                </w:tcPr>
                <w:p w:rsidR="004E5415" w:rsidRPr="00FE439C" w:rsidRDefault="004E5415" w:rsidP="004E5415">
                  <w:pPr>
                    <w:rPr>
                      <w:sz w:val="14"/>
                    </w:rPr>
                  </w:pPr>
                  <w:r w:rsidRPr="00FE439C">
                    <w:rPr>
                      <w:sz w:val="14"/>
                    </w:rPr>
                    <w:t>201 - 500</w:t>
                  </w:r>
                </w:p>
              </w:tc>
              <w:tc>
                <w:tcPr>
                  <w:tcW w:w="1739" w:type="dxa"/>
                </w:tcPr>
                <w:p w:rsidR="004E5415" w:rsidRPr="00FE439C" w:rsidRDefault="004E5415" w:rsidP="004E5415">
                  <w:pPr>
                    <w:rPr>
                      <w:sz w:val="14"/>
                    </w:rPr>
                  </w:pPr>
                  <w:r w:rsidRPr="00FE439C">
                    <w:rPr>
                      <w:sz w:val="14"/>
                    </w:rPr>
                    <w:t>0% - 4,000% of AQ/365 x no. of days</w:t>
                  </w:r>
                </w:p>
              </w:tc>
              <w:tc>
                <w:tcPr>
                  <w:tcW w:w="2430" w:type="dxa"/>
                </w:tcPr>
                <w:p w:rsidR="004E5415" w:rsidRPr="00FE439C" w:rsidRDefault="004E5415" w:rsidP="004E5415">
                  <w:pPr>
                    <w:rPr>
                      <w:sz w:val="14"/>
                    </w:rPr>
                  </w:pPr>
                  <w:r w:rsidRPr="00FE439C">
                    <w:rPr>
                      <w:sz w:val="14"/>
                    </w:rPr>
                    <w:t>4,001% - 10,000% of AQ/365 x no. of days</w:t>
                  </w:r>
                </w:p>
              </w:tc>
              <w:tc>
                <w:tcPr>
                  <w:tcW w:w="2014" w:type="dxa"/>
                </w:tcPr>
                <w:p w:rsidR="004E5415" w:rsidRPr="00FE439C" w:rsidRDefault="004E5415" w:rsidP="004E5415">
                  <w:pPr>
                    <w:rPr>
                      <w:sz w:val="14"/>
                    </w:rPr>
                  </w:pPr>
                  <w:r w:rsidRPr="00FE439C">
                    <w:rPr>
                      <w:sz w:val="14"/>
                    </w:rPr>
                    <w:t>&gt;= 10,001% of AQ/365 x no. of days</w:t>
                  </w:r>
                </w:p>
              </w:tc>
            </w:tr>
          </w:tbl>
          <w:p w:rsidR="004E5415" w:rsidRPr="00FE439C" w:rsidRDefault="004E5415" w:rsidP="004E5415"/>
          <w:p w:rsidR="004E5415" w:rsidRPr="00FE439C" w:rsidRDefault="004E5415" w:rsidP="004E5415">
            <w:r w:rsidRPr="00FE439C">
              <w:t>Proposed:</w:t>
            </w:r>
          </w:p>
          <w:tbl>
            <w:tblPr>
              <w:tblStyle w:val="TableGrid"/>
              <w:tblW w:w="7019" w:type="dxa"/>
              <w:tblLook w:val="04A0" w:firstRow="1" w:lastRow="0" w:firstColumn="1" w:lastColumn="0" w:noHBand="0" w:noVBand="1"/>
            </w:tblPr>
            <w:tblGrid>
              <w:gridCol w:w="851"/>
              <w:gridCol w:w="1880"/>
              <w:gridCol w:w="2387"/>
              <w:gridCol w:w="1901"/>
            </w:tblGrid>
            <w:tr w:rsidR="004E5415" w:rsidRPr="00FE439C" w:rsidTr="008E45FF">
              <w:trPr>
                <w:trHeight w:val="227"/>
              </w:trPr>
              <w:tc>
                <w:tcPr>
                  <w:tcW w:w="851" w:type="dxa"/>
                </w:tcPr>
                <w:p w:rsidR="004E5415" w:rsidRPr="00FE439C" w:rsidRDefault="004E5415" w:rsidP="004E5415">
                  <w:pPr>
                    <w:rPr>
                      <w:sz w:val="14"/>
                    </w:rPr>
                  </w:pPr>
                  <w:r w:rsidRPr="00FE439C">
                    <w:rPr>
                      <w:sz w:val="14"/>
                    </w:rPr>
                    <w:t>AQ Band</w:t>
                  </w:r>
                </w:p>
              </w:tc>
              <w:tc>
                <w:tcPr>
                  <w:tcW w:w="1880" w:type="dxa"/>
                </w:tcPr>
                <w:p w:rsidR="004E5415" w:rsidRPr="00FE439C" w:rsidRDefault="004E5415" w:rsidP="004E5415">
                  <w:pPr>
                    <w:rPr>
                      <w:sz w:val="14"/>
                    </w:rPr>
                  </w:pPr>
                  <w:r w:rsidRPr="00FE439C">
                    <w:rPr>
                      <w:sz w:val="14"/>
                    </w:rPr>
                    <w:t>Read accepted</w:t>
                  </w:r>
                </w:p>
              </w:tc>
              <w:tc>
                <w:tcPr>
                  <w:tcW w:w="2387" w:type="dxa"/>
                </w:tcPr>
                <w:p w:rsidR="004E5415" w:rsidRPr="00FE439C" w:rsidRDefault="004E5415" w:rsidP="004E5415">
                  <w:pPr>
                    <w:rPr>
                      <w:sz w:val="14"/>
                    </w:rPr>
                  </w:pPr>
                  <w:r w:rsidRPr="00FE439C">
                    <w:rPr>
                      <w:sz w:val="14"/>
                    </w:rPr>
                    <w:t>Over-ride required</w:t>
                  </w:r>
                </w:p>
              </w:tc>
              <w:tc>
                <w:tcPr>
                  <w:tcW w:w="1901" w:type="dxa"/>
                </w:tcPr>
                <w:p w:rsidR="004E5415" w:rsidRPr="00FE439C" w:rsidRDefault="004E5415" w:rsidP="004E5415">
                  <w:pPr>
                    <w:rPr>
                      <w:sz w:val="14"/>
                    </w:rPr>
                  </w:pPr>
                  <w:r w:rsidRPr="00FE439C">
                    <w:rPr>
                      <w:sz w:val="14"/>
                    </w:rPr>
                    <w:t>Market Breaker</w:t>
                  </w:r>
                </w:p>
              </w:tc>
            </w:tr>
            <w:tr w:rsidR="004E5415" w:rsidRPr="00FE439C" w:rsidTr="008E45FF">
              <w:tc>
                <w:tcPr>
                  <w:tcW w:w="851" w:type="dxa"/>
                </w:tcPr>
                <w:p w:rsidR="004E5415" w:rsidRPr="00FE439C" w:rsidRDefault="004E5415" w:rsidP="004E5415">
                  <w:pPr>
                    <w:rPr>
                      <w:sz w:val="14"/>
                    </w:rPr>
                  </w:pPr>
                  <w:r w:rsidRPr="00FE439C">
                    <w:rPr>
                      <w:sz w:val="14"/>
                    </w:rPr>
                    <w:t>1  -  1</w:t>
                  </w:r>
                </w:p>
              </w:tc>
              <w:tc>
                <w:tcPr>
                  <w:tcW w:w="1880" w:type="dxa"/>
                </w:tcPr>
                <w:p w:rsidR="004E5415" w:rsidRPr="00FE439C" w:rsidRDefault="004E5415" w:rsidP="004E5415">
                  <w:pPr>
                    <w:rPr>
                      <w:sz w:val="14"/>
                    </w:rPr>
                  </w:pPr>
                  <w:r w:rsidRPr="00FE439C">
                    <w:rPr>
                      <w:sz w:val="14"/>
                    </w:rPr>
                    <w:t>0% - 2,000,000% of AQ/365 x no. of days</w:t>
                  </w:r>
                </w:p>
              </w:tc>
              <w:tc>
                <w:tcPr>
                  <w:tcW w:w="2387" w:type="dxa"/>
                </w:tcPr>
                <w:p w:rsidR="004E5415" w:rsidRPr="00FE439C" w:rsidRDefault="004E5415" w:rsidP="004E5415">
                  <w:pPr>
                    <w:rPr>
                      <w:sz w:val="14"/>
                    </w:rPr>
                  </w:pPr>
                  <w:r w:rsidRPr="00FE439C">
                    <w:rPr>
                      <w:sz w:val="14"/>
                    </w:rPr>
                    <w:t>2,000,001% - 7,000,000% of AQ/365 x no. of days</w:t>
                  </w:r>
                </w:p>
              </w:tc>
              <w:tc>
                <w:tcPr>
                  <w:tcW w:w="1901" w:type="dxa"/>
                </w:tcPr>
                <w:p w:rsidR="004E5415" w:rsidRPr="00FE439C" w:rsidRDefault="004E5415" w:rsidP="004E5415">
                  <w:pPr>
                    <w:rPr>
                      <w:sz w:val="14"/>
                    </w:rPr>
                  </w:pPr>
                  <w:r w:rsidRPr="00FE439C">
                    <w:rPr>
                      <w:sz w:val="14"/>
                    </w:rPr>
                    <w:t>&gt;= 7,000,001% of AQ/365 x no. of days</w:t>
                  </w:r>
                </w:p>
              </w:tc>
            </w:tr>
            <w:tr w:rsidR="004E5415" w:rsidRPr="00FE439C" w:rsidTr="008E45FF">
              <w:tc>
                <w:tcPr>
                  <w:tcW w:w="851" w:type="dxa"/>
                </w:tcPr>
                <w:p w:rsidR="004E5415" w:rsidRPr="00FE439C" w:rsidRDefault="004E5415" w:rsidP="004E5415">
                  <w:pPr>
                    <w:rPr>
                      <w:color w:val="FF0000"/>
                      <w:sz w:val="14"/>
                    </w:rPr>
                  </w:pPr>
                  <w:r w:rsidRPr="00FE439C">
                    <w:rPr>
                      <w:color w:val="FF0000"/>
                      <w:sz w:val="14"/>
                    </w:rPr>
                    <w:t>2  -  100</w:t>
                  </w:r>
                </w:p>
              </w:tc>
              <w:tc>
                <w:tcPr>
                  <w:tcW w:w="1880" w:type="dxa"/>
                </w:tcPr>
                <w:p w:rsidR="004E5415" w:rsidRPr="00FE439C" w:rsidRDefault="004E5415" w:rsidP="004E5415">
                  <w:pPr>
                    <w:rPr>
                      <w:color w:val="FF0000"/>
                      <w:sz w:val="14"/>
                    </w:rPr>
                  </w:pPr>
                  <w:r w:rsidRPr="00FE439C">
                    <w:rPr>
                      <w:color w:val="FF0000"/>
                      <w:sz w:val="14"/>
                    </w:rPr>
                    <w:t>0% - 20 ,000% of AQ/365 x no. of days</w:t>
                  </w:r>
                </w:p>
              </w:tc>
              <w:tc>
                <w:tcPr>
                  <w:tcW w:w="2387" w:type="dxa"/>
                </w:tcPr>
                <w:p w:rsidR="004E5415" w:rsidRPr="00FE439C" w:rsidRDefault="004E5415" w:rsidP="004E5415">
                  <w:pPr>
                    <w:rPr>
                      <w:color w:val="FF0000"/>
                      <w:sz w:val="14"/>
                    </w:rPr>
                  </w:pPr>
                  <w:r w:rsidRPr="00FE439C">
                    <w:rPr>
                      <w:color w:val="FF0000"/>
                      <w:sz w:val="14"/>
                    </w:rPr>
                    <w:t>20,001% - 45,000% of AQ/365 x no. of days</w:t>
                  </w:r>
                </w:p>
              </w:tc>
              <w:tc>
                <w:tcPr>
                  <w:tcW w:w="1901" w:type="dxa"/>
                </w:tcPr>
                <w:p w:rsidR="004E5415" w:rsidRPr="00FE439C" w:rsidRDefault="004E5415" w:rsidP="004E5415">
                  <w:pPr>
                    <w:rPr>
                      <w:color w:val="FF0000"/>
                      <w:sz w:val="14"/>
                    </w:rPr>
                  </w:pPr>
                  <w:r w:rsidRPr="00FE439C">
                    <w:rPr>
                      <w:color w:val="FF0000"/>
                      <w:sz w:val="14"/>
                    </w:rPr>
                    <w:t>&gt;= 45,001% of AQ/365 x no. of days</w:t>
                  </w:r>
                </w:p>
              </w:tc>
            </w:tr>
            <w:tr w:rsidR="004E5415" w:rsidRPr="00FE439C" w:rsidTr="008E45FF">
              <w:tc>
                <w:tcPr>
                  <w:tcW w:w="851" w:type="dxa"/>
                </w:tcPr>
                <w:p w:rsidR="004E5415" w:rsidRPr="00FE439C" w:rsidRDefault="004E5415" w:rsidP="004E5415">
                  <w:pPr>
                    <w:rPr>
                      <w:color w:val="FF0000"/>
                      <w:sz w:val="14"/>
                    </w:rPr>
                  </w:pPr>
                  <w:r w:rsidRPr="00FE439C">
                    <w:rPr>
                      <w:color w:val="FF0000"/>
                      <w:sz w:val="14"/>
                    </w:rPr>
                    <w:t>101 - 200</w:t>
                  </w:r>
                </w:p>
              </w:tc>
              <w:tc>
                <w:tcPr>
                  <w:tcW w:w="1880" w:type="dxa"/>
                </w:tcPr>
                <w:p w:rsidR="004E5415" w:rsidRPr="00FE439C" w:rsidRDefault="004E5415" w:rsidP="004E5415">
                  <w:pPr>
                    <w:rPr>
                      <w:color w:val="FF0000"/>
                      <w:sz w:val="14"/>
                    </w:rPr>
                  </w:pPr>
                  <w:r w:rsidRPr="00FE439C">
                    <w:rPr>
                      <w:color w:val="FF0000"/>
                      <w:sz w:val="14"/>
                    </w:rPr>
                    <w:t>0% - 10 ,000% of AQ/365 x no. of days</w:t>
                  </w:r>
                </w:p>
              </w:tc>
              <w:tc>
                <w:tcPr>
                  <w:tcW w:w="2387" w:type="dxa"/>
                </w:tcPr>
                <w:p w:rsidR="004E5415" w:rsidRPr="00FE439C" w:rsidRDefault="004E5415" w:rsidP="004E5415">
                  <w:pPr>
                    <w:rPr>
                      <w:color w:val="FF0000"/>
                      <w:sz w:val="14"/>
                    </w:rPr>
                  </w:pPr>
                  <w:r w:rsidRPr="00FE439C">
                    <w:rPr>
                      <w:color w:val="FF0000"/>
                      <w:sz w:val="14"/>
                    </w:rPr>
                    <w:t>10,001% - 25,000% of AQ/365 x no. of days</w:t>
                  </w:r>
                </w:p>
              </w:tc>
              <w:tc>
                <w:tcPr>
                  <w:tcW w:w="1901" w:type="dxa"/>
                </w:tcPr>
                <w:p w:rsidR="004E5415" w:rsidRPr="00FE439C" w:rsidRDefault="004E5415" w:rsidP="004E5415">
                  <w:pPr>
                    <w:rPr>
                      <w:color w:val="FF0000"/>
                      <w:sz w:val="14"/>
                    </w:rPr>
                  </w:pPr>
                  <w:r w:rsidRPr="00FE439C">
                    <w:rPr>
                      <w:color w:val="FF0000"/>
                      <w:sz w:val="14"/>
                    </w:rPr>
                    <w:t>&gt;= 25,001% of AQ/365 x no. of days</w:t>
                  </w:r>
                </w:p>
              </w:tc>
            </w:tr>
            <w:tr w:rsidR="004E5415" w:rsidRPr="00FE439C" w:rsidTr="008E45FF">
              <w:tc>
                <w:tcPr>
                  <w:tcW w:w="851" w:type="dxa"/>
                </w:tcPr>
                <w:p w:rsidR="004E5415" w:rsidRPr="00FE439C" w:rsidRDefault="004E5415" w:rsidP="004E5415">
                  <w:pPr>
                    <w:rPr>
                      <w:sz w:val="14"/>
                    </w:rPr>
                  </w:pPr>
                  <w:r w:rsidRPr="00FE439C">
                    <w:rPr>
                      <w:sz w:val="14"/>
                    </w:rPr>
                    <w:t>201 - 500</w:t>
                  </w:r>
                </w:p>
              </w:tc>
              <w:tc>
                <w:tcPr>
                  <w:tcW w:w="1880" w:type="dxa"/>
                </w:tcPr>
                <w:p w:rsidR="004E5415" w:rsidRPr="00FE439C" w:rsidRDefault="004E5415" w:rsidP="004E5415">
                  <w:pPr>
                    <w:rPr>
                      <w:sz w:val="14"/>
                    </w:rPr>
                  </w:pPr>
                  <w:r w:rsidRPr="00FE439C">
                    <w:rPr>
                      <w:sz w:val="14"/>
                    </w:rPr>
                    <w:t>0% - 4,000% of AQ/365 x no. of days</w:t>
                  </w:r>
                </w:p>
              </w:tc>
              <w:tc>
                <w:tcPr>
                  <w:tcW w:w="2387" w:type="dxa"/>
                </w:tcPr>
                <w:p w:rsidR="004E5415" w:rsidRPr="00FE439C" w:rsidRDefault="004E5415" w:rsidP="004E5415">
                  <w:pPr>
                    <w:rPr>
                      <w:sz w:val="14"/>
                    </w:rPr>
                  </w:pPr>
                  <w:r w:rsidRPr="00FE439C">
                    <w:rPr>
                      <w:sz w:val="14"/>
                    </w:rPr>
                    <w:t>4,001% - 10,000% of AQ/365 x no. of days</w:t>
                  </w:r>
                </w:p>
              </w:tc>
              <w:tc>
                <w:tcPr>
                  <w:tcW w:w="1901" w:type="dxa"/>
                </w:tcPr>
                <w:p w:rsidR="004E5415" w:rsidRPr="00FE439C" w:rsidRDefault="004E5415" w:rsidP="004E5415">
                  <w:pPr>
                    <w:rPr>
                      <w:sz w:val="14"/>
                    </w:rPr>
                  </w:pPr>
                  <w:r w:rsidRPr="00FE439C">
                    <w:rPr>
                      <w:sz w:val="14"/>
                    </w:rPr>
                    <w:t>&gt;= 10,001% of AQ/365 x no. of days</w:t>
                  </w:r>
                </w:p>
              </w:tc>
            </w:tr>
          </w:tbl>
          <w:p w:rsidR="004E5415" w:rsidRDefault="004E5415">
            <w:pPr>
              <w:rPr>
                <w:rFonts w:ascii="MS Gothic" w:eastAsia="MS Gothic" w:hAnsi="MS Gothic"/>
              </w:rPr>
            </w:pPr>
          </w:p>
        </w:tc>
      </w:tr>
      <w:tr w:rsidR="005864A3" w:rsidTr="005864A3">
        <w:tc>
          <w:tcPr>
            <w:tcW w:w="3227" w:type="dxa"/>
            <w:gridSpan w:val="2"/>
            <w:shd w:val="clear" w:color="auto" w:fill="B8CCE4" w:themeFill="accent1" w:themeFillTint="66"/>
          </w:tcPr>
          <w:p w:rsidR="005864A3" w:rsidRDefault="00FC6595" w:rsidP="005864A3">
            <w:pPr>
              <w:rPr>
                <w:b/>
              </w:rPr>
            </w:pPr>
            <w:r>
              <w:rPr>
                <w:b/>
              </w:rPr>
              <w:lastRenderedPageBreak/>
              <w:t>Reason(s) for proposed service change</w:t>
            </w:r>
          </w:p>
          <w:p w:rsidR="000B0E56" w:rsidRPr="00C2627B" w:rsidRDefault="000B0E56" w:rsidP="005864A3"/>
        </w:tc>
        <w:tc>
          <w:tcPr>
            <w:tcW w:w="6520" w:type="dxa"/>
            <w:gridSpan w:val="3"/>
          </w:tcPr>
          <w:p w:rsidR="00D5722A" w:rsidRPr="0088563B" w:rsidRDefault="00D22E6A" w:rsidP="005864A3">
            <w:pPr>
              <w:rPr>
                <w:rFonts w:cs="Arial"/>
                <w:szCs w:val="20"/>
              </w:rPr>
            </w:pPr>
            <w:r w:rsidRPr="0088563B">
              <w:rPr>
                <w:rFonts w:cs="Arial"/>
                <w:szCs w:val="20"/>
              </w:rPr>
              <w:t xml:space="preserve">Decrease volume of accurate readings </w:t>
            </w:r>
            <w:r w:rsidR="00D5722A" w:rsidRPr="0088563B">
              <w:rPr>
                <w:rFonts w:cs="Arial"/>
                <w:szCs w:val="20"/>
              </w:rPr>
              <w:t xml:space="preserve">failing the upper outer </w:t>
            </w:r>
            <w:r w:rsidR="00D51C83">
              <w:rPr>
                <w:rFonts w:cs="Arial"/>
                <w:szCs w:val="20"/>
              </w:rPr>
              <w:t xml:space="preserve">validation </w:t>
            </w:r>
            <w:r w:rsidR="00D5722A" w:rsidRPr="0088563B">
              <w:rPr>
                <w:rFonts w:cs="Arial"/>
                <w:szCs w:val="20"/>
              </w:rPr>
              <w:t xml:space="preserve">tolerance checks.  </w:t>
            </w:r>
          </w:p>
          <w:p w:rsidR="00D5722A" w:rsidRPr="0088563B" w:rsidRDefault="00D5722A" w:rsidP="005864A3">
            <w:pPr>
              <w:rPr>
                <w:rFonts w:cs="Arial"/>
                <w:szCs w:val="20"/>
              </w:rPr>
            </w:pPr>
            <w:r w:rsidRPr="0088563B">
              <w:rPr>
                <w:rFonts w:cs="Arial"/>
                <w:szCs w:val="20"/>
              </w:rPr>
              <w:t>Reduce the number of accurate readings requ</w:t>
            </w:r>
            <w:r w:rsidR="00D22E6A" w:rsidRPr="0088563B">
              <w:rPr>
                <w:rFonts w:cs="Arial"/>
                <w:szCs w:val="20"/>
              </w:rPr>
              <w:t xml:space="preserve">iring manual intervention.  </w:t>
            </w:r>
          </w:p>
          <w:p w:rsidR="005864A3" w:rsidRPr="0088563B" w:rsidRDefault="00D22E6A" w:rsidP="005864A3">
            <w:pPr>
              <w:rPr>
                <w:rFonts w:cs="Arial"/>
                <w:szCs w:val="20"/>
              </w:rPr>
            </w:pPr>
            <w:r w:rsidRPr="0088563B">
              <w:rPr>
                <w:rFonts w:cs="Arial"/>
                <w:szCs w:val="20"/>
              </w:rPr>
              <w:t>Decrease the volume of un-necessary AQ corrections.</w:t>
            </w:r>
          </w:p>
          <w:p w:rsidR="00D5722A" w:rsidRPr="0088563B" w:rsidRDefault="00D5722A" w:rsidP="005864A3">
            <w:pPr>
              <w:rPr>
                <w:rFonts w:ascii="Calibri" w:hAnsi="Calibri" w:cs="Calibri"/>
                <w:color w:val="000000"/>
                <w:sz w:val="22"/>
                <w:szCs w:val="22"/>
              </w:rPr>
            </w:pPr>
            <w:r w:rsidRPr="0088563B">
              <w:rPr>
                <w:rFonts w:cs="Arial"/>
                <w:szCs w:val="20"/>
              </w:rPr>
              <w:t>These</w:t>
            </w:r>
            <w:r w:rsidR="00D22E6A" w:rsidRPr="0088563B">
              <w:rPr>
                <w:rFonts w:cs="Arial"/>
                <w:szCs w:val="20"/>
              </w:rPr>
              <w:t xml:space="preserve"> </w:t>
            </w:r>
            <w:r w:rsidRPr="0088563B">
              <w:rPr>
                <w:rFonts w:cs="Arial"/>
                <w:szCs w:val="20"/>
              </w:rPr>
              <w:t>outcomes</w:t>
            </w:r>
            <w:r w:rsidR="00D22E6A" w:rsidRPr="0088563B">
              <w:rPr>
                <w:rFonts w:cs="Arial"/>
                <w:szCs w:val="20"/>
              </w:rPr>
              <w:t xml:space="preserve"> delay the timely and accurate allocation/reconciliation of Gas transportation charges</w:t>
            </w:r>
            <w:r w:rsidR="00D51C83">
              <w:rPr>
                <w:rFonts w:cs="Arial"/>
                <w:szCs w:val="20"/>
              </w:rPr>
              <w:t xml:space="preserve"> and require shipper resource to resolve.</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88563B" w:rsidRDefault="00A06982" w:rsidP="005864A3">
            <w:pPr>
              <w:rPr>
                <w:rFonts w:ascii="Calibri" w:hAnsi="Calibri" w:cs="Calibri"/>
                <w:color w:val="000000"/>
                <w:sz w:val="22"/>
                <w:szCs w:val="22"/>
              </w:rPr>
            </w:pPr>
            <w:r w:rsidRPr="0088563B">
              <w:rPr>
                <w:rFonts w:ascii="Calibri" w:hAnsi="Calibri" w:cs="Calibri"/>
                <w:color w:val="000000"/>
                <w:sz w:val="22"/>
                <w:szCs w:val="22"/>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88563B" w:rsidRDefault="00A06982" w:rsidP="005864A3">
            <w:pPr>
              <w:rPr>
                <w:rFonts w:ascii="Calibri" w:hAnsi="Calibri" w:cs="Calibri"/>
                <w:color w:val="000000"/>
                <w:sz w:val="22"/>
                <w:szCs w:val="22"/>
              </w:rPr>
            </w:pPr>
            <w:r w:rsidRPr="0088563B">
              <w:rPr>
                <w:rFonts w:ascii="Calibri" w:hAnsi="Calibri" w:cs="Calibri"/>
                <w:color w:val="000000"/>
                <w:sz w:val="22"/>
                <w:szCs w:val="22"/>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D5722A" w:rsidRPr="0088563B" w:rsidRDefault="00D22E6A" w:rsidP="0088563B">
            <w:pPr>
              <w:rPr>
                <w:rFonts w:cs="Arial"/>
                <w:szCs w:val="20"/>
              </w:rPr>
            </w:pPr>
            <w:r w:rsidRPr="0088563B">
              <w:rPr>
                <w:rFonts w:cs="Arial"/>
                <w:szCs w:val="20"/>
              </w:rPr>
              <w:t>More timely and accurate allocation/reconciliation of Gas transportation charges.</w:t>
            </w:r>
          </w:p>
          <w:p w:rsidR="00D5722A" w:rsidRPr="0088563B" w:rsidRDefault="00D5722A" w:rsidP="0088563B">
            <w:pPr>
              <w:rPr>
                <w:rFonts w:ascii="Calibri" w:hAnsi="Calibri" w:cs="Calibri"/>
                <w:color w:val="000000"/>
                <w:sz w:val="22"/>
                <w:szCs w:val="22"/>
              </w:rPr>
            </w:pPr>
            <w:r w:rsidRPr="0088563B">
              <w:rPr>
                <w:rFonts w:cs="Arial"/>
                <w:szCs w:val="20"/>
              </w:rPr>
              <w:t>Reduced manual activity for shippers and suppliers.</w:t>
            </w: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Pr="0088563B" w:rsidRDefault="00A06982" w:rsidP="005864A3">
            <w:pPr>
              <w:rPr>
                <w:rFonts w:ascii="Calibri" w:hAnsi="Calibri" w:cs="Calibri"/>
                <w:color w:val="000000"/>
                <w:sz w:val="22"/>
                <w:szCs w:val="22"/>
              </w:rPr>
            </w:pPr>
            <w:r w:rsidRPr="0088563B">
              <w:rPr>
                <w:rFonts w:ascii="Calibri" w:hAnsi="Calibri" w:cs="Calibri"/>
                <w:color w:val="000000"/>
                <w:sz w:val="22"/>
                <w:szCs w:val="22"/>
              </w:rPr>
              <w:t>November 2018</w:t>
            </w:r>
            <w:r w:rsidR="0088563B">
              <w:rPr>
                <w:rFonts w:ascii="Calibri" w:hAnsi="Calibri" w:cs="Calibri"/>
                <w:color w:val="000000"/>
                <w:sz w:val="22"/>
                <w:szCs w:val="22"/>
              </w:rPr>
              <w:t xml:space="preserve"> (Release 3)</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Pr="0088563B" w:rsidRDefault="008B21A2" w:rsidP="004363D0">
            <w:pPr>
              <w:rPr>
                <w:rFonts w:ascii="Calibri" w:hAnsi="Calibri" w:cs="Calibri"/>
                <w:color w:val="000000"/>
                <w:sz w:val="22"/>
                <w:szCs w:val="22"/>
              </w:rPr>
            </w:pPr>
            <w:sdt>
              <w:sdtPr>
                <w:rPr>
                  <w:rFonts w:ascii="Calibri" w:hAnsi="Calibri" w:cs="Calibri"/>
                  <w:color w:val="000000"/>
                  <w:sz w:val="22"/>
                  <w:szCs w:val="22"/>
                </w:rPr>
                <w:id w:val="-1452088850"/>
                <w14:checkbox>
                  <w14:checked w14:val="0"/>
                  <w14:checkedState w14:val="2612" w14:font="MS Gothic"/>
                  <w14:uncheckedState w14:val="2610" w14:font="MS Gothic"/>
                </w14:checkbox>
              </w:sdtPr>
              <w:sdtEndPr/>
              <w:sdtContent>
                <w:r w:rsidR="00B718F1" w:rsidRPr="0088563B">
                  <w:rPr>
                    <w:rFonts w:ascii="Segoe UI Symbol" w:hAnsi="Segoe UI Symbol" w:cs="Segoe UI Symbol"/>
                    <w:color w:val="000000"/>
                    <w:sz w:val="22"/>
                    <w:szCs w:val="22"/>
                  </w:rPr>
                  <w:t>☐</w:t>
                </w:r>
              </w:sdtContent>
            </w:sdt>
            <w:r w:rsidR="00B718F1" w:rsidRPr="0088563B">
              <w:rPr>
                <w:rFonts w:ascii="Calibri" w:hAnsi="Calibri" w:cs="Calibri"/>
                <w:color w:val="000000"/>
                <w:sz w:val="22"/>
                <w:szCs w:val="22"/>
              </w:rPr>
              <w:t>High</w:t>
            </w:r>
          </w:p>
          <w:p w:rsidR="00B718F1" w:rsidRPr="0088563B" w:rsidRDefault="008B21A2" w:rsidP="004363D0">
            <w:pPr>
              <w:rPr>
                <w:rFonts w:ascii="Calibri" w:hAnsi="Calibri" w:cs="Calibri"/>
                <w:color w:val="000000"/>
                <w:sz w:val="22"/>
                <w:szCs w:val="22"/>
              </w:rPr>
            </w:pPr>
            <w:sdt>
              <w:sdtPr>
                <w:rPr>
                  <w:rFonts w:ascii="Calibri" w:hAnsi="Calibri" w:cs="Calibri"/>
                  <w:color w:val="000000"/>
                  <w:sz w:val="22"/>
                  <w:szCs w:val="22"/>
                </w:rPr>
                <w:id w:val="-918560144"/>
                <w14:checkbox>
                  <w14:checked w14:val="1"/>
                  <w14:checkedState w14:val="2612" w14:font="MS Gothic"/>
                  <w14:uncheckedState w14:val="2610" w14:font="MS Gothic"/>
                </w14:checkbox>
              </w:sdtPr>
              <w:sdtEndPr/>
              <w:sdtContent>
                <w:r w:rsidR="00A06982" w:rsidRPr="0088563B">
                  <w:rPr>
                    <w:rFonts w:ascii="Segoe UI Symbol" w:hAnsi="Segoe UI Symbol" w:cs="Segoe UI Symbol"/>
                    <w:color w:val="000000"/>
                    <w:sz w:val="22"/>
                    <w:szCs w:val="22"/>
                  </w:rPr>
                  <w:t>☒</w:t>
                </w:r>
              </w:sdtContent>
            </w:sdt>
            <w:r w:rsidR="00B718F1" w:rsidRPr="0088563B">
              <w:rPr>
                <w:rFonts w:ascii="Calibri" w:hAnsi="Calibri" w:cs="Calibri"/>
                <w:color w:val="000000"/>
                <w:sz w:val="22"/>
                <w:szCs w:val="22"/>
              </w:rPr>
              <w:t>Medium</w:t>
            </w:r>
          </w:p>
          <w:p w:rsidR="00B718F1" w:rsidRPr="0088563B" w:rsidRDefault="008B21A2" w:rsidP="004363D0">
            <w:pPr>
              <w:rPr>
                <w:rFonts w:ascii="Calibri" w:hAnsi="Calibri" w:cs="Calibri"/>
                <w:color w:val="000000"/>
                <w:sz w:val="22"/>
                <w:szCs w:val="22"/>
              </w:rPr>
            </w:pPr>
            <w:sdt>
              <w:sdtPr>
                <w:rPr>
                  <w:rFonts w:ascii="Calibri" w:hAnsi="Calibri" w:cs="Calibri"/>
                  <w:color w:val="000000"/>
                  <w:sz w:val="22"/>
                  <w:szCs w:val="22"/>
                </w:rPr>
                <w:id w:val="1202048263"/>
                <w14:checkbox>
                  <w14:checked w14:val="0"/>
                  <w14:checkedState w14:val="2612" w14:font="MS Gothic"/>
                  <w14:uncheckedState w14:val="2610" w14:font="MS Gothic"/>
                </w14:checkbox>
              </w:sdtPr>
              <w:sdtEndPr/>
              <w:sdtContent>
                <w:r w:rsidR="00B718F1" w:rsidRPr="0088563B">
                  <w:rPr>
                    <w:rFonts w:ascii="Segoe UI Symbol" w:hAnsi="Segoe UI Symbol" w:cs="Segoe UI Symbol"/>
                    <w:color w:val="000000"/>
                    <w:sz w:val="22"/>
                    <w:szCs w:val="22"/>
                  </w:rPr>
                  <w:t>☐</w:t>
                </w:r>
              </w:sdtContent>
            </w:sdt>
            <w:r w:rsidR="00B718F1" w:rsidRPr="0088563B">
              <w:rPr>
                <w:rFonts w:ascii="Calibri" w:hAnsi="Calibri" w:cs="Calibri"/>
                <w:color w:val="000000"/>
                <w:sz w:val="22"/>
                <w:szCs w:val="22"/>
              </w:rPr>
              <w:t>Low</w:t>
            </w:r>
          </w:p>
          <w:p w:rsidR="00520429" w:rsidRDefault="00B718F1" w:rsidP="005864A3">
            <w:pPr>
              <w:rPr>
                <w:rFonts w:ascii="Calibri" w:hAnsi="Calibri" w:cs="Calibri"/>
                <w:color w:val="000000"/>
                <w:sz w:val="22"/>
                <w:szCs w:val="22"/>
              </w:rPr>
            </w:pPr>
            <w:r w:rsidRPr="0088563B">
              <w:rPr>
                <w:rFonts w:ascii="Calibri" w:hAnsi="Calibri" w:cs="Calibri"/>
                <w:color w:val="000000"/>
                <w:sz w:val="22"/>
                <w:szCs w:val="22"/>
              </w:rPr>
              <w:t>Rationale for assessment:</w:t>
            </w:r>
            <w:r w:rsidR="00A06982" w:rsidRPr="0088563B">
              <w:rPr>
                <w:rFonts w:ascii="Calibri" w:hAnsi="Calibri" w:cs="Calibri"/>
                <w:color w:val="000000"/>
                <w:sz w:val="22"/>
                <w:szCs w:val="22"/>
              </w:rPr>
              <w:t xml:space="preserve"> </w:t>
            </w:r>
            <w:r w:rsidR="00520429" w:rsidRPr="0088563B">
              <w:rPr>
                <w:rFonts w:ascii="Calibri" w:hAnsi="Calibri" w:cs="Calibri"/>
                <w:color w:val="000000"/>
                <w:sz w:val="22"/>
                <w:szCs w:val="22"/>
              </w:rPr>
              <w:t xml:space="preserve"> </w:t>
            </w:r>
          </w:p>
          <w:p w:rsidR="009A5FF2" w:rsidRPr="0088563B" w:rsidRDefault="009A5FF2" w:rsidP="005864A3">
            <w:pPr>
              <w:rPr>
                <w:rFonts w:cs="Arial"/>
                <w:szCs w:val="20"/>
              </w:rPr>
            </w:pPr>
            <w:r w:rsidRPr="0088563B">
              <w:rPr>
                <w:rFonts w:cs="Arial"/>
                <w:szCs w:val="20"/>
              </w:rPr>
              <w:t xml:space="preserve">Current tolerance values </w:t>
            </w:r>
            <w:r w:rsidR="00D5722A" w:rsidRPr="0088563B">
              <w:rPr>
                <w:rFonts w:cs="Arial"/>
                <w:szCs w:val="20"/>
              </w:rPr>
              <w:t>create</w:t>
            </w:r>
            <w:r w:rsidRPr="0088563B">
              <w:rPr>
                <w:rFonts w:cs="Arial"/>
                <w:szCs w:val="20"/>
              </w:rPr>
              <w:t xml:space="preserve"> un-necessary failures and prevent accurate meter readings being accepted into settlement and used in downstream processes.  The failures require manual review and resolution processes are relatively slow.  This results in a material impact to the settlement process.</w:t>
            </w:r>
          </w:p>
          <w:p w:rsidR="009A5FF2" w:rsidRPr="008F23E2" w:rsidRDefault="009A5FF2" w:rsidP="008F23E2">
            <w:pPr>
              <w:rPr>
                <w:rFonts w:cs="Arial"/>
                <w:szCs w:val="20"/>
              </w:rPr>
            </w:pPr>
            <w:r w:rsidRPr="0088563B">
              <w:rPr>
                <w:rFonts w:cs="Arial"/>
                <w:szCs w:val="20"/>
              </w:rPr>
              <w:t xml:space="preserve">With the </w:t>
            </w:r>
            <w:r w:rsidR="00D22E6A" w:rsidRPr="0088563B">
              <w:rPr>
                <w:rFonts w:cs="Arial"/>
                <w:szCs w:val="20"/>
              </w:rPr>
              <w:t xml:space="preserve">Current UIG </w:t>
            </w:r>
            <w:r w:rsidRPr="0088563B">
              <w:rPr>
                <w:rFonts w:cs="Arial"/>
                <w:szCs w:val="20"/>
              </w:rPr>
              <w:t>concerns</w:t>
            </w:r>
            <w:r w:rsidR="00D22E6A" w:rsidRPr="0088563B">
              <w:rPr>
                <w:rFonts w:cs="Arial"/>
                <w:szCs w:val="20"/>
              </w:rPr>
              <w:t xml:space="preserve"> any change to increase the </w:t>
            </w:r>
            <w:r w:rsidRPr="0088563B">
              <w:rPr>
                <w:rFonts w:cs="Arial"/>
                <w:szCs w:val="20"/>
              </w:rPr>
              <w:t>timeliness</w:t>
            </w:r>
            <w:r w:rsidR="00D22E6A" w:rsidRPr="0088563B">
              <w:rPr>
                <w:rFonts w:cs="Arial"/>
                <w:szCs w:val="20"/>
              </w:rPr>
              <w:t xml:space="preserve"> and accuracy of allocation</w:t>
            </w:r>
            <w:r w:rsidRPr="0088563B">
              <w:rPr>
                <w:rFonts w:cs="Arial"/>
                <w:szCs w:val="20"/>
              </w:rPr>
              <w:t>/reconciliation</w:t>
            </w:r>
            <w:r w:rsidR="00D22E6A" w:rsidRPr="0088563B">
              <w:rPr>
                <w:rFonts w:cs="Arial"/>
                <w:szCs w:val="20"/>
              </w:rPr>
              <w:t xml:space="preserve"> </w:t>
            </w:r>
            <w:r w:rsidRPr="0088563B">
              <w:rPr>
                <w:rFonts w:cs="Arial"/>
                <w:szCs w:val="20"/>
              </w:rPr>
              <w:t>should be taken although the change is likely to be extremely small.</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8B21A2"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8B21A2"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8B21A2" w:rsidP="004363D0">
            <w:sdt>
              <w:sdtPr>
                <w:id w:val="851376898"/>
                <w14:checkbox>
                  <w14:checked w14:val="0"/>
                  <w14:checkedState w14:val="2612" w14:font="MS Gothic"/>
                  <w14:uncheckedState w14:val="2610" w14:font="MS Gothic"/>
                </w14:checkbox>
              </w:sdtPr>
              <w:sdtEndPr/>
              <w:sdtContent>
                <w:r w:rsidR="00A06982">
                  <w:rPr>
                    <w:rFonts w:ascii="MS Gothic" w:eastAsia="MS Gothic" w:hAnsi="MS Gothic" w:hint="eastAsia"/>
                  </w:rPr>
                  <w:t>☐</w:t>
                </w:r>
              </w:sdtContent>
            </w:sdt>
            <w:r w:rsidR="00C22C88">
              <w:t>Firm Quote for Analysis</w:t>
            </w:r>
          </w:p>
          <w:p w:rsidR="00C22C88" w:rsidRPr="005633E5" w:rsidRDefault="008B21A2" w:rsidP="004363D0">
            <w:pPr>
              <w:rPr>
                <w:color w:val="0070C0"/>
              </w:rPr>
            </w:pPr>
            <w:sdt>
              <w:sdtPr>
                <w:id w:val="-58095995"/>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8B21A2"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8B21A2" w:rsidP="004363D0">
            <w:pPr>
              <w:rPr>
                <w:b/>
              </w:rPr>
            </w:pPr>
            <w:sdt>
              <w:sdtPr>
                <w:id w:val="-1390867403"/>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8B21A2"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8B21A2"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8B21A2"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8B21A2" w:rsidP="00B174A5">
            <w:pPr>
              <w:rPr>
                <w:rFonts w:cs="Arial"/>
              </w:rPr>
            </w:pPr>
            <w:sdt>
              <w:sdtPr>
                <w:id w:val="-1112436449"/>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rsidR="000B0E56" w:rsidRDefault="008B21A2"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8B21A2" w:rsidP="00B174A5">
            <w:pPr>
              <w:rPr>
                <w:rFonts w:cs="Arial"/>
              </w:rPr>
            </w:pPr>
            <w:sdt>
              <w:sdtPr>
                <w:id w:val="-1657831250"/>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0B0E56" w:rsidRPr="0086357D">
              <w:rPr>
                <w:rFonts w:cs="Arial"/>
              </w:rPr>
              <w:t>Shippers</w:t>
            </w:r>
          </w:p>
          <w:p w:rsidR="000B0E56" w:rsidRPr="0086357D" w:rsidRDefault="008B21A2"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8B21A2"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8B21A2"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8B21A2"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8B21A2" w:rsidP="00B174A5">
            <w:pPr>
              <w:rPr>
                <w:rFonts w:cs="Arial"/>
              </w:rPr>
            </w:pPr>
            <w:sdt>
              <w:sdtPr>
                <w:id w:val="1923596732"/>
                <w14:checkbox>
                  <w14:checked w14:val="1"/>
                  <w14:checkedState w14:val="2612" w14:font="MS Gothic"/>
                  <w14:uncheckedState w14:val="2610" w14:font="MS Gothic"/>
                </w14:checkbox>
              </w:sdtPr>
              <w:sdtEndPr/>
              <w:sdtContent>
                <w:r w:rsidR="00A06982">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4"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Pr="00520429" w:rsidRDefault="00184D94" w:rsidP="00B174A5">
            <w:pPr>
              <w:rPr>
                <w:rFonts w:eastAsia="MS Gothic" w:cs="Arial"/>
              </w:rPr>
            </w:pPr>
            <w:r w:rsidRPr="00520429">
              <w:rPr>
                <w:rFonts w:eastAsia="MS Gothic" w:cs="Arial"/>
              </w:rPr>
              <w:t>Service Area 5 – Metered Volume and Metered Quantity</w:t>
            </w:r>
            <w:r w:rsidR="008B21A2">
              <w:rPr>
                <w:rFonts w:eastAsia="MS Gothic" w:cs="Arial"/>
              </w:rPr>
              <w:t xml:space="preserve"> </w:t>
            </w:r>
            <w:bookmarkStart w:id="2" w:name="_GoBack"/>
            <w:bookmarkEnd w:id="2"/>
          </w:p>
        </w:tc>
      </w:tr>
      <w:tr w:rsidR="008E51D1" w:rsidTr="00C2627B">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Pr="00520429" w:rsidRDefault="00520429" w:rsidP="00B174A5">
            <w:pPr>
              <w:rPr>
                <w:rFonts w:eastAsia="MS Gothic" w:cs="Arial"/>
              </w:rPr>
            </w:pPr>
            <w:r w:rsidRPr="00520429">
              <w:rPr>
                <w:rFonts w:eastAsia="MS Gothic" w:cs="Arial"/>
              </w:rPr>
              <w:lastRenderedPageBreak/>
              <w:t xml:space="preserve">Change would not require a new service line or require change to </w:t>
            </w:r>
            <w:r w:rsidR="008F23E2" w:rsidRPr="00520429">
              <w:rPr>
                <w:rFonts w:eastAsia="MS Gothic" w:cs="Arial"/>
              </w:rPr>
              <w:t>existing</w:t>
            </w:r>
            <w:r w:rsidRPr="00520429">
              <w:rPr>
                <w:rFonts w:eastAsia="MS Gothic" w:cs="Arial"/>
              </w:rPr>
              <w:t xml:space="preserve"> service lines</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520429"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F551A1"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rsidTr="00C2627B">
        <w:tc>
          <w:tcPr>
            <w:tcW w:w="9747" w:type="dxa"/>
            <w:gridSpan w:val="2"/>
            <w:shd w:val="clear" w:color="auto" w:fill="auto"/>
          </w:tcPr>
          <w:p w:rsidR="00C15A8F" w:rsidRPr="00201A44" w:rsidRDefault="00520429" w:rsidP="00520429">
            <w:pPr>
              <w:spacing w:before="60" w:after="60"/>
              <w:rPr>
                <w:rFonts w:cs="Arial"/>
                <w:color w:val="0000FF"/>
              </w:rPr>
            </w:pPr>
            <w:r>
              <w:rPr>
                <w:rFonts w:cs="Arial"/>
                <w:color w:val="0000FF"/>
              </w:rPr>
              <w:t xml:space="preserve">Change to the meter read validation rules in UK Link, this would also require Shipper Users to amend the validation rules in their systems.  </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8B21A2" w:rsidP="00B174A5">
            <w:pPr>
              <w:rPr>
                <w:rFonts w:cs="Arial"/>
                <w:color w:val="0000FF"/>
              </w:rPr>
            </w:pPr>
            <w:r>
              <w:rPr>
                <w:rFonts w:cs="Arial"/>
                <w:color w:val="0000FF"/>
              </w:rPr>
              <w:t>None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520429" w:rsidP="004363D0">
            <w:pPr>
              <w:spacing w:before="0" w:after="0"/>
              <w:rPr>
                <w:b/>
              </w:rPr>
            </w:pPr>
            <w:r>
              <w:rPr>
                <w:b/>
              </w:rPr>
              <w:t>None</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520429" w:rsidP="00C2627B">
            <w:pPr>
              <w:rPr>
                <w:rFonts w:cs="Arial"/>
                <w:color w:val="0000FF"/>
              </w:rPr>
            </w:pPr>
            <w:r>
              <w:rPr>
                <w:rFonts w:cs="Arial"/>
                <w:color w:val="0000FF"/>
              </w:rPr>
              <w:t>Also require a change to the UNC Meter reading validation rule supplementary document</w:t>
            </w:r>
            <w:r w:rsidR="00963522">
              <w:rPr>
                <w:rFonts w:cs="Arial"/>
                <w:color w:val="0000FF"/>
              </w:rPr>
              <w:t xml:space="preserve"> required – needing UNCC approval</w:t>
            </w:r>
            <w:r>
              <w:rPr>
                <w:rFonts w:cs="Arial"/>
                <w:color w:val="0000FF"/>
              </w:rPr>
              <w:t>.</w:t>
            </w:r>
          </w:p>
        </w:tc>
      </w:tr>
      <w:bookmarkEnd w:id="0"/>
      <w:bookmarkEnd w:id="1"/>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8B21A2"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8B21A2"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xx,xxx</w:t>
            </w:r>
            <w:proofErr w:type="spell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8B21A2"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8B21A2"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8B21A2"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8B21A2"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8B21A2"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8B21A2"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8B21A2"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8B21A2"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lastRenderedPageBreak/>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8B21A2"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8B21A2"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8B21A2"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8B21A2"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proofErr w:type="spellStart"/>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8B21A2"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8B21A2"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8B21A2"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8B21A2"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5"/>
      <w:footerReference w:type="default" r:id="rId16"/>
      <w:type w:val="continuous"/>
      <w:pgSz w:w="11906" w:h="16838" w:code="9"/>
      <w:pgMar w:top="1276" w:right="1134" w:bottom="1135" w:left="1134" w:header="709" w:footer="546" w:gutter="0"/>
      <w:pgBorders>
        <w:bottom w:val="single" w:sz="4" w:space="1"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C9F942" w15:done="0"/>
  <w15:commentEx w15:paraId="3A6C11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AC" w:rsidRDefault="00B92DAC">
      <w:r>
        <w:separator/>
      </w:r>
    </w:p>
  </w:endnote>
  <w:endnote w:type="continuationSeparator" w:id="0">
    <w:p w:rsidR="00B92DAC" w:rsidRDefault="00B92DAC">
      <w:r>
        <w:continuationSeparator/>
      </w:r>
    </w:p>
  </w:endnote>
  <w:endnote w:type="continuationNotice" w:id="1">
    <w:p w:rsidR="00B92DAC" w:rsidRDefault="00B92D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5" w:rsidRDefault="004E5415"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8B21A2">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8B21A2">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AC" w:rsidRDefault="00B92DAC">
      <w:r>
        <w:separator/>
      </w:r>
    </w:p>
  </w:footnote>
  <w:footnote w:type="continuationSeparator" w:id="0">
    <w:p w:rsidR="00B92DAC" w:rsidRDefault="00B92DAC">
      <w:r>
        <w:continuationSeparator/>
      </w:r>
    </w:p>
  </w:footnote>
  <w:footnote w:type="continuationNotice" w:id="1">
    <w:p w:rsidR="00B92DAC" w:rsidRDefault="00B92DA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5" w:rsidRPr="00C2627B" w:rsidRDefault="004E5415">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7CBEB702" wp14:editId="3B7FC502">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0144C3"/>
    <w:multiLevelType w:val="hybridMultilevel"/>
    <w:tmpl w:val="4ED23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5">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40"/>
  </w:num>
  <w:num w:numId="8">
    <w:abstractNumId w:val="42"/>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4"/>
  </w:num>
  <w:num w:numId="27">
    <w:abstractNumId w:val="28"/>
  </w:num>
  <w:num w:numId="28">
    <w:abstractNumId w:val="22"/>
  </w:num>
  <w:num w:numId="29">
    <w:abstractNumId w:val="16"/>
  </w:num>
  <w:num w:numId="30">
    <w:abstractNumId w:val="19"/>
  </w:num>
  <w:num w:numId="31">
    <w:abstractNumId w:val="36"/>
  </w:num>
  <w:num w:numId="32">
    <w:abstractNumId w:val="45"/>
  </w:num>
  <w:num w:numId="33">
    <w:abstractNumId w:val="15"/>
  </w:num>
  <w:num w:numId="34">
    <w:abstractNumId w:val="41"/>
  </w:num>
  <w:num w:numId="35">
    <w:abstractNumId w:val="32"/>
  </w:num>
  <w:num w:numId="36">
    <w:abstractNumId w:val="30"/>
  </w:num>
  <w:num w:numId="37">
    <w:abstractNumId w:val="46"/>
  </w:num>
  <w:num w:numId="38">
    <w:abstractNumId w:val="43"/>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 w:numId="4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llin, Alex">
    <w15:presenceInfo w15:providerId="None" w15:userId="Cullin, 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C7574"/>
    <w:rsid w:val="000D211A"/>
    <w:rsid w:val="000E6703"/>
    <w:rsid w:val="000F0E97"/>
    <w:rsid w:val="000F5554"/>
    <w:rsid w:val="00121A50"/>
    <w:rsid w:val="00126D26"/>
    <w:rsid w:val="00143CAC"/>
    <w:rsid w:val="00171578"/>
    <w:rsid w:val="001772D4"/>
    <w:rsid w:val="00181592"/>
    <w:rsid w:val="00184D94"/>
    <w:rsid w:val="001A3D51"/>
    <w:rsid w:val="001C1450"/>
    <w:rsid w:val="001C3DB8"/>
    <w:rsid w:val="001C4A3A"/>
    <w:rsid w:val="001C4E99"/>
    <w:rsid w:val="001D281A"/>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1D18"/>
    <w:rsid w:val="003554EA"/>
    <w:rsid w:val="00364BE4"/>
    <w:rsid w:val="00370B7D"/>
    <w:rsid w:val="003720A1"/>
    <w:rsid w:val="003750D2"/>
    <w:rsid w:val="00375123"/>
    <w:rsid w:val="00376B42"/>
    <w:rsid w:val="0037736A"/>
    <w:rsid w:val="003863E4"/>
    <w:rsid w:val="00390528"/>
    <w:rsid w:val="003928F7"/>
    <w:rsid w:val="003A134A"/>
    <w:rsid w:val="003A2033"/>
    <w:rsid w:val="003A2387"/>
    <w:rsid w:val="003A28D4"/>
    <w:rsid w:val="003B3BE9"/>
    <w:rsid w:val="003B6EDF"/>
    <w:rsid w:val="003D3FB0"/>
    <w:rsid w:val="003D603D"/>
    <w:rsid w:val="003D6204"/>
    <w:rsid w:val="003D6BF6"/>
    <w:rsid w:val="003E243C"/>
    <w:rsid w:val="003E62C3"/>
    <w:rsid w:val="00404845"/>
    <w:rsid w:val="00407388"/>
    <w:rsid w:val="004129E3"/>
    <w:rsid w:val="00413D29"/>
    <w:rsid w:val="00420160"/>
    <w:rsid w:val="004204A5"/>
    <w:rsid w:val="00422446"/>
    <w:rsid w:val="00424CF1"/>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3932"/>
    <w:rsid w:val="004B40B2"/>
    <w:rsid w:val="004B76EC"/>
    <w:rsid w:val="004D7CE0"/>
    <w:rsid w:val="004E5415"/>
    <w:rsid w:val="004E5FE5"/>
    <w:rsid w:val="00505969"/>
    <w:rsid w:val="0052042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66A60"/>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0CE6"/>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8563B"/>
    <w:rsid w:val="008905F8"/>
    <w:rsid w:val="008B21A2"/>
    <w:rsid w:val="008B567D"/>
    <w:rsid w:val="008C3248"/>
    <w:rsid w:val="008D2AE5"/>
    <w:rsid w:val="008E45FF"/>
    <w:rsid w:val="008E51D1"/>
    <w:rsid w:val="008F23E2"/>
    <w:rsid w:val="00901917"/>
    <w:rsid w:val="00912AA0"/>
    <w:rsid w:val="00922FDF"/>
    <w:rsid w:val="0092424D"/>
    <w:rsid w:val="0092674F"/>
    <w:rsid w:val="009379E1"/>
    <w:rsid w:val="00942332"/>
    <w:rsid w:val="00950E7D"/>
    <w:rsid w:val="00963522"/>
    <w:rsid w:val="009843B9"/>
    <w:rsid w:val="00987175"/>
    <w:rsid w:val="009A5FF2"/>
    <w:rsid w:val="009A63CE"/>
    <w:rsid w:val="009B4625"/>
    <w:rsid w:val="009C1A5E"/>
    <w:rsid w:val="009D109D"/>
    <w:rsid w:val="009E710C"/>
    <w:rsid w:val="00A02E74"/>
    <w:rsid w:val="00A06982"/>
    <w:rsid w:val="00A06D85"/>
    <w:rsid w:val="00A1373D"/>
    <w:rsid w:val="00A1661C"/>
    <w:rsid w:val="00A20898"/>
    <w:rsid w:val="00A3164A"/>
    <w:rsid w:val="00A40C2E"/>
    <w:rsid w:val="00A56D06"/>
    <w:rsid w:val="00A63F40"/>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92DAC"/>
    <w:rsid w:val="00BA5A45"/>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589B"/>
    <w:rsid w:val="00C869A2"/>
    <w:rsid w:val="00C964DC"/>
    <w:rsid w:val="00CA0EA1"/>
    <w:rsid w:val="00CA3368"/>
    <w:rsid w:val="00CA5B96"/>
    <w:rsid w:val="00CB0C1B"/>
    <w:rsid w:val="00CB48FB"/>
    <w:rsid w:val="00CB7120"/>
    <w:rsid w:val="00CC59D1"/>
    <w:rsid w:val="00CD0F3C"/>
    <w:rsid w:val="00CD26C1"/>
    <w:rsid w:val="00CD4949"/>
    <w:rsid w:val="00CD628A"/>
    <w:rsid w:val="00CE1298"/>
    <w:rsid w:val="00CE3F65"/>
    <w:rsid w:val="00D01653"/>
    <w:rsid w:val="00D144CB"/>
    <w:rsid w:val="00D16118"/>
    <w:rsid w:val="00D20BF4"/>
    <w:rsid w:val="00D22E6A"/>
    <w:rsid w:val="00D32FAC"/>
    <w:rsid w:val="00D371E2"/>
    <w:rsid w:val="00D459F0"/>
    <w:rsid w:val="00D46890"/>
    <w:rsid w:val="00D51C83"/>
    <w:rsid w:val="00D54563"/>
    <w:rsid w:val="00D568FF"/>
    <w:rsid w:val="00D57155"/>
    <w:rsid w:val="00D5722A"/>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1A1"/>
    <w:rsid w:val="00F55C31"/>
    <w:rsid w:val="00F941E1"/>
    <w:rsid w:val="00F95FA4"/>
    <w:rsid w:val="00F96A16"/>
    <w:rsid w:val="00FA37AB"/>
    <w:rsid w:val="00FB6965"/>
    <w:rsid w:val="00FC0EAD"/>
    <w:rsid w:val="00FC6595"/>
    <w:rsid w:val="00FC7184"/>
    <w:rsid w:val="00FD3B2D"/>
    <w:rsid w:val="00FD3F02"/>
    <w:rsid w:val="00FD5273"/>
    <w:rsid w:val="00FD54C6"/>
    <w:rsid w:val="00FD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w:semiHidden="0"/>
    <w:lsdException w:name="List 2" w:semiHidden="0" w:unhideWhenUsed="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w:semiHidden="0"/>
    <w:lsdException w:name="List 2" w:semiHidden="0" w:unhideWhenUsed="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3849">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irsty.Dudley@eonenergy.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oserve.com/wp-content/uploads/BUDGET-AND-CHARGING-METHODOLOGY.pdf"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635BF"/>
    <w:rsid w:val="00084B63"/>
    <w:rsid w:val="00192166"/>
    <w:rsid w:val="00321D48"/>
    <w:rsid w:val="004022C3"/>
    <w:rsid w:val="00475E12"/>
    <w:rsid w:val="004C5568"/>
    <w:rsid w:val="0051292E"/>
    <w:rsid w:val="00516387"/>
    <w:rsid w:val="005E1276"/>
    <w:rsid w:val="00656F81"/>
    <w:rsid w:val="00812FD2"/>
    <w:rsid w:val="00832960"/>
    <w:rsid w:val="008A6EE4"/>
    <w:rsid w:val="008E62AF"/>
    <w:rsid w:val="00945E6A"/>
    <w:rsid w:val="00A16CB0"/>
    <w:rsid w:val="00A43329"/>
    <w:rsid w:val="00C1788D"/>
    <w:rsid w:val="00E64E39"/>
    <w:rsid w:val="00EA0EB7"/>
    <w:rsid w:val="00F34AA8"/>
    <w:rsid w:val="00F632D7"/>
    <w:rsid w:val="00F9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http://purl.org/dc/terms/"/>
    <ds:schemaRef ds:uri="http://schemas.microsoft.com/office/infopath/2007/PartnerControls"/>
    <ds:schemaRef ds:uri="http://schemas.microsoft.com/office/2006/documentManagement/types"/>
    <ds:schemaRef ds:uri="c0f12137-e3ce-40fc-803f-ae76a605d3ee"/>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B9F8B657-BB6C-488B-9C60-62BD389F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24</Pages>
  <Words>3586</Words>
  <Characters>20132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2018-01-30T13:31:00Z</dcterms:created>
  <dcterms:modified xsi:type="dcterms:W3CDTF">2018-01-30T13:31:00Z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1922179765</vt:i4>
  </property>
  <property fmtid="{D5CDD505-2E9C-101B-9397-08002B2CF9AE}" pid="4" name="_EmailSubject">
    <vt:lpwstr>Publications for ChMC</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8" name="_PreviousAdHocReviewCycleID">
    <vt:i4>-1755392216</vt:i4>
  </property>
</Properties>
</file>