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49D77" w14:textId="77777777" w:rsidR="00FF1C5D" w:rsidRDefault="00FF1C5D" w:rsidP="002F2C81">
      <w:pPr>
        <w:jc w:val="center"/>
        <w:rPr>
          <w:sz w:val="28"/>
          <w:szCs w:val="28"/>
        </w:rPr>
      </w:pPr>
      <w:bookmarkStart w:id="0" w:name="_GoBack"/>
      <w:bookmarkEnd w:id="0"/>
    </w:p>
    <w:p w14:paraId="0D79C077" w14:textId="77777777" w:rsidR="00B929D7" w:rsidRPr="00B76659" w:rsidRDefault="0028501C" w:rsidP="0028501C">
      <w:pPr>
        <w:pStyle w:val="Default"/>
        <w:jc w:val="center"/>
        <w:rPr>
          <w:b/>
          <w:sz w:val="32"/>
          <w:szCs w:val="32"/>
        </w:rPr>
      </w:pPr>
      <w:r w:rsidRPr="00B76659">
        <w:rPr>
          <w:b/>
          <w:sz w:val="32"/>
          <w:szCs w:val="32"/>
        </w:rPr>
        <w:t xml:space="preserve">MIS </w:t>
      </w:r>
      <w:r w:rsidR="00B929D7" w:rsidRPr="00B76659">
        <w:rPr>
          <w:b/>
          <w:sz w:val="32"/>
          <w:szCs w:val="32"/>
        </w:rPr>
        <w:t>Programme Board (MPB</w:t>
      </w:r>
      <w:r w:rsidR="00432F10" w:rsidRPr="00B76659">
        <w:rPr>
          <w:b/>
          <w:sz w:val="32"/>
          <w:szCs w:val="32"/>
        </w:rPr>
        <w:t xml:space="preserve">) </w:t>
      </w:r>
    </w:p>
    <w:p w14:paraId="12D94DCE" w14:textId="77777777" w:rsidR="003C0470" w:rsidRPr="00B76659" w:rsidRDefault="003C0470" w:rsidP="0028501C">
      <w:pPr>
        <w:pStyle w:val="Default"/>
        <w:jc w:val="center"/>
        <w:rPr>
          <w:b/>
          <w:sz w:val="32"/>
          <w:szCs w:val="32"/>
        </w:rPr>
      </w:pPr>
    </w:p>
    <w:p w14:paraId="358A90A2" w14:textId="77777777" w:rsidR="0028501C" w:rsidRPr="00B76659" w:rsidRDefault="0028501C" w:rsidP="0028501C">
      <w:pPr>
        <w:pStyle w:val="Default"/>
        <w:jc w:val="center"/>
        <w:rPr>
          <w:b/>
          <w:sz w:val="32"/>
          <w:szCs w:val="32"/>
        </w:rPr>
      </w:pPr>
      <w:r w:rsidRPr="00B76659">
        <w:rPr>
          <w:b/>
          <w:sz w:val="32"/>
          <w:szCs w:val="32"/>
        </w:rPr>
        <w:t xml:space="preserve">Terms of Reference </w:t>
      </w:r>
      <w:r w:rsidR="00432F10" w:rsidRPr="00B76659">
        <w:rPr>
          <w:b/>
          <w:sz w:val="32"/>
          <w:szCs w:val="32"/>
        </w:rPr>
        <w:t>(</w:t>
      </w:r>
      <w:r w:rsidRPr="00B76659">
        <w:rPr>
          <w:b/>
          <w:sz w:val="32"/>
          <w:szCs w:val="32"/>
        </w:rPr>
        <w:t>v0.</w:t>
      </w:r>
      <w:r w:rsidR="00B929D7" w:rsidRPr="00B76659">
        <w:rPr>
          <w:b/>
          <w:sz w:val="32"/>
          <w:szCs w:val="32"/>
        </w:rPr>
        <w:t>1</w:t>
      </w:r>
      <w:r w:rsidR="00432F10" w:rsidRPr="00B76659">
        <w:rPr>
          <w:b/>
          <w:sz w:val="32"/>
          <w:szCs w:val="32"/>
        </w:rPr>
        <w:t>)</w:t>
      </w:r>
    </w:p>
    <w:p w14:paraId="1FDB648E" w14:textId="77777777" w:rsidR="0028501C" w:rsidRPr="003C0470" w:rsidRDefault="0028501C" w:rsidP="0028501C">
      <w:pPr>
        <w:pStyle w:val="Default"/>
        <w:jc w:val="center"/>
        <w:rPr>
          <w:b/>
          <w:sz w:val="22"/>
          <w:szCs w:val="22"/>
        </w:rPr>
      </w:pPr>
    </w:p>
    <w:p w14:paraId="3EAD5CEC" w14:textId="77777777" w:rsidR="0028501C" w:rsidRDefault="0028501C" w:rsidP="0028501C">
      <w:pPr>
        <w:pStyle w:val="Default"/>
        <w:rPr>
          <w:sz w:val="22"/>
          <w:szCs w:val="22"/>
        </w:rPr>
      </w:pPr>
    </w:p>
    <w:tbl>
      <w:tblPr>
        <w:tblStyle w:val="TableGrid"/>
        <w:tblW w:w="8806" w:type="dxa"/>
        <w:tblLook w:val="04A0" w:firstRow="1" w:lastRow="0" w:firstColumn="1" w:lastColumn="0" w:noHBand="0" w:noVBand="1"/>
      </w:tblPr>
      <w:tblGrid>
        <w:gridCol w:w="950"/>
        <w:gridCol w:w="1030"/>
        <w:gridCol w:w="1701"/>
        <w:gridCol w:w="3402"/>
        <w:gridCol w:w="1723"/>
      </w:tblGrid>
      <w:tr w:rsidR="003C3A01" w14:paraId="4E920746" w14:textId="77777777" w:rsidTr="00174D03">
        <w:trPr>
          <w:trHeight w:val="247"/>
        </w:trPr>
        <w:tc>
          <w:tcPr>
            <w:tcW w:w="950" w:type="dxa"/>
            <w:vAlign w:val="center"/>
          </w:tcPr>
          <w:p w14:paraId="1BD2B290" w14:textId="77777777" w:rsidR="003C3A01" w:rsidRPr="00B2605A" w:rsidRDefault="003C3A01" w:rsidP="00174D03">
            <w:pPr>
              <w:jc w:val="center"/>
              <w:rPr>
                <w:b/>
                <w:sz w:val="20"/>
              </w:rPr>
            </w:pPr>
            <w:r w:rsidRPr="00B2605A">
              <w:rPr>
                <w:b/>
                <w:sz w:val="20"/>
              </w:rPr>
              <w:t>Version</w:t>
            </w:r>
          </w:p>
        </w:tc>
        <w:tc>
          <w:tcPr>
            <w:tcW w:w="1030" w:type="dxa"/>
            <w:vAlign w:val="center"/>
          </w:tcPr>
          <w:p w14:paraId="7D18F635" w14:textId="77777777" w:rsidR="003C3A01" w:rsidRPr="00B2605A" w:rsidRDefault="003C3A01" w:rsidP="00174D03">
            <w:pPr>
              <w:jc w:val="center"/>
              <w:rPr>
                <w:b/>
                <w:sz w:val="20"/>
              </w:rPr>
            </w:pPr>
            <w:r w:rsidRPr="00B2605A">
              <w:rPr>
                <w:b/>
                <w:sz w:val="20"/>
              </w:rPr>
              <w:t>Status</w:t>
            </w:r>
          </w:p>
        </w:tc>
        <w:tc>
          <w:tcPr>
            <w:tcW w:w="1701" w:type="dxa"/>
            <w:vAlign w:val="center"/>
          </w:tcPr>
          <w:p w14:paraId="41AA3C6D" w14:textId="77777777" w:rsidR="003C3A01" w:rsidRPr="00B2605A" w:rsidRDefault="003C3A01" w:rsidP="00174D03">
            <w:pPr>
              <w:jc w:val="center"/>
              <w:rPr>
                <w:b/>
                <w:sz w:val="20"/>
              </w:rPr>
            </w:pPr>
            <w:r w:rsidRPr="00B2605A">
              <w:rPr>
                <w:b/>
                <w:sz w:val="20"/>
              </w:rPr>
              <w:t>Date Updated</w:t>
            </w:r>
          </w:p>
        </w:tc>
        <w:tc>
          <w:tcPr>
            <w:tcW w:w="3402" w:type="dxa"/>
            <w:vAlign w:val="center"/>
          </w:tcPr>
          <w:p w14:paraId="3ADCEE1A" w14:textId="77777777" w:rsidR="003C3A01" w:rsidRPr="00B2605A" w:rsidRDefault="003C3A01" w:rsidP="00174D03">
            <w:pPr>
              <w:jc w:val="center"/>
              <w:rPr>
                <w:b/>
                <w:sz w:val="20"/>
              </w:rPr>
            </w:pPr>
            <w:r w:rsidRPr="00B2605A">
              <w:rPr>
                <w:b/>
                <w:sz w:val="20"/>
              </w:rPr>
              <w:t>Reason for Change</w:t>
            </w:r>
          </w:p>
        </w:tc>
        <w:tc>
          <w:tcPr>
            <w:tcW w:w="1723" w:type="dxa"/>
            <w:vAlign w:val="center"/>
          </w:tcPr>
          <w:p w14:paraId="48A72061" w14:textId="77777777" w:rsidR="003C3A01" w:rsidRPr="00B2605A" w:rsidRDefault="003C3A01" w:rsidP="00174D03">
            <w:pPr>
              <w:jc w:val="center"/>
              <w:rPr>
                <w:b/>
                <w:sz w:val="20"/>
              </w:rPr>
            </w:pPr>
            <w:r w:rsidRPr="00B2605A">
              <w:rPr>
                <w:b/>
                <w:sz w:val="20"/>
              </w:rPr>
              <w:t>Approval</w:t>
            </w:r>
          </w:p>
        </w:tc>
      </w:tr>
      <w:tr w:rsidR="003C3A01" w14:paraId="70839DD8" w14:textId="77777777" w:rsidTr="00174D03">
        <w:trPr>
          <w:trHeight w:val="265"/>
        </w:trPr>
        <w:tc>
          <w:tcPr>
            <w:tcW w:w="950" w:type="dxa"/>
            <w:vAlign w:val="center"/>
          </w:tcPr>
          <w:p w14:paraId="532DE0B2" w14:textId="77777777" w:rsidR="003C3A01" w:rsidRPr="00B2605A" w:rsidRDefault="003C3A01" w:rsidP="00174D03">
            <w:pPr>
              <w:jc w:val="center"/>
              <w:rPr>
                <w:sz w:val="20"/>
              </w:rPr>
            </w:pPr>
            <w:r w:rsidRPr="00B2605A">
              <w:rPr>
                <w:sz w:val="20"/>
              </w:rPr>
              <w:t>0.</w:t>
            </w:r>
            <w:r>
              <w:rPr>
                <w:sz w:val="20"/>
              </w:rPr>
              <w:t>1</w:t>
            </w:r>
          </w:p>
        </w:tc>
        <w:tc>
          <w:tcPr>
            <w:tcW w:w="1030" w:type="dxa"/>
            <w:vAlign w:val="center"/>
          </w:tcPr>
          <w:p w14:paraId="2211E575" w14:textId="77777777" w:rsidR="003C3A01" w:rsidRPr="00B2605A" w:rsidRDefault="003C3A01" w:rsidP="00174D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Draft</w:t>
            </w:r>
          </w:p>
        </w:tc>
        <w:tc>
          <w:tcPr>
            <w:tcW w:w="1701" w:type="dxa"/>
            <w:vAlign w:val="center"/>
          </w:tcPr>
          <w:p w14:paraId="239C7659" w14:textId="77777777" w:rsidR="003C3A01" w:rsidRPr="00B2605A" w:rsidRDefault="003C3A01" w:rsidP="00174D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 Jan 2018 </w:t>
            </w:r>
          </w:p>
        </w:tc>
        <w:tc>
          <w:tcPr>
            <w:tcW w:w="3402" w:type="dxa"/>
            <w:vAlign w:val="center"/>
          </w:tcPr>
          <w:p w14:paraId="4474FAB1" w14:textId="77777777" w:rsidR="003C3A01" w:rsidRPr="00B2605A" w:rsidRDefault="003C3A01" w:rsidP="00174D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Created</w:t>
            </w:r>
          </w:p>
        </w:tc>
        <w:tc>
          <w:tcPr>
            <w:tcW w:w="1723" w:type="dxa"/>
            <w:vAlign w:val="center"/>
          </w:tcPr>
          <w:p w14:paraId="56C22148" w14:textId="77777777" w:rsidR="003C3A01" w:rsidRDefault="003C3A01" w:rsidP="00174D03">
            <w:pPr>
              <w:jc w:val="center"/>
              <w:rPr>
                <w:sz w:val="20"/>
              </w:rPr>
            </w:pPr>
          </w:p>
        </w:tc>
      </w:tr>
      <w:tr w:rsidR="003C3A01" w14:paraId="42934A88" w14:textId="77777777" w:rsidTr="00174D03">
        <w:trPr>
          <w:trHeight w:val="265"/>
        </w:trPr>
        <w:tc>
          <w:tcPr>
            <w:tcW w:w="950" w:type="dxa"/>
            <w:vAlign w:val="center"/>
          </w:tcPr>
          <w:p w14:paraId="044B6DBF" w14:textId="77777777" w:rsidR="003C3A01" w:rsidRPr="00B2605A" w:rsidRDefault="003C3A01" w:rsidP="00174D03">
            <w:pPr>
              <w:rPr>
                <w:sz w:val="20"/>
              </w:rPr>
            </w:pPr>
          </w:p>
        </w:tc>
        <w:tc>
          <w:tcPr>
            <w:tcW w:w="1030" w:type="dxa"/>
            <w:vAlign w:val="center"/>
          </w:tcPr>
          <w:p w14:paraId="5CBDD8AE" w14:textId="77777777" w:rsidR="003C3A01" w:rsidRDefault="003C3A01" w:rsidP="00174D0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A2E7010" w14:textId="77777777" w:rsidR="003C3A01" w:rsidRPr="00B2605A" w:rsidRDefault="003C3A01" w:rsidP="00174D03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14:paraId="628E0262" w14:textId="77777777" w:rsidR="003C3A01" w:rsidRDefault="003C3A01" w:rsidP="00174D03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14:paraId="7CFE4B14" w14:textId="77777777" w:rsidR="003C3A01" w:rsidRDefault="003C3A01" w:rsidP="00174D03">
            <w:pPr>
              <w:jc w:val="center"/>
              <w:rPr>
                <w:sz w:val="20"/>
              </w:rPr>
            </w:pPr>
          </w:p>
        </w:tc>
      </w:tr>
    </w:tbl>
    <w:p w14:paraId="279F1E72" w14:textId="77777777" w:rsidR="003C3A01" w:rsidRDefault="003C3A01" w:rsidP="0028501C">
      <w:pPr>
        <w:pStyle w:val="Default"/>
        <w:rPr>
          <w:sz w:val="22"/>
          <w:szCs w:val="22"/>
        </w:rPr>
      </w:pPr>
    </w:p>
    <w:p w14:paraId="1E5FC97E" w14:textId="77777777" w:rsidR="0028501C" w:rsidRPr="003C0470" w:rsidRDefault="0028501C" w:rsidP="0028501C">
      <w:pPr>
        <w:pStyle w:val="Default"/>
        <w:rPr>
          <w:sz w:val="22"/>
          <w:szCs w:val="22"/>
        </w:rPr>
      </w:pPr>
    </w:p>
    <w:p w14:paraId="5BC1A497" w14:textId="77777777" w:rsidR="0028501C" w:rsidRPr="00DF697E" w:rsidRDefault="0028501C" w:rsidP="003C0470">
      <w:pPr>
        <w:pStyle w:val="Default"/>
        <w:numPr>
          <w:ilvl w:val="0"/>
          <w:numId w:val="16"/>
        </w:numPr>
        <w:rPr>
          <w:b/>
          <w:bCs/>
        </w:rPr>
      </w:pPr>
      <w:r w:rsidRPr="00DF697E">
        <w:rPr>
          <w:b/>
          <w:bCs/>
        </w:rPr>
        <w:t xml:space="preserve">Establishment </w:t>
      </w:r>
    </w:p>
    <w:p w14:paraId="2ED40914" w14:textId="77777777" w:rsidR="0028501C" w:rsidRPr="00DF697E" w:rsidRDefault="0028501C" w:rsidP="0028501C">
      <w:pPr>
        <w:pStyle w:val="Default"/>
        <w:rPr>
          <w:sz w:val="22"/>
          <w:szCs w:val="22"/>
        </w:rPr>
      </w:pPr>
    </w:p>
    <w:p w14:paraId="176CFE0A" w14:textId="77777777" w:rsidR="0028501C" w:rsidRPr="00DF697E" w:rsidRDefault="0028501C" w:rsidP="0028501C">
      <w:pPr>
        <w:pStyle w:val="Default"/>
        <w:rPr>
          <w:sz w:val="22"/>
          <w:szCs w:val="22"/>
        </w:rPr>
      </w:pPr>
      <w:r w:rsidRPr="00DF697E">
        <w:rPr>
          <w:sz w:val="22"/>
          <w:szCs w:val="22"/>
        </w:rPr>
        <w:t>The M</w:t>
      </w:r>
      <w:r w:rsidR="00B929D7" w:rsidRPr="00DF697E">
        <w:rPr>
          <w:sz w:val="22"/>
          <w:szCs w:val="22"/>
        </w:rPr>
        <w:t xml:space="preserve">PB </w:t>
      </w:r>
      <w:r w:rsidRPr="00DF697E">
        <w:rPr>
          <w:sz w:val="22"/>
          <w:szCs w:val="22"/>
        </w:rPr>
        <w:t>is a joint industry group convened under the auspices of the Master Registration Agreement (MRA) and the Uniform Network Code (UNC) via the Data Services Contract (DSC).</w:t>
      </w:r>
      <w:r w:rsidR="00B929D7" w:rsidRPr="00DF697E">
        <w:rPr>
          <w:sz w:val="22"/>
          <w:szCs w:val="22"/>
        </w:rPr>
        <w:t xml:space="preserve">  Programme structure set out in Appendix A.</w:t>
      </w:r>
    </w:p>
    <w:p w14:paraId="4B5A7AD5" w14:textId="77777777" w:rsidR="0028501C" w:rsidRPr="00DF697E" w:rsidRDefault="0028501C" w:rsidP="0028501C">
      <w:pPr>
        <w:pStyle w:val="Default"/>
        <w:rPr>
          <w:sz w:val="22"/>
          <w:szCs w:val="22"/>
        </w:rPr>
      </w:pPr>
    </w:p>
    <w:p w14:paraId="692715DE" w14:textId="77777777" w:rsidR="0028501C" w:rsidRPr="00DF697E" w:rsidRDefault="0028501C" w:rsidP="003C0470">
      <w:pPr>
        <w:pStyle w:val="Default"/>
        <w:numPr>
          <w:ilvl w:val="0"/>
          <w:numId w:val="16"/>
        </w:numPr>
        <w:rPr>
          <w:b/>
          <w:bCs/>
        </w:rPr>
      </w:pPr>
      <w:r w:rsidRPr="00DF697E">
        <w:rPr>
          <w:b/>
          <w:bCs/>
        </w:rPr>
        <w:t xml:space="preserve">Scope </w:t>
      </w:r>
    </w:p>
    <w:p w14:paraId="1B7ED359" w14:textId="77777777" w:rsidR="0028501C" w:rsidRPr="00DF697E" w:rsidRDefault="0028501C" w:rsidP="0028501C">
      <w:pPr>
        <w:pStyle w:val="Default"/>
        <w:rPr>
          <w:sz w:val="22"/>
          <w:szCs w:val="22"/>
        </w:rPr>
      </w:pPr>
    </w:p>
    <w:p w14:paraId="6B7EADCF" w14:textId="77777777" w:rsidR="0028501C" w:rsidRPr="00DF697E" w:rsidRDefault="00B929D7" w:rsidP="0028501C">
      <w:pPr>
        <w:pStyle w:val="Default"/>
        <w:rPr>
          <w:sz w:val="22"/>
          <w:szCs w:val="22"/>
        </w:rPr>
      </w:pPr>
      <w:r w:rsidRPr="00DF697E">
        <w:rPr>
          <w:sz w:val="22"/>
          <w:szCs w:val="22"/>
        </w:rPr>
        <w:t>MPB</w:t>
      </w:r>
      <w:r w:rsidR="0028501C" w:rsidRPr="00DF697E">
        <w:rPr>
          <w:sz w:val="22"/>
          <w:szCs w:val="22"/>
        </w:rPr>
        <w:t xml:space="preserve"> shall </w:t>
      </w:r>
      <w:r w:rsidRPr="00DF697E">
        <w:rPr>
          <w:sz w:val="22"/>
          <w:szCs w:val="22"/>
        </w:rPr>
        <w:t>take recommendations made by the Joint MIS Programme Board</w:t>
      </w:r>
      <w:r w:rsidR="003C3A01" w:rsidRPr="00DF697E">
        <w:rPr>
          <w:sz w:val="22"/>
          <w:szCs w:val="22"/>
        </w:rPr>
        <w:t>.</w:t>
      </w:r>
      <w:r w:rsidRPr="00DF697E">
        <w:rPr>
          <w:sz w:val="22"/>
          <w:szCs w:val="22"/>
        </w:rPr>
        <w:t xml:space="preserve"> </w:t>
      </w:r>
    </w:p>
    <w:p w14:paraId="75DECC0B" w14:textId="77777777" w:rsidR="003C3A01" w:rsidRPr="00DF697E" w:rsidRDefault="003C3A01" w:rsidP="0028501C">
      <w:pPr>
        <w:pStyle w:val="Default"/>
        <w:rPr>
          <w:sz w:val="22"/>
          <w:szCs w:val="22"/>
        </w:rPr>
      </w:pPr>
    </w:p>
    <w:p w14:paraId="7F46A6EC" w14:textId="77777777" w:rsidR="00BC2419" w:rsidRDefault="0028501C" w:rsidP="0028501C">
      <w:pPr>
        <w:pStyle w:val="Default"/>
        <w:rPr>
          <w:sz w:val="22"/>
          <w:szCs w:val="22"/>
        </w:rPr>
      </w:pPr>
      <w:r w:rsidRPr="00DF697E">
        <w:rPr>
          <w:sz w:val="22"/>
          <w:szCs w:val="22"/>
        </w:rPr>
        <w:t xml:space="preserve">JMDG </w:t>
      </w:r>
      <w:r w:rsidR="00B929D7" w:rsidRPr="00DF697E">
        <w:rPr>
          <w:sz w:val="22"/>
          <w:szCs w:val="22"/>
        </w:rPr>
        <w:t xml:space="preserve">will submit </w:t>
      </w:r>
      <w:r w:rsidRPr="00DF697E">
        <w:rPr>
          <w:sz w:val="22"/>
          <w:szCs w:val="22"/>
        </w:rPr>
        <w:t xml:space="preserve">reports and updates </w:t>
      </w:r>
      <w:r w:rsidR="00B929D7" w:rsidRPr="00DF697E">
        <w:rPr>
          <w:sz w:val="22"/>
          <w:szCs w:val="22"/>
        </w:rPr>
        <w:t>to the</w:t>
      </w:r>
      <w:r w:rsidRPr="00DF697E">
        <w:rPr>
          <w:sz w:val="22"/>
          <w:szCs w:val="22"/>
        </w:rPr>
        <w:t xml:space="preserve"> </w:t>
      </w:r>
      <w:r w:rsidR="00BC2419">
        <w:rPr>
          <w:sz w:val="22"/>
          <w:szCs w:val="22"/>
        </w:rPr>
        <w:t>MPB.</w:t>
      </w:r>
    </w:p>
    <w:p w14:paraId="547E9F59" w14:textId="77777777" w:rsidR="0028501C" w:rsidRPr="00DF697E" w:rsidRDefault="0028501C" w:rsidP="0028501C">
      <w:pPr>
        <w:pStyle w:val="Default"/>
        <w:rPr>
          <w:sz w:val="22"/>
          <w:szCs w:val="22"/>
        </w:rPr>
      </w:pPr>
      <w:r w:rsidRPr="00DF697E">
        <w:rPr>
          <w:sz w:val="22"/>
          <w:szCs w:val="22"/>
        </w:rPr>
        <w:t xml:space="preserve"> </w:t>
      </w:r>
    </w:p>
    <w:p w14:paraId="18B3FDAA" w14:textId="77777777" w:rsidR="00B929D7" w:rsidRPr="00DF697E" w:rsidRDefault="00B929D7" w:rsidP="0028501C">
      <w:pPr>
        <w:pStyle w:val="Default"/>
        <w:rPr>
          <w:sz w:val="22"/>
          <w:szCs w:val="22"/>
        </w:rPr>
      </w:pPr>
      <w:r w:rsidRPr="00DF697E">
        <w:rPr>
          <w:sz w:val="22"/>
          <w:szCs w:val="22"/>
        </w:rPr>
        <w:t xml:space="preserve">MPB will </w:t>
      </w:r>
      <w:r w:rsidR="003C3A01" w:rsidRPr="00DF697E">
        <w:rPr>
          <w:sz w:val="22"/>
          <w:szCs w:val="22"/>
        </w:rPr>
        <w:t xml:space="preserve">consider </w:t>
      </w:r>
      <w:r w:rsidR="0028501C" w:rsidRPr="00DF697E">
        <w:rPr>
          <w:sz w:val="22"/>
          <w:szCs w:val="22"/>
        </w:rPr>
        <w:t>JMDG identif</w:t>
      </w:r>
      <w:r w:rsidRPr="00DF697E">
        <w:rPr>
          <w:sz w:val="22"/>
          <w:szCs w:val="22"/>
        </w:rPr>
        <w:t>ied</w:t>
      </w:r>
      <w:r w:rsidR="0028501C" w:rsidRPr="00DF697E">
        <w:rPr>
          <w:sz w:val="22"/>
          <w:szCs w:val="22"/>
        </w:rPr>
        <w:t xml:space="preserve"> changes to MRA and or UNC/DSC governance and other industry code arrangements </w:t>
      </w:r>
      <w:r w:rsidR="003C3A01" w:rsidRPr="00DF697E">
        <w:rPr>
          <w:sz w:val="22"/>
          <w:szCs w:val="22"/>
        </w:rPr>
        <w:t xml:space="preserve">as </w:t>
      </w:r>
      <w:r w:rsidR="0028501C" w:rsidRPr="00DF697E">
        <w:rPr>
          <w:sz w:val="22"/>
          <w:szCs w:val="22"/>
        </w:rPr>
        <w:t>necessary to deliver the development and evolution of the MIS.</w:t>
      </w:r>
    </w:p>
    <w:p w14:paraId="4C171E8D" w14:textId="77777777" w:rsidR="00B929D7" w:rsidRPr="00DF697E" w:rsidRDefault="00B929D7" w:rsidP="0028501C">
      <w:pPr>
        <w:pStyle w:val="Default"/>
        <w:rPr>
          <w:sz w:val="22"/>
          <w:szCs w:val="22"/>
        </w:rPr>
      </w:pPr>
    </w:p>
    <w:p w14:paraId="2DFBDF1D" w14:textId="77777777" w:rsidR="00126B02" w:rsidRPr="00DF697E" w:rsidRDefault="00B929D7" w:rsidP="0028501C">
      <w:pPr>
        <w:pStyle w:val="Default"/>
        <w:rPr>
          <w:sz w:val="22"/>
          <w:szCs w:val="22"/>
        </w:rPr>
      </w:pPr>
      <w:r w:rsidRPr="00DF697E">
        <w:rPr>
          <w:sz w:val="22"/>
          <w:szCs w:val="22"/>
        </w:rPr>
        <w:t>MPB may refer back to JMDG with questions and/or any submissions where clarity of further work is required together with its justification/rationale for doing so</w:t>
      </w:r>
      <w:r w:rsidR="00BC2419">
        <w:rPr>
          <w:sz w:val="22"/>
          <w:szCs w:val="22"/>
        </w:rPr>
        <w:t xml:space="preserve">. It will set out its expectations </w:t>
      </w:r>
      <w:r w:rsidRPr="00DF697E">
        <w:rPr>
          <w:sz w:val="22"/>
          <w:szCs w:val="22"/>
        </w:rPr>
        <w:t xml:space="preserve">for when a response/re submission might be </w:t>
      </w:r>
      <w:r w:rsidR="00BC2419">
        <w:rPr>
          <w:sz w:val="22"/>
          <w:szCs w:val="22"/>
        </w:rPr>
        <w:t>expected</w:t>
      </w:r>
      <w:r w:rsidRPr="00DF697E">
        <w:rPr>
          <w:sz w:val="22"/>
          <w:szCs w:val="22"/>
        </w:rPr>
        <w:t xml:space="preserve"> by MPB.</w:t>
      </w:r>
    </w:p>
    <w:p w14:paraId="32AB37D9" w14:textId="77777777" w:rsidR="00126B02" w:rsidRPr="00DF697E" w:rsidRDefault="00126B02" w:rsidP="00DF697E">
      <w:pPr>
        <w:pStyle w:val="Default"/>
        <w:ind w:left="360"/>
        <w:rPr>
          <w:b/>
          <w:bCs/>
        </w:rPr>
      </w:pPr>
    </w:p>
    <w:p w14:paraId="6D8A5147" w14:textId="77777777" w:rsidR="0028501C" w:rsidRPr="00DF697E" w:rsidRDefault="00126B02" w:rsidP="003C0470">
      <w:pPr>
        <w:pStyle w:val="Default"/>
        <w:numPr>
          <w:ilvl w:val="0"/>
          <w:numId w:val="16"/>
        </w:numPr>
        <w:rPr>
          <w:b/>
          <w:bCs/>
        </w:rPr>
      </w:pPr>
      <w:r w:rsidRPr="00DF697E">
        <w:rPr>
          <w:b/>
          <w:bCs/>
        </w:rPr>
        <w:t xml:space="preserve">MPB Representatives </w:t>
      </w:r>
    </w:p>
    <w:p w14:paraId="6E5CFBA3" w14:textId="77777777" w:rsidR="00126B02" w:rsidRPr="00DF697E" w:rsidRDefault="00126B02" w:rsidP="003C0470">
      <w:pPr>
        <w:pStyle w:val="Default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10"/>
      </w:tblGrid>
      <w:tr w:rsidR="00126B02" w:rsidRPr="00DF697E" w14:paraId="47551C62" w14:textId="77777777" w:rsidTr="003C0470">
        <w:tc>
          <w:tcPr>
            <w:tcW w:w="2405" w:type="dxa"/>
          </w:tcPr>
          <w:p w14:paraId="002E9D52" w14:textId="77777777" w:rsidR="00126B02" w:rsidRPr="00DF697E" w:rsidRDefault="00126B02" w:rsidP="00126B0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697E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701" w:type="dxa"/>
          </w:tcPr>
          <w:p w14:paraId="17560512" w14:textId="77777777" w:rsidR="00126B02" w:rsidRPr="00DF697E" w:rsidRDefault="004E02B8" w:rsidP="00126B0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697E">
              <w:rPr>
                <w:b/>
                <w:bCs/>
                <w:sz w:val="22"/>
                <w:szCs w:val="22"/>
              </w:rPr>
              <w:t>Works for</w:t>
            </w:r>
          </w:p>
        </w:tc>
        <w:tc>
          <w:tcPr>
            <w:tcW w:w="4910" w:type="dxa"/>
          </w:tcPr>
          <w:p w14:paraId="5A0D3272" w14:textId="77777777" w:rsidR="00126B02" w:rsidRPr="00DF697E" w:rsidRDefault="004E02B8" w:rsidP="00126B0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697E">
              <w:rPr>
                <w:b/>
                <w:bCs/>
                <w:sz w:val="22"/>
                <w:szCs w:val="22"/>
              </w:rPr>
              <w:t>Represents</w:t>
            </w:r>
          </w:p>
        </w:tc>
      </w:tr>
      <w:tr w:rsidR="00126B02" w:rsidRPr="00DF697E" w14:paraId="70254778" w14:textId="77777777" w:rsidTr="003C0470">
        <w:tc>
          <w:tcPr>
            <w:tcW w:w="2405" w:type="dxa"/>
          </w:tcPr>
          <w:p w14:paraId="272EA6E8" w14:textId="77777777" w:rsidR="00126B02" w:rsidRPr="00DF697E" w:rsidRDefault="004E02B8" w:rsidP="00126B02">
            <w:pPr>
              <w:pStyle w:val="Default"/>
              <w:rPr>
                <w:bCs/>
                <w:sz w:val="22"/>
                <w:szCs w:val="22"/>
              </w:rPr>
            </w:pPr>
            <w:r w:rsidRPr="00DF697E">
              <w:rPr>
                <w:bCs/>
                <w:sz w:val="22"/>
                <w:szCs w:val="22"/>
              </w:rPr>
              <w:t xml:space="preserve">[insert] </w:t>
            </w:r>
          </w:p>
        </w:tc>
        <w:tc>
          <w:tcPr>
            <w:tcW w:w="1701" w:type="dxa"/>
          </w:tcPr>
          <w:p w14:paraId="43C5DAD0" w14:textId="77777777" w:rsidR="00126B02" w:rsidRPr="00DF697E" w:rsidRDefault="004E02B8" w:rsidP="00126B02">
            <w:pPr>
              <w:pStyle w:val="Default"/>
              <w:rPr>
                <w:bCs/>
                <w:sz w:val="22"/>
                <w:szCs w:val="22"/>
              </w:rPr>
            </w:pPr>
            <w:r w:rsidRPr="00DF697E">
              <w:rPr>
                <w:bCs/>
                <w:sz w:val="22"/>
                <w:szCs w:val="22"/>
              </w:rPr>
              <w:t>[insert]</w:t>
            </w:r>
          </w:p>
        </w:tc>
        <w:tc>
          <w:tcPr>
            <w:tcW w:w="4910" w:type="dxa"/>
          </w:tcPr>
          <w:p w14:paraId="186830D0" w14:textId="77777777" w:rsidR="00126B02" w:rsidRPr="00DF697E" w:rsidRDefault="004E02B8" w:rsidP="00126B02">
            <w:pPr>
              <w:pStyle w:val="Default"/>
              <w:rPr>
                <w:bCs/>
                <w:sz w:val="22"/>
                <w:szCs w:val="22"/>
              </w:rPr>
            </w:pPr>
            <w:r w:rsidRPr="00DF697E">
              <w:rPr>
                <w:bCs/>
                <w:sz w:val="22"/>
                <w:szCs w:val="22"/>
              </w:rPr>
              <w:t>Chair</w:t>
            </w:r>
          </w:p>
        </w:tc>
      </w:tr>
      <w:tr w:rsidR="00126B02" w:rsidRPr="00DF697E" w14:paraId="58A84D7C" w14:textId="77777777" w:rsidTr="003C0470">
        <w:tc>
          <w:tcPr>
            <w:tcW w:w="2405" w:type="dxa"/>
          </w:tcPr>
          <w:p w14:paraId="6133B15D" w14:textId="77777777" w:rsidR="00126B02" w:rsidRPr="00DF697E" w:rsidRDefault="004E02B8" w:rsidP="00126B02">
            <w:pPr>
              <w:pStyle w:val="Default"/>
              <w:rPr>
                <w:bCs/>
                <w:sz w:val="22"/>
                <w:szCs w:val="22"/>
              </w:rPr>
            </w:pPr>
            <w:r w:rsidRPr="00DF697E">
              <w:rPr>
                <w:bCs/>
                <w:sz w:val="22"/>
                <w:szCs w:val="22"/>
              </w:rPr>
              <w:t xml:space="preserve">Alex </w:t>
            </w:r>
            <w:proofErr w:type="spellStart"/>
            <w:r w:rsidRPr="00DF697E">
              <w:rPr>
                <w:bCs/>
                <w:sz w:val="22"/>
                <w:szCs w:val="22"/>
              </w:rPr>
              <w:t>Travell</w:t>
            </w:r>
            <w:proofErr w:type="spellEnd"/>
          </w:p>
        </w:tc>
        <w:tc>
          <w:tcPr>
            <w:tcW w:w="1701" w:type="dxa"/>
          </w:tcPr>
          <w:p w14:paraId="172836D9" w14:textId="77777777" w:rsidR="00126B02" w:rsidRPr="00DF697E" w:rsidRDefault="004E02B8" w:rsidP="00126B02">
            <w:pPr>
              <w:pStyle w:val="Default"/>
              <w:rPr>
                <w:bCs/>
                <w:sz w:val="22"/>
                <w:szCs w:val="22"/>
              </w:rPr>
            </w:pPr>
            <w:r w:rsidRPr="00DF697E">
              <w:rPr>
                <w:bCs/>
                <w:sz w:val="22"/>
                <w:szCs w:val="22"/>
              </w:rPr>
              <w:t>Eon</w:t>
            </w:r>
          </w:p>
        </w:tc>
        <w:tc>
          <w:tcPr>
            <w:tcW w:w="4910" w:type="dxa"/>
          </w:tcPr>
          <w:p w14:paraId="7CCCD22F" w14:textId="77777777" w:rsidR="00126B02" w:rsidRPr="00DF697E" w:rsidRDefault="004E02B8" w:rsidP="00126B02">
            <w:pPr>
              <w:pStyle w:val="Default"/>
              <w:rPr>
                <w:bCs/>
                <w:sz w:val="22"/>
                <w:szCs w:val="22"/>
              </w:rPr>
            </w:pPr>
            <w:proofErr w:type="spellStart"/>
            <w:r w:rsidRPr="00DF697E">
              <w:rPr>
                <w:bCs/>
                <w:sz w:val="22"/>
                <w:szCs w:val="22"/>
              </w:rPr>
              <w:t>MRASCo</w:t>
            </w:r>
            <w:proofErr w:type="spellEnd"/>
            <w:r w:rsidRPr="00DF697E">
              <w:rPr>
                <w:bCs/>
                <w:sz w:val="22"/>
                <w:szCs w:val="22"/>
              </w:rPr>
              <w:t xml:space="preserve"> Board /MRA</w:t>
            </w:r>
          </w:p>
        </w:tc>
      </w:tr>
      <w:tr w:rsidR="00126B02" w:rsidRPr="00DF697E" w14:paraId="02665092" w14:textId="77777777" w:rsidTr="003C0470">
        <w:tc>
          <w:tcPr>
            <w:tcW w:w="2405" w:type="dxa"/>
          </w:tcPr>
          <w:p w14:paraId="4BB163FD" w14:textId="77777777" w:rsidR="00126B02" w:rsidRPr="00DF697E" w:rsidRDefault="00992F4A" w:rsidP="00126B02">
            <w:pPr>
              <w:pStyle w:val="Default"/>
              <w:rPr>
                <w:bCs/>
                <w:sz w:val="22"/>
                <w:szCs w:val="22"/>
              </w:rPr>
            </w:pPr>
            <w:r w:rsidRPr="00DF697E">
              <w:rPr>
                <w:bCs/>
                <w:sz w:val="22"/>
                <w:szCs w:val="22"/>
              </w:rPr>
              <w:t>[insert]</w:t>
            </w:r>
          </w:p>
        </w:tc>
        <w:tc>
          <w:tcPr>
            <w:tcW w:w="1701" w:type="dxa"/>
          </w:tcPr>
          <w:p w14:paraId="6F55C7DC" w14:textId="77777777" w:rsidR="00126B02" w:rsidRPr="00DF697E" w:rsidRDefault="00992F4A" w:rsidP="00126B02">
            <w:pPr>
              <w:pStyle w:val="Default"/>
              <w:rPr>
                <w:bCs/>
                <w:sz w:val="22"/>
                <w:szCs w:val="22"/>
              </w:rPr>
            </w:pPr>
            <w:r w:rsidRPr="00DF697E">
              <w:rPr>
                <w:bCs/>
                <w:sz w:val="22"/>
                <w:szCs w:val="22"/>
              </w:rPr>
              <w:t>[insert]</w:t>
            </w:r>
          </w:p>
        </w:tc>
        <w:tc>
          <w:tcPr>
            <w:tcW w:w="4910" w:type="dxa"/>
          </w:tcPr>
          <w:p w14:paraId="48E132CA" w14:textId="77777777" w:rsidR="00126B02" w:rsidRPr="00DF697E" w:rsidRDefault="004E02B8" w:rsidP="00126B02">
            <w:pPr>
              <w:pStyle w:val="Default"/>
              <w:rPr>
                <w:bCs/>
                <w:sz w:val="22"/>
                <w:szCs w:val="22"/>
              </w:rPr>
            </w:pPr>
            <w:r w:rsidRPr="00DF697E">
              <w:rPr>
                <w:bCs/>
                <w:sz w:val="22"/>
                <w:szCs w:val="22"/>
              </w:rPr>
              <w:t>DSC</w:t>
            </w:r>
          </w:p>
        </w:tc>
      </w:tr>
      <w:tr w:rsidR="00126B02" w:rsidRPr="00DF697E" w14:paraId="65F0EFB1" w14:textId="77777777" w:rsidTr="003C0470">
        <w:tc>
          <w:tcPr>
            <w:tcW w:w="2405" w:type="dxa"/>
          </w:tcPr>
          <w:p w14:paraId="2A2D94B5" w14:textId="77777777" w:rsidR="00126B02" w:rsidRPr="00DF697E" w:rsidRDefault="004E02B8" w:rsidP="00126B02">
            <w:pPr>
              <w:pStyle w:val="Default"/>
              <w:rPr>
                <w:bCs/>
                <w:sz w:val="22"/>
                <w:szCs w:val="22"/>
              </w:rPr>
            </w:pPr>
            <w:r w:rsidRPr="00DF697E">
              <w:rPr>
                <w:bCs/>
                <w:sz w:val="22"/>
                <w:szCs w:val="22"/>
              </w:rPr>
              <w:t xml:space="preserve">Arik </w:t>
            </w:r>
            <w:proofErr w:type="spellStart"/>
            <w:r w:rsidRPr="00DF697E">
              <w:rPr>
                <w:bCs/>
                <w:sz w:val="22"/>
                <w:szCs w:val="22"/>
              </w:rPr>
              <w:t>Dondi</w:t>
            </w:r>
            <w:proofErr w:type="spellEnd"/>
          </w:p>
        </w:tc>
        <w:tc>
          <w:tcPr>
            <w:tcW w:w="1701" w:type="dxa"/>
          </w:tcPr>
          <w:p w14:paraId="31AEA8EB" w14:textId="77777777" w:rsidR="00126B02" w:rsidRPr="00DF697E" w:rsidRDefault="004E02B8" w:rsidP="00126B02">
            <w:pPr>
              <w:pStyle w:val="Default"/>
              <w:rPr>
                <w:bCs/>
                <w:sz w:val="22"/>
                <w:szCs w:val="22"/>
              </w:rPr>
            </w:pPr>
            <w:r w:rsidRPr="00DF697E">
              <w:rPr>
                <w:bCs/>
                <w:sz w:val="22"/>
                <w:szCs w:val="22"/>
              </w:rPr>
              <w:t xml:space="preserve">Ofgem </w:t>
            </w:r>
          </w:p>
        </w:tc>
        <w:tc>
          <w:tcPr>
            <w:tcW w:w="4910" w:type="dxa"/>
          </w:tcPr>
          <w:p w14:paraId="1492FC97" w14:textId="77777777" w:rsidR="00126B02" w:rsidRPr="00DF697E" w:rsidRDefault="004E02B8" w:rsidP="00126B02">
            <w:pPr>
              <w:pStyle w:val="Default"/>
              <w:rPr>
                <w:bCs/>
                <w:sz w:val="22"/>
                <w:szCs w:val="22"/>
              </w:rPr>
            </w:pPr>
            <w:r w:rsidRPr="00DF697E">
              <w:rPr>
                <w:bCs/>
                <w:sz w:val="22"/>
                <w:szCs w:val="22"/>
              </w:rPr>
              <w:t xml:space="preserve">Faster and Reliable Switching Programme </w:t>
            </w:r>
          </w:p>
        </w:tc>
      </w:tr>
      <w:tr w:rsidR="00B76659" w:rsidRPr="00DF697E" w14:paraId="402A1DBD" w14:textId="77777777" w:rsidTr="003C0470">
        <w:tc>
          <w:tcPr>
            <w:tcW w:w="2405" w:type="dxa"/>
          </w:tcPr>
          <w:p w14:paraId="67283409" w14:textId="77777777" w:rsidR="00B76659" w:rsidRPr="00DF697E" w:rsidRDefault="00B76659" w:rsidP="00126B02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[insert]</w:t>
            </w:r>
          </w:p>
        </w:tc>
        <w:tc>
          <w:tcPr>
            <w:tcW w:w="1701" w:type="dxa"/>
          </w:tcPr>
          <w:p w14:paraId="0C613C34" w14:textId="77777777" w:rsidR="00B76659" w:rsidRPr="00DF697E" w:rsidRDefault="00B76659" w:rsidP="00126B02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Xoserve</w:t>
            </w:r>
          </w:p>
        </w:tc>
        <w:tc>
          <w:tcPr>
            <w:tcW w:w="4910" w:type="dxa"/>
          </w:tcPr>
          <w:p w14:paraId="094F3ED5" w14:textId="77777777" w:rsidR="00B76659" w:rsidRPr="00DF697E" w:rsidRDefault="00B76659" w:rsidP="00126B02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Project Delivery/ Design Assurance </w:t>
            </w:r>
          </w:p>
        </w:tc>
      </w:tr>
      <w:tr w:rsidR="00B76659" w:rsidRPr="00DF697E" w14:paraId="12C09670" w14:textId="77777777" w:rsidTr="003C0470">
        <w:tc>
          <w:tcPr>
            <w:tcW w:w="2405" w:type="dxa"/>
          </w:tcPr>
          <w:p w14:paraId="2AC3A385" w14:textId="77777777" w:rsidR="00B76659" w:rsidRPr="00DF697E" w:rsidRDefault="00B76659" w:rsidP="00126B02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[insert]</w:t>
            </w:r>
          </w:p>
        </w:tc>
        <w:tc>
          <w:tcPr>
            <w:tcW w:w="1701" w:type="dxa"/>
          </w:tcPr>
          <w:p w14:paraId="2E64E036" w14:textId="77777777" w:rsidR="00B76659" w:rsidRPr="00DF697E" w:rsidRDefault="00B76659" w:rsidP="00126B02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Gemserv</w:t>
            </w:r>
          </w:p>
        </w:tc>
        <w:tc>
          <w:tcPr>
            <w:tcW w:w="4910" w:type="dxa"/>
          </w:tcPr>
          <w:p w14:paraId="6EFA489D" w14:textId="77777777" w:rsidR="00B76659" w:rsidRPr="00DF697E" w:rsidRDefault="00B76659" w:rsidP="00126B02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Project Delivery/Design Assurance</w:t>
            </w:r>
          </w:p>
        </w:tc>
      </w:tr>
    </w:tbl>
    <w:p w14:paraId="015813A5" w14:textId="77777777" w:rsidR="0028501C" w:rsidRPr="00DF697E" w:rsidRDefault="0028501C" w:rsidP="0028501C">
      <w:pPr>
        <w:pStyle w:val="Default"/>
        <w:rPr>
          <w:sz w:val="22"/>
          <w:szCs w:val="22"/>
        </w:rPr>
      </w:pPr>
    </w:p>
    <w:p w14:paraId="2AF642F6" w14:textId="77777777" w:rsidR="0028501C" w:rsidRPr="00DF697E" w:rsidRDefault="00B929D7" w:rsidP="003C0470">
      <w:pPr>
        <w:pStyle w:val="Default"/>
        <w:numPr>
          <w:ilvl w:val="0"/>
          <w:numId w:val="16"/>
        </w:numPr>
        <w:rPr>
          <w:b/>
          <w:bCs/>
        </w:rPr>
      </w:pPr>
      <w:r w:rsidRPr="00DF697E">
        <w:rPr>
          <w:b/>
          <w:bCs/>
        </w:rPr>
        <w:t>MPB</w:t>
      </w:r>
      <w:r w:rsidR="0028501C" w:rsidRPr="00DF697E">
        <w:rPr>
          <w:b/>
          <w:bCs/>
        </w:rPr>
        <w:t xml:space="preserve"> Objectives </w:t>
      </w:r>
    </w:p>
    <w:p w14:paraId="44739CAD" w14:textId="77777777" w:rsidR="002A6022" w:rsidRPr="00DF697E" w:rsidRDefault="002A6022" w:rsidP="00DF697E">
      <w:pPr>
        <w:pStyle w:val="Default"/>
        <w:ind w:left="360"/>
        <w:rPr>
          <w:b/>
          <w:bCs/>
        </w:rPr>
      </w:pPr>
    </w:p>
    <w:p w14:paraId="224E7EDD" w14:textId="77777777" w:rsidR="002A6022" w:rsidRPr="00BC2419" w:rsidRDefault="002A6022" w:rsidP="003C0470">
      <w:pPr>
        <w:pStyle w:val="Default"/>
        <w:rPr>
          <w:sz w:val="22"/>
          <w:szCs w:val="22"/>
        </w:rPr>
      </w:pPr>
      <w:r w:rsidRPr="00BC2419">
        <w:rPr>
          <w:sz w:val="22"/>
          <w:szCs w:val="22"/>
        </w:rPr>
        <w:t>The MPB will:</w:t>
      </w:r>
    </w:p>
    <w:p w14:paraId="3865B68F" w14:textId="77777777" w:rsidR="002A6022" w:rsidRPr="00BC2419" w:rsidRDefault="002A6022" w:rsidP="003C0470">
      <w:pPr>
        <w:pStyle w:val="Default"/>
        <w:rPr>
          <w:sz w:val="22"/>
          <w:szCs w:val="22"/>
        </w:rPr>
      </w:pPr>
    </w:p>
    <w:p w14:paraId="3119505C" w14:textId="77777777" w:rsidR="00954019" w:rsidRPr="00BC2419" w:rsidRDefault="00954019" w:rsidP="003C0470">
      <w:pPr>
        <w:pStyle w:val="Default"/>
        <w:numPr>
          <w:ilvl w:val="0"/>
          <w:numId w:val="18"/>
        </w:numPr>
        <w:rPr>
          <w:b/>
          <w:bCs/>
          <w:sz w:val="22"/>
          <w:szCs w:val="22"/>
        </w:rPr>
      </w:pPr>
      <w:r w:rsidRPr="00BC2419">
        <w:rPr>
          <w:sz w:val="22"/>
          <w:szCs w:val="22"/>
        </w:rPr>
        <w:t>M</w:t>
      </w:r>
      <w:r w:rsidR="002A6022" w:rsidRPr="00BC2419">
        <w:rPr>
          <w:sz w:val="22"/>
          <w:szCs w:val="22"/>
        </w:rPr>
        <w:t xml:space="preserve">onitor the progress of the overall programme </w:t>
      </w:r>
    </w:p>
    <w:p w14:paraId="332CAD0B" w14:textId="77777777" w:rsidR="00954019" w:rsidRPr="00BC2419" w:rsidRDefault="00954019" w:rsidP="003C0470">
      <w:pPr>
        <w:pStyle w:val="Default"/>
        <w:numPr>
          <w:ilvl w:val="0"/>
          <w:numId w:val="18"/>
        </w:numPr>
        <w:rPr>
          <w:b/>
          <w:bCs/>
          <w:sz w:val="22"/>
          <w:szCs w:val="22"/>
        </w:rPr>
      </w:pPr>
      <w:r w:rsidRPr="00BC2419">
        <w:rPr>
          <w:sz w:val="22"/>
          <w:szCs w:val="22"/>
        </w:rPr>
        <w:t>Manage and m</w:t>
      </w:r>
      <w:r w:rsidR="002A6022" w:rsidRPr="00BC2419">
        <w:rPr>
          <w:sz w:val="22"/>
          <w:szCs w:val="22"/>
        </w:rPr>
        <w:t>onitor the risk log for the programme and agree mitigation</w:t>
      </w:r>
    </w:p>
    <w:p w14:paraId="53F74DBF" w14:textId="77777777" w:rsidR="00954019" w:rsidRPr="00BC2419" w:rsidRDefault="00954019" w:rsidP="003C0470">
      <w:pPr>
        <w:pStyle w:val="Default"/>
        <w:numPr>
          <w:ilvl w:val="0"/>
          <w:numId w:val="18"/>
        </w:numPr>
        <w:rPr>
          <w:b/>
          <w:bCs/>
          <w:sz w:val="22"/>
          <w:szCs w:val="22"/>
        </w:rPr>
      </w:pPr>
      <w:r w:rsidRPr="00BC2419">
        <w:rPr>
          <w:sz w:val="22"/>
          <w:szCs w:val="22"/>
        </w:rPr>
        <w:t>Monitor f</w:t>
      </w:r>
      <w:r w:rsidR="002A6022" w:rsidRPr="00BC2419">
        <w:rPr>
          <w:sz w:val="22"/>
          <w:szCs w:val="22"/>
        </w:rPr>
        <w:t>inancial commitments with</w:t>
      </w:r>
      <w:r w:rsidR="00BC2419" w:rsidRPr="00BC2419">
        <w:rPr>
          <w:sz w:val="22"/>
          <w:szCs w:val="22"/>
        </w:rPr>
        <w:t xml:space="preserve"> due regard to </w:t>
      </w:r>
      <w:r w:rsidR="002A6022" w:rsidRPr="00BC2419">
        <w:rPr>
          <w:sz w:val="22"/>
          <w:szCs w:val="22"/>
        </w:rPr>
        <w:t xml:space="preserve">existing financial </w:t>
      </w:r>
      <w:r w:rsidRPr="00BC2419">
        <w:rPr>
          <w:sz w:val="22"/>
          <w:szCs w:val="22"/>
        </w:rPr>
        <w:t xml:space="preserve">and governance </w:t>
      </w:r>
      <w:r w:rsidR="002A6022" w:rsidRPr="00BC2419">
        <w:rPr>
          <w:sz w:val="22"/>
          <w:szCs w:val="22"/>
        </w:rPr>
        <w:t>procedures</w:t>
      </w:r>
    </w:p>
    <w:p w14:paraId="516E6E8E" w14:textId="77777777" w:rsidR="00FF39A0" w:rsidRPr="00BC2419" w:rsidRDefault="00FF39A0" w:rsidP="00BC2419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BC2419">
        <w:rPr>
          <w:sz w:val="22"/>
          <w:szCs w:val="22"/>
        </w:rPr>
        <w:t>To ensure the Programme meets its objectives with regard to the Programme Plan milestones, budget, timescales and quality</w:t>
      </w:r>
    </w:p>
    <w:p w14:paraId="14941315" w14:textId="77777777" w:rsidR="00123A97" w:rsidRPr="00BC2419" w:rsidRDefault="003C3A01" w:rsidP="00BC2419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BC2419">
        <w:rPr>
          <w:sz w:val="22"/>
          <w:szCs w:val="22"/>
        </w:rPr>
        <w:lastRenderedPageBreak/>
        <w:t xml:space="preserve">Consider the impact </w:t>
      </w:r>
      <w:r w:rsidR="00954019" w:rsidRPr="00BC2419">
        <w:rPr>
          <w:sz w:val="22"/>
          <w:szCs w:val="22"/>
        </w:rPr>
        <w:t xml:space="preserve">of any recommendations made by JMDG with regard to </w:t>
      </w:r>
      <w:r w:rsidRPr="00BC2419">
        <w:rPr>
          <w:sz w:val="22"/>
          <w:szCs w:val="22"/>
        </w:rPr>
        <w:t>Ofgem</w:t>
      </w:r>
      <w:r w:rsidR="00954019" w:rsidRPr="00BC2419">
        <w:rPr>
          <w:sz w:val="22"/>
          <w:szCs w:val="22"/>
        </w:rPr>
        <w:t>’s</w:t>
      </w:r>
      <w:r w:rsidRPr="00BC2419">
        <w:rPr>
          <w:sz w:val="22"/>
          <w:szCs w:val="22"/>
        </w:rPr>
        <w:t xml:space="preserve"> </w:t>
      </w:r>
      <w:r w:rsidR="00954019" w:rsidRPr="00BC2419">
        <w:rPr>
          <w:sz w:val="22"/>
          <w:szCs w:val="22"/>
        </w:rPr>
        <w:t xml:space="preserve">Faster and more Reliable </w:t>
      </w:r>
      <w:r w:rsidRPr="00BC2419">
        <w:rPr>
          <w:sz w:val="22"/>
          <w:szCs w:val="22"/>
        </w:rPr>
        <w:t>Switching Programme</w:t>
      </w:r>
      <w:r w:rsidR="00954019" w:rsidRPr="00BC2419">
        <w:rPr>
          <w:sz w:val="22"/>
          <w:szCs w:val="22"/>
        </w:rPr>
        <w:t>.</w:t>
      </w:r>
    </w:p>
    <w:p w14:paraId="0FACC9C6" w14:textId="77777777" w:rsidR="00FF39A0" w:rsidRPr="00BC2419" w:rsidRDefault="00954019" w:rsidP="00BC2419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BC2419">
        <w:rPr>
          <w:sz w:val="22"/>
          <w:szCs w:val="22"/>
        </w:rPr>
        <w:t>A</w:t>
      </w:r>
      <w:r w:rsidR="00FF39A0" w:rsidRPr="00BC2419">
        <w:rPr>
          <w:sz w:val="22"/>
          <w:szCs w:val="22"/>
        </w:rPr>
        <w:t>pprove progression of any Programme deliverables as appropriate through the right channels for consideration / sign off (as deemed appropriate), including but not limited to the MRA and UNC governance mechanisms and where necessary Ofgem</w:t>
      </w:r>
    </w:p>
    <w:p w14:paraId="72C56CCB" w14:textId="77777777" w:rsidR="00FF39A0" w:rsidRPr="00DF697E" w:rsidRDefault="00FF39A0" w:rsidP="00FF39A0">
      <w:pPr>
        <w:pStyle w:val="ListParagraph"/>
        <w:rPr>
          <w:rFonts w:ascii="Arial" w:hAnsi="Arial" w:cs="Arial"/>
        </w:rPr>
      </w:pPr>
    </w:p>
    <w:p w14:paraId="1AEBACF9" w14:textId="77777777" w:rsidR="0028501C" w:rsidRPr="00DF697E" w:rsidRDefault="0028501C" w:rsidP="0028501C">
      <w:pPr>
        <w:pStyle w:val="Default"/>
        <w:rPr>
          <w:sz w:val="22"/>
          <w:szCs w:val="22"/>
        </w:rPr>
      </w:pPr>
      <w:r w:rsidRPr="00DF697E">
        <w:rPr>
          <w:sz w:val="22"/>
          <w:szCs w:val="22"/>
        </w:rPr>
        <w:t xml:space="preserve">The </w:t>
      </w:r>
      <w:r w:rsidR="00B929D7" w:rsidRPr="00DF697E">
        <w:rPr>
          <w:sz w:val="22"/>
          <w:szCs w:val="22"/>
        </w:rPr>
        <w:t xml:space="preserve">MPB </w:t>
      </w:r>
      <w:r w:rsidR="00954019" w:rsidRPr="00DF697E">
        <w:rPr>
          <w:sz w:val="22"/>
          <w:szCs w:val="22"/>
        </w:rPr>
        <w:t xml:space="preserve">shall </w:t>
      </w:r>
      <w:r w:rsidR="00B929D7" w:rsidRPr="00DF697E">
        <w:rPr>
          <w:sz w:val="22"/>
          <w:szCs w:val="22"/>
        </w:rPr>
        <w:t>consider recommendations made by JMDG with respect to</w:t>
      </w:r>
      <w:r w:rsidRPr="00DF697E">
        <w:rPr>
          <w:sz w:val="22"/>
          <w:szCs w:val="22"/>
        </w:rPr>
        <w:t xml:space="preserve">: </w:t>
      </w:r>
    </w:p>
    <w:p w14:paraId="5E577E6F" w14:textId="77777777" w:rsidR="0028501C" w:rsidRPr="00DF697E" w:rsidRDefault="0028501C" w:rsidP="0028501C">
      <w:pPr>
        <w:pStyle w:val="Default"/>
        <w:rPr>
          <w:sz w:val="22"/>
          <w:szCs w:val="22"/>
        </w:rPr>
      </w:pPr>
    </w:p>
    <w:p w14:paraId="5D9A4815" w14:textId="77777777" w:rsidR="00954019" w:rsidRPr="00DF697E" w:rsidRDefault="00954019" w:rsidP="00CE2F0B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DF697E">
        <w:rPr>
          <w:sz w:val="22"/>
          <w:szCs w:val="22"/>
        </w:rPr>
        <w:t xml:space="preserve">Robustness of the work undertaken by JMDG with regard to its recommendations, including the basis on which JMDG has made any assessments of the benefits and costs </w:t>
      </w:r>
    </w:p>
    <w:p w14:paraId="02CC2CB8" w14:textId="77777777" w:rsidR="00123A97" w:rsidRPr="00DF697E" w:rsidRDefault="00123A97" w:rsidP="00B40DDB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DF697E">
        <w:rPr>
          <w:sz w:val="22"/>
          <w:szCs w:val="22"/>
        </w:rPr>
        <w:t xml:space="preserve">The Programme has in place effective mechanisms, procedures and processes to ensure the MIS work is complementary with respect to the </w:t>
      </w:r>
      <w:r w:rsidR="00B40DDB" w:rsidRPr="00DF697E">
        <w:rPr>
          <w:sz w:val="22"/>
          <w:szCs w:val="22"/>
        </w:rPr>
        <w:t>Ofgem</w:t>
      </w:r>
      <w:r w:rsidRPr="00DF697E">
        <w:rPr>
          <w:sz w:val="22"/>
          <w:szCs w:val="22"/>
        </w:rPr>
        <w:t xml:space="preserve"> Faster and Reliable </w:t>
      </w:r>
      <w:r w:rsidR="00B40DDB" w:rsidRPr="00DF697E">
        <w:rPr>
          <w:sz w:val="22"/>
          <w:szCs w:val="22"/>
        </w:rPr>
        <w:t>Switching Programme</w:t>
      </w:r>
    </w:p>
    <w:p w14:paraId="6DDC2F36" w14:textId="77777777" w:rsidR="00123A97" w:rsidRPr="00DF697E" w:rsidRDefault="00123A97" w:rsidP="00B40DDB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DF697E">
        <w:rPr>
          <w:sz w:val="22"/>
          <w:szCs w:val="22"/>
        </w:rPr>
        <w:t>Due regard is taken of all competition and consumer impacts and benefits</w:t>
      </w:r>
    </w:p>
    <w:p w14:paraId="330C1671" w14:textId="77777777" w:rsidR="00B8163B" w:rsidRPr="00DF697E" w:rsidRDefault="004229B3" w:rsidP="00CE2F0B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DF697E">
        <w:rPr>
          <w:sz w:val="22"/>
          <w:szCs w:val="22"/>
        </w:rPr>
        <w:t>Consider whether</w:t>
      </w:r>
      <w:r w:rsidR="00C67EBA" w:rsidRPr="00DF697E">
        <w:rPr>
          <w:sz w:val="22"/>
          <w:szCs w:val="22"/>
        </w:rPr>
        <w:t xml:space="preserve"> there has been adequate consultation </w:t>
      </w:r>
      <w:r w:rsidR="0074411A" w:rsidRPr="00DF697E">
        <w:rPr>
          <w:sz w:val="22"/>
          <w:szCs w:val="22"/>
        </w:rPr>
        <w:t xml:space="preserve">with </w:t>
      </w:r>
      <w:r w:rsidR="00C67EBA" w:rsidRPr="00DF697E">
        <w:rPr>
          <w:sz w:val="22"/>
          <w:szCs w:val="22"/>
        </w:rPr>
        <w:t>stakeholders</w:t>
      </w:r>
      <w:r w:rsidR="00123A97" w:rsidRPr="00DF697E">
        <w:rPr>
          <w:sz w:val="22"/>
          <w:szCs w:val="22"/>
        </w:rPr>
        <w:t xml:space="preserve"> and advise accordingly</w:t>
      </w:r>
    </w:p>
    <w:p w14:paraId="71C5C623" w14:textId="77777777" w:rsidR="00C67EBA" w:rsidRPr="00DF697E" w:rsidRDefault="00C67EBA" w:rsidP="003C0470">
      <w:pPr>
        <w:pStyle w:val="Default"/>
        <w:ind w:left="720"/>
        <w:rPr>
          <w:sz w:val="22"/>
          <w:szCs w:val="22"/>
        </w:rPr>
      </w:pPr>
      <w:r w:rsidRPr="00DF697E">
        <w:rPr>
          <w:sz w:val="22"/>
          <w:szCs w:val="22"/>
        </w:rPr>
        <w:t xml:space="preserve">  </w:t>
      </w:r>
    </w:p>
    <w:p w14:paraId="4B4F2BCB" w14:textId="77777777" w:rsidR="00CE2F0B" w:rsidRPr="00DF697E" w:rsidRDefault="00CE2F0B" w:rsidP="003D3C62">
      <w:pPr>
        <w:pStyle w:val="Default"/>
        <w:rPr>
          <w:sz w:val="22"/>
          <w:szCs w:val="22"/>
        </w:rPr>
      </w:pPr>
    </w:p>
    <w:p w14:paraId="374FE6FC" w14:textId="77777777" w:rsidR="0028501C" w:rsidRPr="00DF697E" w:rsidRDefault="0028501C" w:rsidP="00DF697E">
      <w:pPr>
        <w:pStyle w:val="Default"/>
        <w:numPr>
          <w:ilvl w:val="0"/>
          <w:numId w:val="16"/>
        </w:numPr>
        <w:rPr>
          <w:b/>
          <w:sz w:val="22"/>
          <w:szCs w:val="22"/>
        </w:rPr>
      </w:pPr>
      <w:r w:rsidRPr="00DF697E">
        <w:rPr>
          <w:b/>
          <w:bCs/>
        </w:rPr>
        <w:t xml:space="preserve">Membership </w:t>
      </w:r>
      <w:r w:rsidR="003C3A01" w:rsidRPr="00DF697E">
        <w:rPr>
          <w:b/>
          <w:bCs/>
        </w:rPr>
        <w:t xml:space="preserve">&amp; Attendance </w:t>
      </w:r>
    </w:p>
    <w:p w14:paraId="0F5D1C07" w14:textId="77777777" w:rsidR="0028501C" w:rsidRPr="00DF697E" w:rsidRDefault="0028501C" w:rsidP="0028501C">
      <w:pPr>
        <w:pStyle w:val="Default"/>
        <w:rPr>
          <w:sz w:val="22"/>
          <w:szCs w:val="22"/>
        </w:rPr>
      </w:pPr>
    </w:p>
    <w:p w14:paraId="02090127" w14:textId="77777777" w:rsidR="00174D03" w:rsidRPr="00DF697E" w:rsidRDefault="0028501C" w:rsidP="0028501C">
      <w:pPr>
        <w:pStyle w:val="Default"/>
        <w:rPr>
          <w:sz w:val="22"/>
          <w:szCs w:val="22"/>
        </w:rPr>
      </w:pPr>
      <w:r w:rsidRPr="00DF697E">
        <w:rPr>
          <w:sz w:val="22"/>
          <w:szCs w:val="22"/>
        </w:rPr>
        <w:t xml:space="preserve">Members of the </w:t>
      </w:r>
      <w:r w:rsidR="00174D03" w:rsidRPr="00DF697E">
        <w:rPr>
          <w:sz w:val="22"/>
          <w:szCs w:val="22"/>
        </w:rPr>
        <w:t>MPB w</w:t>
      </w:r>
      <w:r w:rsidRPr="00DF697E">
        <w:rPr>
          <w:sz w:val="22"/>
          <w:szCs w:val="22"/>
        </w:rPr>
        <w:t xml:space="preserve">ill be </w:t>
      </w:r>
      <w:r w:rsidR="00174D03" w:rsidRPr="00DF697E">
        <w:rPr>
          <w:sz w:val="22"/>
          <w:szCs w:val="22"/>
        </w:rPr>
        <w:t>acting in their capacity as members of their constitutional groups:</w:t>
      </w:r>
    </w:p>
    <w:p w14:paraId="2E7DE905" w14:textId="77777777" w:rsidR="00174D03" w:rsidRPr="00DF697E" w:rsidRDefault="00174D03" w:rsidP="003C0470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DF697E">
        <w:rPr>
          <w:sz w:val="22"/>
          <w:szCs w:val="22"/>
        </w:rPr>
        <w:t xml:space="preserve">MRA Board </w:t>
      </w:r>
    </w:p>
    <w:p w14:paraId="2F6132F8" w14:textId="77777777" w:rsidR="00174D03" w:rsidRPr="00DF697E" w:rsidRDefault="00174D03" w:rsidP="003C0470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DF697E">
        <w:rPr>
          <w:sz w:val="22"/>
          <w:szCs w:val="22"/>
        </w:rPr>
        <w:t>UNC/DSC Panel</w:t>
      </w:r>
    </w:p>
    <w:p w14:paraId="3EED2FE2" w14:textId="77777777" w:rsidR="00174D03" w:rsidRPr="00DF697E" w:rsidRDefault="0028501C" w:rsidP="003C0470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DF697E">
        <w:rPr>
          <w:sz w:val="22"/>
          <w:szCs w:val="22"/>
        </w:rPr>
        <w:t xml:space="preserve">Ofgem, </w:t>
      </w:r>
    </w:p>
    <w:p w14:paraId="2C52B823" w14:textId="77777777" w:rsidR="00174D03" w:rsidRPr="00DF697E" w:rsidRDefault="0028501C" w:rsidP="003C0470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DF697E">
        <w:rPr>
          <w:sz w:val="22"/>
          <w:szCs w:val="22"/>
        </w:rPr>
        <w:t>Consumer</w:t>
      </w:r>
      <w:r w:rsidR="00174D03" w:rsidRPr="00DF697E">
        <w:rPr>
          <w:sz w:val="22"/>
          <w:szCs w:val="22"/>
        </w:rPr>
        <w:t xml:space="preserve"> needs</w:t>
      </w:r>
    </w:p>
    <w:p w14:paraId="7C6ED1AE" w14:textId="77777777" w:rsidR="00B40DDB" w:rsidRPr="00DF697E" w:rsidRDefault="00B40DDB" w:rsidP="003C0470">
      <w:pPr>
        <w:pStyle w:val="Default"/>
        <w:ind w:left="360"/>
        <w:rPr>
          <w:sz w:val="22"/>
          <w:szCs w:val="22"/>
        </w:rPr>
      </w:pPr>
    </w:p>
    <w:p w14:paraId="426EFE8A" w14:textId="77777777" w:rsidR="00B40DDB" w:rsidRPr="00DF697E" w:rsidRDefault="0074411A" w:rsidP="0028501C">
      <w:pPr>
        <w:pStyle w:val="Default"/>
        <w:rPr>
          <w:sz w:val="22"/>
          <w:szCs w:val="22"/>
        </w:rPr>
      </w:pPr>
      <w:r w:rsidRPr="00DF697E">
        <w:rPr>
          <w:sz w:val="22"/>
          <w:szCs w:val="22"/>
        </w:rPr>
        <w:t xml:space="preserve">Alternates can be </w:t>
      </w:r>
      <w:r w:rsidR="00FE7B13" w:rsidRPr="00DF697E">
        <w:rPr>
          <w:sz w:val="22"/>
          <w:szCs w:val="22"/>
        </w:rPr>
        <w:t xml:space="preserve">agreed, with the Chair’s approval, ahead of each meeting. </w:t>
      </w:r>
      <w:r w:rsidRPr="00DF697E">
        <w:rPr>
          <w:sz w:val="22"/>
          <w:szCs w:val="22"/>
        </w:rPr>
        <w:t xml:space="preserve"> </w:t>
      </w:r>
    </w:p>
    <w:p w14:paraId="3727D790" w14:textId="77777777" w:rsidR="00B40DDB" w:rsidRPr="00DF697E" w:rsidRDefault="00B40DDB" w:rsidP="0028501C">
      <w:pPr>
        <w:pStyle w:val="Default"/>
        <w:rPr>
          <w:sz w:val="22"/>
          <w:szCs w:val="22"/>
        </w:rPr>
      </w:pPr>
    </w:p>
    <w:p w14:paraId="0E858A94" w14:textId="77777777" w:rsidR="0028501C" w:rsidRPr="00DF697E" w:rsidRDefault="00174D03" w:rsidP="0028501C">
      <w:pPr>
        <w:pStyle w:val="Default"/>
        <w:rPr>
          <w:color w:val="auto"/>
          <w:sz w:val="22"/>
          <w:szCs w:val="22"/>
        </w:rPr>
      </w:pPr>
      <w:r w:rsidRPr="00DF697E">
        <w:rPr>
          <w:sz w:val="22"/>
          <w:szCs w:val="22"/>
        </w:rPr>
        <w:t xml:space="preserve">Xoserve </w:t>
      </w:r>
      <w:r w:rsidR="0028501C" w:rsidRPr="00DF697E">
        <w:rPr>
          <w:color w:val="auto"/>
          <w:sz w:val="22"/>
          <w:szCs w:val="22"/>
        </w:rPr>
        <w:t xml:space="preserve">will provide a Chair and will fulfil the role of Secretary for the meetings. Both Gemserv and Xoserve will support the </w:t>
      </w:r>
      <w:r w:rsidRPr="00DF697E">
        <w:rPr>
          <w:color w:val="auto"/>
          <w:sz w:val="22"/>
          <w:szCs w:val="22"/>
        </w:rPr>
        <w:t>MPB i</w:t>
      </w:r>
      <w:r w:rsidR="0028501C" w:rsidRPr="00DF697E">
        <w:rPr>
          <w:color w:val="auto"/>
          <w:sz w:val="22"/>
          <w:szCs w:val="22"/>
        </w:rPr>
        <w:t xml:space="preserve">n producing papers, minutes, actions, reports etc. </w:t>
      </w:r>
    </w:p>
    <w:p w14:paraId="34220C62" w14:textId="77777777" w:rsidR="00B40DDB" w:rsidRPr="00DF697E" w:rsidRDefault="00B40DDB" w:rsidP="0028501C">
      <w:pPr>
        <w:pStyle w:val="Default"/>
        <w:rPr>
          <w:color w:val="auto"/>
          <w:sz w:val="22"/>
          <w:szCs w:val="22"/>
        </w:rPr>
      </w:pPr>
    </w:p>
    <w:p w14:paraId="1941E36C" w14:textId="77777777" w:rsidR="0028501C" w:rsidRPr="00DF697E" w:rsidRDefault="0074411A" w:rsidP="0028501C">
      <w:pPr>
        <w:pStyle w:val="Default"/>
        <w:rPr>
          <w:color w:val="auto"/>
          <w:sz w:val="22"/>
          <w:szCs w:val="22"/>
        </w:rPr>
      </w:pPr>
      <w:r w:rsidRPr="00DF697E">
        <w:rPr>
          <w:color w:val="auto"/>
          <w:sz w:val="22"/>
          <w:szCs w:val="22"/>
        </w:rPr>
        <w:t>The Chair will coop experts onto the group</w:t>
      </w:r>
      <w:r w:rsidR="00B7495E" w:rsidRPr="00DF697E">
        <w:rPr>
          <w:color w:val="auto"/>
          <w:sz w:val="22"/>
          <w:szCs w:val="22"/>
        </w:rPr>
        <w:t xml:space="preserve"> </w:t>
      </w:r>
      <w:r w:rsidRPr="00DF697E">
        <w:rPr>
          <w:color w:val="auto"/>
          <w:sz w:val="22"/>
          <w:szCs w:val="22"/>
        </w:rPr>
        <w:t>as and when required.</w:t>
      </w:r>
    </w:p>
    <w:p w14:paraId="0FBE5538" w14:textId="77777777" w:rsidR="0028501C" w:rsidRPr="00DF697E" w:rsidRDefault="0028501C" w:rsidP="0028501C">
      <w:pPr>
        <w:pStyle w:val="Default"/>
        <w:rPr>
          <w:color w:val="auto"/>
          <w:sz w:val="22"/>
          <w:szCs w:val="22"/>
        </w:rPr>
      </w:pPr>
    </w:p>
    <w:p w14:paraId="13D7F48D" w14:textId="77777777" w:rsidR="0028501C" w:rsidRPr="00DF697E" w:rsidRDefault="0028501C" w:rsidP="00DF697E">
      <w:pPr>
        <w:pStyle w:val="Default"/>
        <w:numPr>
          <w:ilvl w:val="0"/>
          <w:numId w:val="16"/>
        </w:numPr>
        <w:rPr>
          <w:b/>
          <w:color w:val="auto"/>
          <w:sz w:val="22"/>
          <w:szCs w:val="22"/>
        </w:rPr>
      </w:pPr>
      <w:r w:rsidRPr="00DF697E">
        <w:rPr>
          <w:b/>
          <w:bCs/>
        </w:rPr>
        <w:t xml:space="preserve">Role of the Chair </w:t>
      </w:r>
      <w:r w:rsidR="002000F8">
        <w:rPr>
          <w:b/>
          <w:bCs/>
        </w:rPr>
        <w:t>/ Secretariat</w:t>
      </w:r>
    </w:p>
    <w:p w14:paraId="5ECD8955" w14:textId="77777777" w:rsidR="0028501C" w:rsidRPr="00DF697E" w:rsidRDefault="0028501C" w:rsidP="0028501C">
      <w:pPr>
        <w:pStyle w:val="Default"/>
        <w:rPr>
          <w:color w:val="auto"/>
          <w:sz w:val="22"/>
          <w:szCs w:val="22"/>
        </w:rPr>
      </w:pPr>
    </w:p>
    <w:p w14:paraId="0E1A5FFE" w14:textId="77777777" w:rsidR="0028501C" w:rsidRPr="00DF697E" w:rsidRDefault="0028501C" w:rsidP="0028501C">
      <w:pPr>
        <w:pStyle w:val="Default"/>
        <w:rPr>
          <w:color w:val="auto"/>
          <w:sz w:val="22"/>
          <w:szCs w:val="22"/>
        </w:rPr>
      </w:pPr>
      <w:r w:rsidRPr="00DF697E">
        <w:rPr>
          <w:color w:val="auto"/>
          <w:sz w:val="22"/>
          <w:szCs w:val="22"/>
        </w:rPr>
        <w:t xml:space="preserve">The Chair’s role will be to chair meetings, facilitate discussions and encourage consensus. The Chair will be responsible for </w:t>
      </w:r>
      <w:r w:rsidR="002000F8">
        <w:rPr>
          <w:color w:val="auto"/>
          <w:sz w:val="22"/>
          <w:szCs w:val="22"/>
        </w:rPr>
        <w:t xml:space="preserve">MPB outputs and ensuring the transition of requirements </w:t>
      </w:r>
      <w:r w:rsidR="00174D03" w:rsidRPr="00DF697E">
        <w:rPr>
          <w:color w:val="auto"/>
          <w:sz w:val="22"/>
          <w:szCs w:val="22"/>
        </w:rPr>
        <w:t>via industry governance</w:t>
      </w:r>
      <w:r w:rsidRPr="00DF697E">
        <w:rPr>
          <w:color w:val="auto"/>
          <w:sz w:val="22"/>
          <w:szCs w:val="22"/>
        </w:rPr>
        <w:t xml:space="preserve">. </w:t>
      </w:r>
    </w:p>
    <w:p w14:paraId="24E14C25" w14:textId="77777777" w:rsidR="0028501C" w:rsidRPr="00DF697E" w:rsidRDefault="0028501C" w:rsidP="0028501C">
      <w:pPr>
        <w:pStyle w:val="Default"/>
        <w:rPr>
          <w:color w:val="auto"/>
          <w:sz w:val="22"/>
          <w:szCs w:val="22"/>
        </w:rPr>
      </w:pPr>
    </w:p>
    <w:p w14:paraId="7232FC1C" w14:textId="77777777" w:rsidR="0028501C" w:rsidRPr="00DF697E" w:rsidRDefault="0028501C" w:rsidP="00DF697E">
      <w:pPr>
        <w:pStyle w:val="Default"/>
        <w:numPr>
          <w:ilvl w:val="0"/>
          <w:numId w:val="16"/>
        </w:numPr>
        <w:rPr>
          <w:b/>
          <w:color w:val="auto"/>
          <w:sz w:val="22"/>
          <w:szCs w:val="22"/>
        </w:rPr>
      </w:pPr>
      <w:r w:rsidRPr="00DF697E">
        <w:rPr>
          <w:b/>
          <w:bCs/>
        </w:rPr>
        <w:t xml:space="preserve">Requirement of Members </w:t>
      </w:r>
    </w:p>
    <w:p w14:paraId="28FEA1C1" w14:textId="77777777" w:rsidR="0028501C" w:rsidRPr="00DF697E" w:rsidRDefault="0028501C" w:rsidP="0028501C">
      <w:pPr>
        <w:pStyle w:val="Default"/>
        <w:rPr>
          <w:color w:val="auto"/>
          <w:sz w:val="22"/>
          <w:szCs w:val="22"/>
        </w:rPr>
      </w:pPr>
    </w:p>
    <w:p w14:paraId="4B902C06" w14:textId="77777777" w:rsidR="00174D03" w:rsidRPr="00DF697E" w:rsidRDefault="0028501C" w:rsidP="0028501C">
      <w:pPr>
        <w:pStyle w:val="Default"/>
        <w:rPr>
          <w:color w:val="auto"/>
          <w:sz w:val="22"/>
          <w:szCs w:val="22"/>
        </w:rPr>
      </w:pPr>
      <w:r w:rsidRPr="00DF697E">
        <w:rPr>
          <w:color w:val="auto"/>
          <w:sz w:val="22"/>
          <w:szCs w:val="22"/>
        </w:rPr>
        <w:t>Members shall be individuals w</w:t>
      </w:r>
      <w:r w:rsidR="00174D03" w:rsidRPr="00DF697E">
        <w:rPr>
          <w:color w:val="auto"/>
          <w:sz w:val="22"/>
          <w:szCs w:val="22"/>
        </w:rPr>
        <w:t>ith sufficient seniority and decision making capability to enable the Programme Objectives to be met.</w:t>
      </w:r>
    </w:p>
    <w:p w14:paraId="74F5C3E2" w14:textId="77777777" w:rsidR="00174D03" w:rsidRPr="00DF697E" w:rsidRDefault="00174D03" w:rsidP="0028501C">
      <w:pPr>
        <w:pStyle w:val="Default"/>
        <w:rPr>
          <w:color w:val="auto"/>
          <w:sz w:val="22"/>
          <w:szCs w:val="22"/>
        </w:rPr>
      </w:pPr>
    </w:p>
    <w:p w14:paraId="1368AFE9" w14:textId="77777777" w:rsidR="0028501C" w:rsidRPr="005D5300" w:rsidRDefault="0028501C" w:rsidP="005D5300">
      <w:pPr>
        <w:pStyle w:val="Default"/>
        <w:numPr>
          <w:ilvl w:val="0"/>
          <w:numId w:val="16"/>
        </w:numPr>
        <w:rPr>
          <w:b/>
          <w:color w:val="auto"/>
          <w:sz w:val="22"/>
          <w:szCs w:val="22"/>
        </w:rPr>
      </w:pPr>
      <w:r w:rsidRPr="005D5300">
        <w:rPr>
          <w:b/>
          <w:bCs/>
        </w:rPr>
        <w:t xml:space="preserve">Meeting Venue and Frequency </w:t>
      </w:r>
    </w:p>
    <w:p w14:paraId="32314C65" w14:textId="77777777" w:rsidR="0028501C" w:rsidRPr="00DF697E" w:rsidRDefault="0028501C" w:rsidP="0028501C">
      <w:pPr>
        <w:pStyle w:val="Default"/>
        <w:rPr>
          <w:color w:val="auto"/>
          <w:sz w:val="22"/>
          <w:szCs w:val="22"/>
        </w:rPr>
      </w:pPr>
    </w:p>
    <w:p w14:paraId="284C94DC" w14:textId="77777777" w:rsidR="00174D03" w:rsidRPr="00DF697E" w:rsidRDefault="0028501C" w:rsidP="0028501C">
      <w:pPr>
        <w:pStyle w:val="Default"/>
        <w:rPr>
          <w:color w:val="auto"/>
          <w:sz w:val="22"/>
          <w:szCs w:val="22"/>
        </w:rPr>
      </w:pPr>
      <w:r w:rsidRPr="00DF697E">
        <w:rPr>
          <w:color w:val="auto"/>
          <w:sz w:val="22"/>
          <w:szCs w:val="22"/>
        </w:rPr>
        <w:t>Meetings will be convened as and when required</w:t>
      </w:r>
      <w:r w:rsidR="00174D03" w:rsidRPr="00DF697E">
        <w:rPr>
          <w:color w:val="auto"/>
          <w:sz w:val="22"/>
          <w:szCs w:val="22"/>
        </w:rPr>
        <w:t>, and as a minimum [</w:t>
      </w:r>
      <w:r w:rsidR="00174D03" w:rsidRPr="002000F8">
        <w:rPr>
          <w:color w:val="auto"/>
          <w:sz w:val="22"/>
          <w:szCs w:val="22"/>
          <w:highlight w:val="yellow"/>
        </w:rPr>
        <w:t>3]</w:t>
      </w:r>
      <w:r w:rsidR="00174D03" w:rsidRPr="00DF697E">
        <w:rPr>
          <w:color w:val="auto"/>
          <w:sz w:val="22"/>
          <w:szCs w:val="22"/>
        </w:rPr>
        <w:t xml:space="preserve"> times per calendar year</w:t>
      </w:r>
      <w:r w:rsidRPr="00DF697E">
        <w:rPr>
          <w:color w:val="auto"/>
          <w:sz w:val="22"/>
          <w:szCs w:val="22"/>
        </w:rPr>
        <w:t xml:space="preserve">. </w:t>
      </w:r>
    </w:p>
    <w:p w14:paraId="1CF7916B" w14:textId="77777777" w:rsidR="00174D03" w:rsidRPr="00DF697E" w:rsidRDefault="00174D03" w:rsidP="0028501C">
      <w:pPr>
        <w:pStyle w:val="Default"/>
        <w:rPr>
          <w:color w:val="auto"/>
          <w:sz w:val="22"/>
          <w:szCs w:val="22"/>
        </w:rPr>
      </w:pPr>
    </w:p>
    <w:p w14:paraId="60927303" w14:textId="77777777" w:rsidR="00276FC2" w:rsidRPr="00DF697E" w:rsidRDefault="0028501C" w:rsidP="0028501C">
      <w:pPr>
        <w:pStyle w:val="Default"/>
        <w:rPr>
          <w:color w:val="auto"/>
          <w:sz w:val="22"/>
          <w:szCs w:val="22"/>
        </w:rPr>
      </w:pPr>
      <w:r w:rsidRPr="00DF697E">
        <w:rPr>
          <w:color w:val="auto"/>
          <w:sz w:val="22"/>
          <w:szCs w:val="22"/>
        </w:rPr>
        <w:lastRenderedPageBreak/>
        <w:t xml:space="preserve">The Secretariat will confirm the meeting dates to the Members as agreed with </w:t>
      </w:r>
      <w:r w:rsidR="00276FC2" w:rsidRPr="00DF697E">
        <w:rPr>
          <w:color w:val="auto"/>
          <w:sz w:val="22"/>
          <w:szCs w:val="22"/>
        </w:rPr>
        <w:t xml:space="preserve">MPB </w:t>
      </w:r>
      <w:r w:rsidRPr="00DF697E">
        <w:rPr>
          <w:color w:val="auto"/>
          <w:sz w:val="22"/>
          <w:szCs w:val="22"/>
        </w:rPr>
        <w:t xml:space="preserve">members. All meetings will be held in person and hosted by either </w:t>
      </w:r>
      <w:r w:rsidR="00276FC2" w:rsidRPr="00DF697E">
        <w:rPr>
          <w:color w:val="auto"/>
          <w:sz w:val="22"/>
          <w:szCs w:val="22"/>
        </w:rPr>
        <w:t xml:space="preserve">Xoserve or </w:t>
      </w:r>
      <w:r w:rsidRPr="00DF697E">
        <w:rPr>
          <w:color w:val="auto"/>
          <w:sz w:val="22"/>
          <w:szCs w:val="22"/>
        </w:rPr>
        <w:t>Gemserv:</w:t>
      </w:r>
    </w:p>
    <w:p w14:paraId="6D531C52" w14:textId="77777777" w:rsidR="0028501C" w:rsidRPr="00DF697E" w:rsidRDefault="00276FC2" w:rsidP="0028501C">
      <w:pPr>
        <w:pStyle w:val="Default"/>
        <w:rPr>
          <w:color w:val="auto"/>
          <w:sz w:val="22"/>
          <w:szCs w:val="22"/>
        </w:rPr>
      </w:pPr>
      <w:r w:rsidRPr="00DF697E">
        <w:rPr>
          <w:color w:val="auto"/>
          <w:sz w:val="22"/>
          <w:szCs w:val="22"/>
        </w:rPr>
        <w:t xml:space="preserve"> </w:t>
      </w:r>
    </w:p>
    <w:p w14:paraId="287254A6" w14:textId="77777777" w:rsidR="00276FC2" w:rsidRPr="00DF697E" w:rsidRDefault="00276FC2" w:rsidP="00276FC2">
      <w:pPr>
        <w:pStyle w:val="Default"/>
        <w:numPr>
          <w:ilvl w:val="0"/>
          <w:numId w:val="14"/>
        </w:numPr>
        <w:rPr>
          <w:color w:val="auto"/>
        </w:rPr>
      </w:pPr>
      <w:r w:rsidRPr="00DF697E">
        <w:rPr>
          <w:color w:val="auto"/>
          <w:sz w:val="22"/>
          <w:szCs w:val="22"/>
        </w:rPr>
        <w:t>Xoserve office (Lansdowne Gate</w:t>
      </w:r>
      <w:r w:rsidRPr="00DF697E">
        <w:rPr>
          <w:color w:val="auto"/>
        </w:rPr>
        <w:t xml:space="preserve">, 65 New Road, Solihull, B91 3DL); or </w:t>
      </w:r>
    </w:p>
    <w:p w14:paraId="45263CA5" w14:textId="77777777" w:rsidR="0028501C" w:rsidRPr="00DF697E" w:rsidRDefault="0028501C" w:rsidP="0028501C">
      <w:pPr>
        <w:pStyle w:val="Default"/>
        <w:numPr>
          <w:ilvl w:val="0"/>
          <w:numId w:val="14"/>
        </w:numPr>
        <w:spacing w:after="68"/>
        <w:rPr>
          <w:color w:val="auto"/>
          <w:sz w:val="22"/>
          <w:szCs w:val="22"/>
        </w:rPr>
      </w:pPr>
      <w:r w:rsidRPr="00DF697E">
        <w:rPr>
          <w:color w:val="auto"/>
          <w:sz w:val="22"/>
          <w:szCs w:val="22"/>
        </w:rPr>
        <w:t>Gemserv office (8 Fenchurch Place, London, EC3M 4AJ)</w:t>
      </w:r>
    </w:p>
    <w:p w14:paraId="66F165B3" w14:textId="77777777" w:rsidR="0028501C" w:rsidRPr="00DF697E" w:rsidRDefault="0028501C" w:rsidP="0028501C">
      <w:pPr>
        <w:pStyle w:val="Default"/>
        <w:rPr>
          <w:color w:val="auto"/>
        </w:rPr>
      </w:pPr>
    </w:p>
    <w:p w14:paraId="55D7631C" w14:textId="77777777" w:rsidR="0028501C" w:rsidRPr="005D5300" w:rsidRDefault="0028501C" w:rsidP="005D5300">
      <w:pPr>
        <w:pStyle w:val="Default"/>
        <w:numPr>
          <w:ilvl w:val="0"/>
          <w:numId w:val="16"/>
        </w:numPr>
        <w:rPr>
          <w:b/>
          <w:bCs/>
        </w:rPr>
      </w:pPr>
      <w:r w:rsidRPr="005D5300">
        <w:rPr>
          <w:b/>
          <w:bCs/>
        </w:rPr>
        <w:t xml:space="preserve">Confidentiality </w:t>
      </w:r>
    </w:p>
    <w:p w14:paraId="43021645" w14:textId="77777777" w:rsidR="0028501C" w:rsidRPr="00DF697E" w:rsidRDefault="0028501C" w:rsidP="0028501C">
      <w:pPr>
        <w:pStyle w:val="Default"/>
        <w:rPr>
          <w:color w:val="auto"/>
        </w:rPr>
      </w:pPr>
    </w:p>
    <w:p w14:paraId="421D1A86" w14:textId="77777777" w:rsidR="0028501C" w:rsidRPr="00DF697E" w:rsidRDefault="0028501C" w:rsidP="0028501C">
      <w:pPr>
        <w:pStyle w:val="Default"/>
        <w:rPr>
          <w:color w:val="auto"/>
          <w:sz w:val="22"/>
          <w:szCs w:val="22"/>
        </w:rPr>
      </w:pPr>
      <w:r w:rsidRPr="00DF697E">
        <w:rPr>
          <w:color w:val="auto"/>
          <w:sz w:val="22"/>
          <w:szCs w:val="22"/>
        </w:rPr>
        <w:t xml:space="preserve">It is not expected that any discussions under the </w:t>
      </w:r>
      <w:r w:rsidR="00276FC2" w:rsidRPr="00DF697E">
        <w:rPr>
          <w:color w:val="auto"/>
          <w:sz w:val="22"/>
          <w:szCs w:val="22"/>
        </w:rPr>
        <w:t>MPB</w:t>
      </w:r>
      <w:r w:rsidRPr="00DF697E">
        <w:rPr>
          <w:color w:val="auto"/>
          <w:sz w:val="22"/>
          <w:szCs w:val="22"/>
        </w:rPr>
        <w:t xml:space="preserve"> will be confidential in nature. If a matter of confidentiality arises the </w:t>
      </w:r>
      <w:r w:rsidR="00276FC2" w:rsidRPr="00DF697E">
        <w:rPr>
          <w:color w:val="auto"/>
          <w:sz w:val="22"/>
          <w:szCs w:val="22"/>
        </w:rPr>
        <w:t xml:space="preserve">MPB </w:t>
      </w:r>
      <w:r w:rsidRPr="00DF697E">
        <w:rPr>
          <w:color w:val="auto"/>
          <w:sz w:val="22"/>
          <w:szCs w:val="22"/>
        </w:rPr>
        <w:t xml:space="preserve">will consider how to manage it. </w:t>
      </w:r>
    </w:p>
    <w:p w14:paraId="718F6F21" w14:textId="77777777" w:rsidR="006B1198" w:rsidRPr="00DF697E" w:rsidRDefault="006B1198" w:rsidP="0028501C">
      <w:pPr>
        <w:pStyle w:val="Default"/>
        <w:rPr>
          <w:b/>
          <w:bCs/>
          <w:color w:val="auto"/>
        </w:rPr>
      </w:pPr>
    </w:p>
    <w:p w14:paraId="26A726C6" w14:textId="77777777" w:rsidR="0028501C" w:rsidRPr="005D5300" w:rsidRDefault="0028501C" w:rsidP="005D5300">
      <w:pPr>
        <w:pStyle w:val="Default"/>
        <w:numPr>
          <w:ilvl w:val="0"/>
          <w:numId w:val="16"/>
        </w:numPr>
        <w:rPr>
          <w:b/>
          <w:bCs/>
        </w:rPr>
      </w:pPr>
      <w:r w:rsidRPr="005D5300">
        <w:rPr>
          <w:b/>
          <w:bCs/>
        </w:rPr>
        <w:t xml:space="preserve"> Governance </w:t>
      </w:r>
    </w:p>
    <w:p w14:paraId="75872F0D" w14:textId="77777777" w:rsidR="0028501C" w:rsidRPr="00DF697E" w:rsidRDefault="0028501C" w:rsidP="0028501C">
      <w:pPr>
        <w:pStyle w:val="Default"/>
        <w:rPr>
          <w:color w:val="auto"/>
        </w:rPr>
      </w:pPr>
    </w:p>
    <w:p w14:paraId="5E24FD9B" w14:textId="77777777" w:rsidR="0028501C" w:rsidRPr="00DF697E" w:rsidRDefault="0028501C" w:rsidP="0028501C">
      <w:pPr>
        <w:pStyle w:val="Default"/>
        <w:rPr>
          <w:color w:val="auto"/>
          <w:sz w:val="22"/>
          <w:szCs w:val="22"/>
        </w:rPr>
      </w:pPr>
      <w:r w:rsidRPr="00DF697E">
        <w:rPr>
          <w:color w:val="auto"/>
          <w:sz w:val="22"/>
          <w:szCs w:val="22"/>
        </w:rPr>
        <w:t>Upon finalisation of any reports to MPB</w:t>
      </w:r>
      <w:r w:rsidR="002000F8">
        <w:rPr>
          <w:color w:val="auto"/>
          <w:sz w:val="22"/>
          <w:szCs w:val="22"/>
        </w:rPr>
        <w:t xml:space="preserve"> by </w:t>
      </w:r>
      <w:r w:rsidRPr="00DF697E">
        <w:rPr>
          <w:color w:val="auto"/>
          <w:sz w:val="22"/>
          <w:szCs w:val="22"/>
        </w:rPr>
        <w:t>JMDG</w:t>
      </w:r>
      <w:r w:rsidR="002000F8">
        <w:rPr>
          <w:color w:val="auto"/>
          <w:sz w:val="22"/>
          <w:szCs w:val="22"/>
        </w:rPr>
        <w:t xml:space="preserve">, </w:t>
      </w:r>
      <w:r w:rsidR="00276FC2" w:rsidRPr="00DF697E">
        <w:rPr>
          <w:color w:val="auto"/>
          <w:sz w:val="22"/>
          <w:szCs w:val="22"/>
        </w:rPr>
        <w:t xml:space="preserve">MPB </w:t>
      </w:r>
      <w:r w:rsidRPr="00DF697E">
        <w:rPr>
          <w:color w:val="auto"/>
          <w:sz w:val="22"/>
          <w:szCs w:val="22"/>
        </w:rPr>
        <w:t xml:space="preserve">will provide advice and direction on any </w:t>
      </w:r>
      <w:r w:rsidR="00276FC2" w:rsidRPr="00DF697E">
        <w:rPr>
          <w:color w:val="auto"/>
          <w:sz w:val="22"/>
          <w:szCs w:val="22"/>
        </w:rPr>
        <w:t xml:space="preserve">regulatory and/or </w:t>
      </w:r>
      <w:r w:rsidRPr="00DF697E">
        <w:rPr>
          <w:color w:val="auto"/>
          <w:sz w:val="22"/>
          <w:szCs w:val="22"/>
        </w:rPr>
        <w:t xml:space="preserve">governance issues that may arise. </w:t>
      </w:r>
    </w:p>
    <w:p w14:paraId="4C221520" w14:textId="77777777" w:rsidR="0028501C" w:rsidRPr="00DF697E" w:rsidRDefault="0028501C" w:rsidP="0028501C">
      <w:pPr>
        <w:pStyle w:val="Default"/>
        <w:rPr>
          <w:b/>
          <w:bCs/>
          <w:color w:val="auto"/>
        </w:rPr>
      </w:pPr>
    </w:p>
    <w:p w14:paraId="52914317" w14:textId="77777777" w:rsidR="0028501C" w:rsidRPr="005D5300" w:rsidRDefault="0028501C" w:rsidP="005D5300">
      <w:pPr>
        <w:pStyle w:val="Default"/>
        <w:numPr>
          <w:ilvl w:val="0"/>
          <w:numId w:val="16"/>
        </w:numPr>
        <w:rPr>
          <w:b/>
          <w:color w:val="auto"/>
        </w:rPr>
      </w:pPr>
      <w:r w:rsidRPr="005D5300">
        <w:rPr>
          <w:b/>
          <w:bCs/>
        </w:rPr>
        <w:t xml:space="preserve">Funding </w:t>
      </w:r>
    </w:p>
    <w:p w14:paraId="29C7BAB9" w14:textId="77777777" w:rsidR="0028501C" w:rsidRPr="00DF697E" w:rsidRDefault="0028501C" w:rsidP="0028501C">
      <w:pPr>
        <w:pStyle w:val="Default"/>
        <w:rPr>
          <w:color w:val="auto"/>
        </w:rPr>
      </w:pPr>
    </w:p>
    <w:p w14:paraId="6E531E3A" w14:textId="77777777" w:rsidR="0028501C" w:rsidRPr="00DF697E" w:rsidRDefault="0028501C" w:rsidP="00DF697E">
      <w:pPr>
        <w:pStyle w:val="Default"/>
        <w:rPr>
          <w:color w:val="auto"/>
          <w:sz w:val="22"/>
          <w:szCs w:val="22"/>
        </w:rPr>
      </w:pPr>
      <w:r w:rsidRPr="00DF697E">
        <w:rPr>
          <w:color w:val="auto"/>
          <w:sz w:val="22"/>
          <w:szCs w:val="22"/>
        </w:rPr>
        <w:t>The cost of meeting rooms, refreshments and supporting services will be met by the MRA/ UNC. Individual M</w:t>
      </w:r>
      <w:r w:rsidR="00276FC2" w:rsidRPr="00DF697E">
        <w:rPr>
          <w:color w:val="auto"/>
          <w:sz w:val="22"/>
          <w:szCs w:val="22"/>
        </w:rPr>
        <w:t>PB</w:t>
      </w:r>
      <w:r w:rsidRPr="00DF697E">
        <w:rPr>
          <w:color w:val="auto"/>
          <w:sz w:val="22"/>
          <w:szCs w:val="22"/>
        </w:rPr>
        <w:t xml:space="preserve"> members will meet their personal attendance expenses</w:t>
      </w:r>
      <w:r w:rsidR="00BC2419">
        <w:rPr>
          <w:color w:val="auto"/>
          <w:sz w:val="22"/>
          <w:szCs w:val="22"/>
        </w:rPr>
        <w:t>.</w:t>
      </w:r>
    </w:p>
    <w:p w14:paraId="05BB7ACE" w14:textId="77777777" w:rsidR="00E128AC" w:rsidRDefault="00E128AC" w:rsidP="0028501C">
      <w:pPr>
        <w:rPr>
          <w:rFonts w:asciiTheme="minorHAnsi" w:hAnsiTheme="minorHAnsi" w:cs="Calibri"/>
          <w:sz w:val="24"/>
          <w:szCs w:val="24"/>
        </w:rPr>
      </w:pPr>
    </w:p>
    <w:p w14:paraId="0462DB53" w14:textId="77777777" w:rsidR="00E128AC" w:rsidRDefault="00E128AC">
      <w:pPr>
        <w:spacing w:after="160" w:line="259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5F84B240" w14:textId="77777777" w:rsidR="00E128AC" w:rsidRDefault="00E128AC" w:rsidP="0028501C">
      <w:pPr>
        <w:rPr>
          <w:rFonts w:ascii="Arial" w:hAnsi="Arial" w:cs="Arial"/>
          <w:b/>
          <w:sz w:val="36"/>
          <w:szCs w:val="36"/>
        </w:rPr>
      </w:pPr>
    </w:p>
    <w:p w14:paraId="00B73CD0" w14:textId="77777777" w:rsidR="00E128AC" w:rsidRDefault="00E128AC" w:rsidP="0028501C">
      <w:pPr>
        <w:rPr>
          <w:rFonts w:ascii="Arial" w:hAnsi="Arial" w:cs="Arial"/>
          <w:b/>
          <w:sz w:val="36"/>
          <w:szCs w:val="36"/>
        </w:rPr>
      </w:pPr>
      <w:r w:rsidRPr="00E128AC">
        <w:rPr>
          <w:rFonts w:ascii="Arial" w:hAnsi="Arial" w:cs="Arial"/>
          <w:b/>
          <w:sz w:val="36"/>
          <w:szCs w:val="36"/>
        </w:rPr>
        <w:t>APPENDIX A – PROGRAMME GOVERNANCE</w:t>
      </w:r>
    </w:p>
    <w:p w14:paraId="10A498D5" w14:textId="77777777" w:rsidR="00E128AC" w:rsidRDefault="00E128AC" w:rsidP="0028501C">
      <w:pPr>
        <w:rPr>
          <w:rFonts w:ascii="Arial" w:hAnsi="Arial" w:cs="Arial"/>
          <w:b/>
          <w:sz w:val="36"/>
          <w:szCs w:val="36"/>
        </w:rPr>
      </w:pPr>
    </w:p>
    <w:p w14:paraId="1587EFBC" w14:textId="77777777" w:rsidR="00E128AC" w:rsidRPr="00E128AC" w:rsidRDefault="00E128AC" w:rsidP="0028501C">
      <w:pPr>
        <w:rPr>
          <w:rFonts w:ascii="Arial" w:hAnsi="Arial" w:cs="Arial"/>
          <w:b/>
          <w:sz w:val="36"/>
          <w:szCs w:val="36"/>
        </w:rPr>
      </w:pPr>
    </w:p>
    <w:p w14:paraId="1B04C1CC" w14:textId="77777777" w:rsidR="00E128AC" w:rsidRDefault="00E128AC" w:rsidP="0028501C">
      <w:pPr>
        <w:rPr>
          <w:rFonts w:asciiTheme="minorHAnsi" w:hAnsiTheme="minorHAnsi"/>
          <w:b/>
          <w:sz w:val="24"/>
          <w:szCs w:val="24"/>
        </w:rPr>
      </w:pPr>
    </w:p>
    <w:p w14:paraId="208B7DAD" w14:textId="77777777" w:rsidR="00E128AC" w:rsidRPr="0028501C" w:rsidRDefault="00E128AC" w:rsidP="0028501C">
      <w:pPr>
        <w:rPr>
          <w:rFonts w:asciiTheme="minorHAnsi" w:hAnsiTheme="minorHAnsi"/>
          <w:b/>
          <w:sz w:val="24"/>
          <w:szCs w:val="24"/>
        </w:rPr>
      </w:pPr>
      <w:r w:rsidRPr="00E128AC">
        <w:rPr>
          <w:rFonts w:asciiTheme="minorHAnsi" w:hAnsiTheme="minorHAnsi"/>
          <w:b/>
          <w:noProof/>
          <w:sz w:val="24"/>
          <w:szCs w:val="24"/>
          <w:lang w:eastAsia="en-GB"/>
        </w:rPr>
        <w:drawing>
          <wp:inline distT="0" distB="0" distL="0" distR="0" wp14:anchorId="7F663A1E" wp14:editId="0FD099D5">
            <wp:extent cx="5731510" cy="3468370"/>
            <wp:effectExtent l="0" t="0" r="2540" b="0"/>
            <wp:docPr id="1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7C557C-5CE9-4213-8915-D0673A114883}"/>
                </a:ext>
              </a:extLst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7C557C-5CE9-4213-8915-D0673A114883}"/>
                        </a:ext>
                      </a:extLst>
                    </pic:cNvPr>
                    <pic:cNvPicPr>
                      <a:picLocks noGr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6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2261076A" w14:textId="77777777" w:rsidR="0028501C" w:rsidRDefault="0028501C" w:rsidP="00643C6E">
      <w:pPr>
        <w:jc w:val="center"/>
        <w:rPr>
          <w:b/>
          <w:sz w:val="36"/>
          <w:szCs w:val="36"/>
        </w:rPr>
      </w:pPr>
    </w:p>
    <w:sectPr w:rsidR="0028501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F800C" w14:textId="77777777" w:rsidR="00DC477A" w:rsidRDefault="00DC477A" w:rsidP="00FF1C5D">
      <w:r>
        <w:separator/>
      </w:r>
    </w:p>
  </w:endnote>
  <w:endnote w:type="continuationSeparator" w:id="0">
    <w:p w14:paraId="46B8401E" w14:textId="77777777" w:rsidR="00DC477A" w:rsidRDefault="00DC477A" w:rsidP="00FF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0432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C79C66" w14:textId="77777777" w:rsidR="00174D03" w:rsidRDefault="00174D03" w:rsidP="00E016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6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79C9D" w14:textId="77777777" w:rsidR="00DC477A" w:rsidRDefault="00DC477A" w:rsidP="00FF1C5D">
      <w:r>
        <w:separator/>
      </w:r>
    </w:p>
  </w:footnote>
  <w:footnote w:type="continuationSeparator" w:id="0">
    <w:p w14:paraId="7127523E" w14:textId="77777777" w:rsidR="00DC477A" w:rsidRDefault="00DC477A" w:rsidP="00FF1C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0"/>
      <w:gridCol w:w="3009"/>
      <w:gridCol w:w="3007"/>
    </w:tblGrid>
    <w:tr w:rsidR="00174D03" w14:paraId="49341D20" w14:textId="77777777">
      <w:trPr>
        <w:trHeight w:val="720"/>
      </w:trPr>
      <w:tc>
        <w:tcPr>
          <w:tcW w:w="1667" w:type="pct"/>
        </w:tcPr>
        <w:p w14:paraId="34727E87" w14:textId="77777777" w:rsidR="00174D03" w:rsidRDefault="00174D03">
          <w:pPr>
            <w:pStyle w:val="Header"/>
            <w:rPr>
              <w:color w:val="5B9BD5" w:themeColor="accent1"/>
            </w:rPr>
          </w:pPr>
          <w:r>
            <w:rPr>
              <w:noProof/>
              <w:color w:val="5B9BD5" w:themeColor="accent1"/>
              <w:lang w:eastAsia="en-GB"/>
            </w:rPr>
            <w:drawing>
              <wp:anchor distT="0" distB="0" distL="114300" distR="114300" simplePos="0" relativeHeight="251657728" behindDoc="1" locked="0" layoutInCell="1" allowOverlap="1" wp14:anchorId="2DA30789" wp14:editId="6264DAA0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1276350" cy="51816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1667" w:type="pct"/>
        </w:tcPr>
        <w:p w14:paraId="276CCDFF" w14:textId="77777777" w:rsidR="00174D03" w:rsidRDefault="00174D03">
          <w:pPr>
            <w:pStyle w:val="Header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14277805" w14:textId="77777777" w:rsidR="00174D03" w:rsidRDefault="00174D03">
          <w:pPr>
            <w:pStyle w:val="Header"/>
            <w:jc w:val="right"/>
            <w:rPr>
              <w:color w:val="5B9BD5" w:themeColor="accent1"/>
            </w:rPr>
          </w:pPr>
          <w:r>
            <w:rPr>
              <w:noProof/>
              <w:color w:val="5B9BD5" w:themeColor="accent1"/>
              <w:lang w:eastAsia="en-GB"/>
            </w:rPr>
            <w:drawing>
              <wp:anchor distT="0" distB="0" distL="114300" distR="114300" simplePos="0" relativeHeight="251656704" behindDoc="1" locked="0" layoutInCell="1" allowOverlap="1" wp14:anchorId="52240D62" wp14:editId="4C223999">
                <wp:simplePos x="0" y="0"/>
                <wp:positionH relativeFrom="column">
                  <wp:posOffset>544602</wp:posOffset>
                </wp:positionH>
                <wp:positionV relativeFrom="paragraph">
                  <wp:posOffset>271221</wp:posOffset>
                </wp:positionV>
                <wp:extent cx="1249680" cy="30480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680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6F4E2F23" w14:textId="77777777" w:rsidR="00174D03" w:rsidRDefault="00174D03" w:rsidP="008E712A">
    <w:pPr>
      <w:pStyle w:val="Header"/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188FDE"/>
    <w:multiLevelType w:val="hybridMultilevel"/>
    <w:tmpl w:val="6B7877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1B3414"/>
    <w:multiLevelType w:val="hybridMultilevel"/>
    <w:tmpl w:val="B186F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F2C3A"/>
    <w:multiLevelType w:val="hybridMultilevel"/>
    <w:tmpl w:val="D7E61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A7398"/>
    <w:multiLevelType w:val="hybridMultilevel"/>
    <w:tmpl w:val="C7D495B0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>
    <w:nsid w:val="19267179"/>
    <w:multiLevelType w:val="hybridMultilevel"/>
    <w:tmpl w:val="0A3050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D143EE"/>
    <w:multiLevelType w:val="hybridMultilevel"/>
    <w:tmpl w:val="9C980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13CFE"/>
    <w:multiLevelType w:val="hybridMultilevel"/>
    <w:tmpl w:val="4D320D74"/>
    <w:lvl w:ilvl="0" w:tplc="6DE2F92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06F29"/>
    <w:multiLevelType w:val="hybridMultilevel"/>
    <w:tmpl w:val="99EA3A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4A0370"/>
    <w:multiLevelType w:val="hybridMultilevel"/>
    <w:tmpl w:val="408C862A"/>
    <w:lvl w:ilvl="0" w:tplc="B99879AA">
      <w:start w:val="1"/>
      <w:numFmt w:val="bullet"/>
      <w:pStyle w:val="MRABulletList"/>
      <w:lvlText w:val=""/>
      <w:lvlJc w:val="left"/>
      <w:pPr>
        <w:ind w:left="1821" w:hanging="360"/>
      </w:pPr>
      <w:rPr>
        <w:rFonts w:ascii="Symbol" w:hAnsi="Symbol" w:hint="default"/>
      </w:rPr>
    </w:lvl>
    <w:lvl w:ilvl="1" w:tplc="DC8C9578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2" w:tplc="8334D4E8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878447C4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9E28FCFA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A7D28C54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18E8E034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D24058C0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2E5A8E64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9">
    <w:nsid w:val="25C369FC"/>
    <w:multiLevelType w:val="hybridMultilevel"/>
    <w:tmpl w:val="70B07A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115F6"/>
    <w:multiLevelType w:val="hybridMultilevel"/>
    <w:tmpl w:val="0144E846"/>
    <w:lvl w:ilvl="0" w:tplc="BDE451C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33A70"/>
    <w:multiLevelType w:val="hybridMultilevel"/>
    <w:tmpl w:val="9502FF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C4B88"/>
    <w:multiLevelType w:val="hybridMultilevel"/>
    <w:tmpl w:val="A56A675E"/>
    <w:lvl w:ilvl="0" w:tplc="0DE8C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5E3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6C4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768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BCC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7A2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381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DA5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98A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29516C7"/>
    <w:multiLevelType w:val="hybridMultilevel"/>
    <w:tmpl w:val="23AE5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F6AF4"/>
    <w:multiLevelType w:val="hybridMultilevel"/>
    <w:tmpl w:val="014AE4F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E10622"/>
    <w:multiLevelType w:val="hybridMultilevel"/>
    <w:tmpl w:val="86B2F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93101"/>
    <w:multiLevelType w:val="hybridMultilevel"/>
    <w:tmpl w:val="D56F51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A8F5A12"/>
    <w:multiLevelType w:val="hybridMultilevel"/>
    <w:tmpl w:val="59489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9"/>
  </w:num>
  <w:num w:numId="7">
    <w:abstractNumId w:val="2"/>
  </w:num>
  <w:num w:numId="8">
    <w:abstractNumId w:val="14"/>
  </w:num>
  <w:num w:numId="9">
    <w:abstractNumId w:val="12"/>
  </w:num>
  <w:num w:numId="10">
    <w:abstractNumId w:val="17"/>
  </w:num>
  <w:num w:numId="11">
    <w:abstractNumId w:val="0"/>
  </w:num>
  <w:num w:numId="12">
    <w:abstractNumId w:val="16"/>
  </w:num>
  <w:num w:numId="13">
    <w:abstractNumId w:val="13"/>
  </w:num>
  <w:num w:numId="14">
    <w:abstractNumId w:val="1"/>
  </w:num>
  <w:num w:numId="15">
    <w:abstractNumId w:val="7"/>
  </w:num>
  <w:num w:numId="16">
    <w:abstractNumId w:val="4"/>
  </w:num>
  <w:num w:numId="17">
    <w:abstractNumId w:val="8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81"/>
    <w:rsid w:val="00001C71"/>
    <w:rsid w:val="0000547C"/>
    <w:rsid w:val="000278F3"/>
    <w:rsid w:val="00035683"/>
    <w:rsid w:val="000613FC"/>
    <w:rsid w:val="000634E1"/>
    <w:rsid w:val="00063865"/>
    <w:rsid w:val="000C1CC2"/>
    <w:rsid w:val="000C6740"/>
    <w:rsid w:val="000D1634"/>
    <w:rsid w:val="000D7395"/>
    <w:rsid w:val="000F313E"/>
    <w:rsid w:val="00123A97"/>
    <w:rsid w:val="00126B02"/>
    <w:rsid w:val="0014111C"/>
    <w:rsid w:val="00174D03"/>
    <w:rsid w:val="00192B93"/>
    <w:rsid w:val="001A0D59"/>
    <w:rsid w:val="001E793C"/>
    <w:rsid w:val="002000F8"/>
    <w:rsid w:val="00211E62"/>
    <w:rsid w:val="00246706"/>
    <w:rsid w:val="00276FC2"/>
    <w:rsid w:val="002812B2"/>
    <w:rsid w:val="0028501C"/>
    <w:rsid w:val="002A6022"/>
    <w:rsid w:val="002E31E5"/>
    <w:rsid w:val="002F2C81"/>
    <w:rsid w:val="003064AE"/>
    <w:rsid w:val="00312222"/>
    <w:rsid w:val="003139AB"/>
    <w:rsid w:val="00316FEF"/>
    <w:rsid w:val="0039359B"/>
    <w:rsid w:val="003C0470"/>
    <w:rsid w:val="003C3A01"/>
    <w:rsid w:val="003D3C62"/>
    <w:rsid w:val="003D4EB2"/>
    <w:rsid w:val="004229B3"/>
    <w:rsid w:val="00432F10"/>
    <w:rsid w:val="0043434E"/>
    <w:rsid w:val="00456645"/>
    <w:rsid w:val="004E02B8"/>
    <w:rsid w:val="00587356"/>
    <w:rsid w:val="005D5300"/>
    <w:rsid w:val="006176CE"/>
    <w:rsid w:val="00643C6E"/>
    <w:rsid w:val="00682C42"/>
    <w:rsid w:val="00683AED"/>
    <w:rsid w:val="006B1198"/>
    <w:rsid w:val="006D6438"/>
    <w:rsid w:val="006E2F39"/>
    <w:rsid w:val="007067E7"/>
    <w:rsid w:val="00706F18"/>
    <w:rsid w:val="0074411A"/>
    <w:rsid w:val="00781600"/>
    <w:rsid w:val="007D51E5"/>
    <w:rsid w:val="007E1F55"/>
    <w:rsid w:val="00800362"/>
    <w:rsid w:val="0082735D"/>
    <w:rsid w:val="00837BC1"/>
    <w:rsid w:val="0085018B"/>
    <w:rsid w:val="008731F7"/>
    <w:rsid w:val="008E0A50"/>
    <w:rsid w:val="008E712A"/>
    <w:rsid w:val="008F070D"/>
    <w:rsid w:val="00954019"/>
    <w:rsid w:val="009909AD"/>
    <w:rsid w:val="00992F4A"/>
    <w:rsid w:val="00995F3B"/>
    <w:rsid w:val="009C5300"/>
    <w:rsid w:val="009F2DFF"/>
    <w:rsid w:val="009F3D16"/>
    <w:rsid w:val="009F7A9D"/>
    <w:rsid w:val="00A4603E"/>
    <w:rsid w:val="00A4732A"/>
    <w:rsid w:val="00A875A1"/>
    <w:rsid w:val="00AE4160"/>
    <w:rsid w:val="00AE56D3"/>
    <w:rsid w:val="00B40DDB"/>
    <w:rsid w:val="00B65000"/>
    <w:rsid w:val="00B6614C"/>
    <w:rsid w:val="00B721DE"/>
    <w:rsid w:val="00B7495E"/>
    <w:rsid w:val="00B76659"/>
    <w:rsid w:val="00B8163B"/>
    <w:rsid w:val="00B84F49"/>
    <w:rsid w:val="00B929D7"/>
    <w:rsid w:val="00BC2419"/>
    <w:rsid w:val="00BE1F3D"/>
    <w:rsid w:val="00C4079C"/>
    <w:rsid w:val="00C54D8E"/>
    <w:rsid w:val="00C67EBA"/>
    <w:rsid w:val="00C90D7F"/>
    <w:rsid w:val="00CA3F98"/>
    <w:rsid w:val="00CE2F0B"/>
    <w:rsid w:val="00CF26AB"/>
    <w:rsid w:val="00D0187B"/>
    <w:rsid w:val="00D40C0D"/>
    <w:rsid w:val="00D926C7"/>
    <w:rsid w:val="00DC1773"/>
    <w:rsid w:val="00DC477A"/>
    <w:rsid w:val="00DF697E"/>
    <w:rsid w:val="00E016CE"/>
    <w:rsid w:val="00E128AC"/>
    <w:rsid w:val="00E6558C"/>
    <w:rsid w:val="00E9372F"/>
    <w:rsid w:val="00EA6A16"/>
    <w:rsid w:val="00ED2091"/>
    <w:rsid w:val="00F56B38"/>
    <w:rsid w:val="00FA4237"/>
    <w:rsid w:val="00FC0316"/>
    <w:rsid w:val="00FE7B13"/>
    <w:rsid w:val="00FF1C5D"/>
    <w:rsid w:val="00FF22DC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255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2C8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C81"/>
    <w:pPr>
      <w:ind w:left="720"/>
    </w:pPr>
  </w:style>
  <w:style w:type="table" w:styleId="TableGrid">
    <w:name w:val="Table Grid"/>
    <w:basedOn w:val="TableNormal"/>
    <w:uiPriority w:val="39"/>
    <w:rsid w:val="002F2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2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1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1D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1DE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1C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C5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1C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C5D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E1F3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1F3D"/>
    <w:rPr>
      <w:color w:val="808080"/>
      <w:shd w:val="clear" w:color="auto" w:fill="E6E6E6"/>
    </w:rPr>
  </w:style>
  <w:style w:type="paragraph" w:customStyle="1" w:styleId="Default">
    <w:name w:val="Default"/>
    <w:rsid w:val="002850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RABulletList">
    <w:name w:val="MRA Bullet List"/>
    <w:basedOn w:val="Normal"/>
    <w:link w:val="MRABulletListChar"/>
    <w:qFormat/>
    <w:locked/>
    <w:rsid w:val="003C3A01"/>
    <w:pPr>
      <w:keepLines/>
      <w:numPr>
        <w:numId w:val="17"/>
      </w:numPr>
      <w:spacing w:after="200" w:line="276" w:lineRule="auto"/>
      <w:contextualSpacing/>
    </w:pPr>
    <w:rPr>
      <w:rFonts w:ascii="Arial" w:eastAsia="Calibri" w:hAnsi="Arial"/>
      <w:color w:val="000000"/>
      <w:sz w:val="20"/>
      <w:szCs w:val="20"/>
      <w:lang w:val="x-none"/>
    </w:rPr>
  </w:style>
  <w:style w:type="character" w:customStyle="1" w:styleId="MRABulletListChar">
    <w:name w:val="MRA Bullet List Char"/>
    <w:basedOn w:val="DefaultParagraphFont"/>
    <w:link w:val="MRABulletList"/>
    <w:rsid w:val="003C3A01"/>
    <w:rPr>
      <w:rFonts w:ascii="Arial" w:eastAsia="Calibri" w:hAnsi="Arial" w:cs="Times New Roman"/>
      <w:color w:val="000000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234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25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319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81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12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84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36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92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66198-F4DB-F147-8351-91A08773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665</Words>
  <Characters>3794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Thornton</dc:creator>
  <cp:lastModifiedBy>Kully Jones</cp:lastModifiedBy>
  <cp:revision>2</cp:revision>
  <cp:lastPrinted>2017-12-05T11:16:00Z</cp:lastPrinted>
  <dcterms:created xsi:type="dcterms:W3CDTF">2018-01-17T13:39:00Z</dcterms:created>
  <dcterms:modified xsi:type="dcterms:W3CDTF">2018-01-17T13:39:00Z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1669722808</vt:i4>
  </property>
  <property fmtid="{D5CDD505-2E9C-101B-9397-08002B2CF9AE}" pid="4" name="_EmailSubject">
    <vt:lpwstr>DSC ChMC - ACTION </vt:lpwstr>
  </property>
  <property fmtid="{D5CDD505-2E9C-101B-9397-08002B2CF9AE}" pid="5" name="_AuthorEmail">
    <vt:lpwstr>Tahera.Choudhury@xoserve.com</vt:lpwstr>
  </property>
  <property fmtid="{D5CDD505-2E9C-101B-9397-08002B2CF9AE}" pid="6" name="_AuthorEmailDisplayName">
    <vt:lpwstr>Choudhury, Tahera</vt:lpwstr>
  </property>
  <property fmtid="{D5CDD505-2E9C-101B-9397-08002B2CF9AE}" pid="7" name="_ReviewingToolsShownOnce">
    <vt:lpwstr/>
  </property>
</Properties>
</file>