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A5C37" w14:textId="77777777" w:rsidR="00045006" w:rsidRDefault="00045006">
      <w:pPr>
        <w:spacing w:before="0" w:after="0" w:line="240" w:lineRule="auto"/>
        <w:rPr>
          <w:rFonts w:cs="Arial"/>
        </w:rPr>
      </w:pPr>
    </w:p>
    <w:p w14:paraId="02708792" w14:textId="77777777" w:rsidR="00045006" w:rsidRDefault="00045006">
      <w:pPr>
        <w:spacing w:before="0" w:after="0" w:line="240" w:lineRule="auto"/>
        <w:rPr>
          <w:rFonts w:cs="Arial"/>
        </w:rPr>
      </w:pPr>
    </w:p>
    <w:p w14:paraId="320D9A7F" w14:textId="77777777" w:rsidR="00045006" w:rsidRDefault="00045006">
      <w:pPr>
        <w:spacing w:before="0" w:after="0" w:line="240" w:lineRule="auto"/>
        <w:rPr>
          <w:rFonts w:cs="Arial"/>
        </w:rPr>
      </w:pPr>
    </w:p>
    <w:p w14:paraId="4EECC54B" w14:textId="77777777" w:rsidR="00045006" w:rsidRDefault="00045006">
      <w:pPr>
        <w:spacing w:before="0" w:after="0" w:line="240" w:lineRule="auto"/>
        <w:rPr>
          <w:rFonts w:cs="Arial"/>
        </w:rPr>
      </w:pPr>
    </w:p>
    <w:p w14:paraId="6C599FD7" w14:textId="77777777" w:rsidR="00045006" w:rsidRDefault="00045006">
      <w:pPr>
        <w:spacing w:before="0" w:after="0" w:line="240" w:lineRule="auto"/>
        <w:rPr>
          <w:rFonts w:cs="Arial"/>
        </w:rPr>
      </w:pPr>
    </w:p>
    <w:p w14:paraId="4555F3E4" w14:textId="77777777" w:rsidR="00045006" w:rsidRDefault="00045006">
      <w:pPr>
        <w:spacing w:before="0" w:after="0" w:line="240" w:lineRule="auto"/>
        <w:rPr>
          <w:rFonts w:cs="Arial"/>
        </w:rPr>
      </w:pPr>
    </w:p>
    <w:p w14:paraId="324C370F" w14:textId="67247E3C" w:rsidR="0010158C" w:rsidRDefault="0010158C" w:rsidP="00045006">
      <w:pPr>
        <w:spacing w:before="0" w:after="0" w:line="240" w:lineRule="auto"/>
        <w:rPr>
          <w:rFonts w:cs="Arial"/>
          <w:b/>
        </w:rPr>
      </w:pPr>
      <w:r>
        <w:rPr>
          <w:rFonts w:cs="Arial"/>
          <w:b/>
        </w:rPr>
        <w:t>PART I SECTION 1 Workgroup report 0621/A/B/C/D/E/F/G/H/J</w:t>
      </w:r>
    </w:p>
    <w:p w14:paraId="75639317" w14:textId="77777777" w:rsidR="0010158C" w:rsidRDefault="0010158C" w:rsidP="00045006">
      <w:pPr>
        <w:spacing w:before="0" w:after="0" w:line="240" w:lineRule="auto"/>
        <w:rPr>
          <w:rFonts w:cs="Arial"/>
          <w:b/>
        </w:rPr>
      </w:pPr>
    </w:p>
    <w:p w14:paraId="080ED990" w14:textId="77777777" w:rsidR="0010158C" w:rsidRDefault="0010158C" w:rsidP="00045006">
      <w:pPr>
        <w:spacing w:before="0" w:after="0" w:line="240" w:lineRule="auto"/>
        <w:rPr>
          <w:rFonts w:cs="Arial"/>
          <w:b/>
        </w:rPr>
      </w:pPr>
    </w:p>
    <w:p w14:paraId="53C527EE" w14:textId="12D6E697" w:rsidR="0010158C" w:rsidRDefault="0010158C" w:rsidP="0010158C">
      <w:pPr>
        <w:spacing w:before="0" w:after="0" w:line="240" w:lineRule="auto"/>
        <w:rPr>
          <w:rFonts w:cs="Arial"/>
          <w:b/>
        </w:rPr>
      </w:pPr>
      <w:r w:rsidRPr="0010158C">
        <w:rPr>
          <w:rFonts w:cs="Arial"/>
          <w:b/>
        </w:rPr>
        <w:t xml:space="preserve">Title/cover page </w:t>
      </w:r>
    </w:p>
    <w:p w14:paraId="5958DA16" w14:textId="77777777" w:rsidR="0010158C" w:rsidRDefault="0010158C" w:rsidP="0010158C">
      <w:pPr>
        <w:spacing w:before="0" w:after="0" w:line="240" w:lineRule="auto"/>
        <w:rPr>
          <w:rFonts w:cs="Arial"/>
          <w:b/>
        </w:rPr>
      </w:pPr>
    </w:p>
    <w:p w14:paraId="40B376C7" w14:textId="77777777" w:rsidR="0010158C" w:rsidRPr="0010158C" w:rsidRDefault="0010158C" w:rsidP="0010158C">
      <w:pPr>
        <w:spacing w:before="0" w:after="0" w:line="240" w:lineRule="auto"/>
        <w:rPr>
          <w:rFonts w:cs="Arial"/>
          <w:b/>
        </w:rPr>
      </w:pPr>
    </w:p>
    <w:p w14:paraId="4D99C3AE" w14:textId="77777777" w:rsidR="0010158C" w:rsidRDefault="0010158C" w:rsidP="0010158C">
      <w:pPr>
        <w:spacing w:before="0" w:after="0" w:line="240" w:lineRule="auto"/>
        <w:rPr>
          <w:rFonts w:cs="Arial"/>
          <w:b/>
        </w:rPr>
      </w:pPr>
      <w:r w:rsidRPr="0010158C">
        <w:rPr>
          <w:rFonts w:cs="Arial"/>
          <w:b/>
        </w:rPr>
        <w:t>How to use this report, including navigation</w:t>
      </w:r>
    </w:p>
    <w:p w14:paraId="3FE082A4" w14:textId="77777777" w:rsidR="0010158C" w:rsidRDefault="0010158C" w:rsidP="0010158C">
      <w:pPr>
        <w:spacing w:before="0" w:after="0" w:line="240" w:lineRule="auto"/>
        <w:rPr>
          <w:rFonts w:cs="Arial"/>
          <w:b/>
        </w:rPr>
      </w:pPr>
    </w:p>
    <w:p w14:paraId="230098F5" w14:textId="77777777" w:rsidR="0010158C" w:rsidRPr="0010158C" w:rsidRDefault="0010158C" w:rsidP="0010158C">
      <w:pPr>
        <w:spacing w:before="0" w:after="0" w:line="240" w:lineRule="auto"/>
        <w:rPr>
          <w:rFonts w:cs="Arial"/>
          <w:b/>
        </w:rPr>
      </w:pPr>
    </w:p>
    <w:p w14:paraId="1EF4CB78" w14:textId="77777777" w:rsidR="0010158C" w:rsidRPr="0010158C" w:rsidRDefault="0010158C" w:rsidP="0010158C">
      <w:pPr>
        <w:spacing w:before="0" w:after="0" w:line="240" w:lineRule="auto"/>
        <w:rPr>
          <w:rFonts w:cs="Arial"/>
          <w:b/>
        </w:rPr>
      </w:pPr>
      <w:r w:rsidRPr="0010158C">
        <w:rPr>
          <w:rFonts w:cs="Arial"/>
          <w:b/>
        </w:rPr>
        <w:t>Table of Contents</w:t>
      </w:r>
    </w:p>
    <w:p w14:paraId="0B929D4A" w14:textId="77777777" w:rsidR="0010158C" w:rsidRDefault="0010158C" w:rsidP="00045006">
      <w:pPr>
        <w:spacing w:before="0" w:after="0" w:line="240" w:lineRule="auto"/>
        <w:rPr>
          <w:rFonts w:cs="Arial"/>
          <w:b/>
        </w:rPr>
      </w:pPr>
    </w:p>
    <w:p w14:paraId="03A65FF2" w14:textId="77777777" w:rsidR="004015C6" w:rsidRDefault="004015C6" w:rsidP="00045006">
      <w:pPr>
        <w:spacing w:before="0" w:after="0" w:line="240" w:lineRule="auto"/>
        <w:rPr>
          <w:rFonts w:cs="Arial"/>
          <w:b/>
        </w:rPr>
      </w:pPr>
    </w:p>
    <w:p w14:paraId="1EF76B7E" w14:textId="30E8FDF6" w:rsidR="00045006" w:rsidRPr="00045006" w:rsidRDefault="00045006" w:rsidP="00045006">
      <w:pPr>
        <w:spacing w:before="0" w:after="0" w:line="240" w:lineRule="auto"/>
        <w:rPr>
          <w:rFonts w:cs="Arial"/>
          <w:b/>
        </w:rPr>
      </w:pPr>
      <w:r w:rsidRPr="00045006">
        <w:rPr>
          <w:rFonts w:cs="Arial"/>
          <w:b/>
        </w:rPr>
        <w:t xml:space="preserve">Introduction </w:t>
      </w:r>
    </w:p>
    <w:p w14:paraId="76B2D89D" w14:textId="77777777" w:rsidR="00045006" w:rsidRDefault="00045006" w:rsidP="00045006">
      <w:pPr>
        <w:spacing w:before="0" w:after="0" w:line="240" w:lineRule="auto"/>
        <w:rPr>
          <w:rFonts w:cs="Arial"/>
        </w:rPr>
      </w:pPr>
    </w:p>
    <w:p w14:paraId="2DA46C8A" w14:textId="77777777" w:rsidR="0010158C" w:rsidRDefault="00045006" w:rsidP="00045006">
      <w:pPr>
        <w:spacing w:before="0" w:after="0" w:line="240" w:lineRule="auto"/>
        <w:rPr>
          <w:rFonts w:cs="Arial"/>
        </w:rPr>
      </w:pPr>
      <w:r>
        <w:rPr>
          <w:rFonts w:cs="Arial"/>
        </w:rPr>
        <w:t>National Grid initially submitted Modification 0621 to the UNC Modification Panel in June 2017 with the aim of designing an amendment to the gas charging regime which was to</w:t>
      </w:r>
      <w:r w:rsidRPr="00045006">
        <w:rPr>
          <w:rFonts w:cs="Arial"/>
        </w:rPr>
        <w:t xml:space="preserve"> better meet the relevant charging objectives and customer/stakeholder provided objectives and deliver EU Compliance</w:t>
      </w:r>
      <w:r>
        <w:rPr>
          <w:rFonts w:cs="Arial"/>
        </w:rPr>
        <w:t xml:space="preserve"> (reference). One consolidated M</w:t>
      </w:r>
      <w:r w:rsidRPr="00045006">
        <w:rPr>
          <w:rFonts w:cs="Arial"/>
        </w:rPr>
        <w:t>odification</w:t>
      </w:r>
      <w:r>
        <w:rPr>
          <w:rFonts w:cs="Arial"/>
        </w:rPr>
        <w:t xml:space="preserve"> rather than several since i</w:t>
      </w:r>
      <w:r w:rsidRPr="00045006">
        <w:rPr>
          <w:rFonts w:cs="Arial"/>
        </w:rPr>
        <w:t xml:space="preserve">nteractions </w:t>
      </w:r>
      <w:r>
        <w:rPr>
          <w:rFonts w:cs="Arial"/>
        </w:rPr>
        <w:t xml:space="preserve">were extremely </w:t>
      </w:r>
      <w:r w:rsidRPr="00045006">
        <w:rPr>
          <w:rFonts w:cs="Arial"/>
        </w:rPr>
        <w:t>difficult to separate</w:t>
      </w:r>
      <w:r>
        <w:rPr>
          <w:rFonts w:cs="Arial"/>
        </w:rPr>
        <w:t xml:space="preserve"> and t</w:t>
      </w:r>
      <w:r w:rsidRPr="00045006">
        <w:rPr>
          <w:rFonts w:cs="Arial"/>
        </w:rPr>
        <w:t xml:space="preserve">o enable </w:t>
      </w:r>
      <w:r>
        <w:rPr>
          <w:rFonts w:cs="Arial"/>
        </w:rPr>
        <w:t xml:space="preserve">submission of </w:t>
      </w:r>
      <w:r w:rsidRPr="00045006">
        <w:rPr>
          <w:rFonts w:cs="Arial"/>
        </w:rPr>
        <w:t>alternat</w:t>
      </w:r>
      <w:r>
        <w:rPr>
          <w:rFonts w:cs="Arial"/>
        </w:rPr>
        <w:t>iv</w:t>
      </w:r>
      <w:r w:rsidRPr="00045006">
        <w:rPr>
          <w:rFonts w:cs="Arial"/>
        </w:rPr>
        <w:t>es</w:t>
      </w:r>
      <w:r>
        <w:rPr>
          <w:rFonts w:cs="Arial"/>
        </w:rPr>
        <w:t xml:space="preserve"> and finally to</w:t>
      </w:r>
      <w:r w:rsidRPr="00045006">
        <w:rPr>
          <w:rFonts w:cs="Arial"/>
        </w:rPr>
        <w:t xml:space="preserve"> facilitate easier decision making for Ofgem.</w:t>
      </w:r>
    </w:p>
    <w:p w14:paraId="3C8A0CC9" w14:textId="77777777" w:rsidR="0010158C" w:rsidRDefault="0010158C" w:rsidP="00045006">
      <w:pPr>
        <w:spacing w:before="0" w:after="0" w:line="240" w:lineRule="auto"/>
        <w:rPr>
          <w:rFonts w:cs="Arial"/>
        </w:rPr>
      </w:pPr>
    </w:p>
    <w:p w14:paraId="17196100" w14:textId="77777777" w:rsidR="0010158C" w:rsidRPr="0010158C" w:rsidRDefault="0010158C" w:rsidP="0010158C">
      <w:pPr>
        <w:spacing w:before="0" w:after="0" w:line="240" w:lineRule="auto"/>
        <w:rPr>
          <w:rFonts w:cs="Arial"/>
          <w:b/>
        </w:rPr>
      </w:pPr>
    </w:p>
    <w:p w14:paraId="79D042FA" w14:textId="77777777" w:rsidR="0010158C" w:rsidRDefault="0010158C" w:rsidP="0010158C">
      <w:pPr>
        <w:spacing w:before="0" w:after="0" w:line="240" w:lineRule="auto"/>
        <w:rPr>
          <w:rFonts w:cs="Arial"/>
          <w:b/>
        </w:rPr>
      </w:pPr>
      <w:r>
        <w:rPr>
          <w:rFonts w:cs="Arial"/>
          <w:b/>
        </w:rPr>
        <w:t xml:space="preserve">PART I SECTION 2 </w:t>
      </w:r>
    </w:p>
    <w:p w14:paraId="43AAF8A5" w14:textId="45A65D9E" w:rsidR="0010158C" w:rsidRPr="0010158C" w:rsidRDefault="0010158C" w:rsidP="0010158C">
      <w:pPr>
        <w:spacing w:before="0" w:after="0" w:line="240" w:lineRule="auto"/>
        <w:rPr>
          <w:rFonts w:cs="Arial"/>
          <w:b/>
        </w:rPr>
      </w:pPr>
      <w:r w:rsidRPr="0010158C">
        <w:rPr>
          <w:rFonts w:cs="Arial"/>
          <w:b/>
        </w:rPr>
        <w:t>Comparison Tables – introduction and caveats etc.</w:t>
      </w:r>
    </w:p>
    <w:p w14:paraId="11119BE6" w14:textId="77777777" w:rsidR="0010158C" w:rsidRPr="0010158C" w:rsidRDefault="0010158C" w:rsidP="0010158C">
      <w:pPr>
        <w:spacing w:before="0" w:after="0" w:line="240" w:lineRule="auto"/>
        <w:rPr>
          <w:rFonts w:cs="Arial"/>
          <w:b/>
        </w:rPr>
      </w:pPr>
      <w:r w:rsidRPr="0010158C">
        <w:rPr>
          <w:rFonts w:cs="Arial"/>
          <w:b/>
        </w:rPr>
        <w:t>Simplified Comparison Table</w:t>
      </w:r>
    </w:p>
    <w:p w14:paraId="6B9684BE" w14:textId="77777777" w:rsidR="0010158C" w:rsidRDefault="0010158C" w:rsidP="0010158C">
      <w:pPr>
        <w:spacing w:before="0" w:after="0" w:line="240" w:lineRule="auto"/>
        <w:rPr>
          <w:rFonts w:cs="Arial"/>
          <w:b/>
        </w:rPr>
      </w:pPr>
      <w:r w:rsidRPr="0010158C">
        <w:rPr>
          <w:rFonts w:cs="Arial"/>
          <w:b/>
        </w:rPr>
        <w:t>Full Comparison Table</w:t>
      </w:r>
    </w:p>
    <w:p w14:paraId="759F39AF" w14:textId="77777777" w:rsidR="0010158C" w:rsidRPr="0010158C" w:rsidRDefault="0010158C" w:rsidP="0010158C">
      <w:pPr>
        <w:spacing w:before="0" w:after="0" w:line="240" w:lineRule="auto"/>
        <w:rPr>
          <w:rFonts w:cs="Arial"/>
          <w:b/>
        </w:rPr>
      </w:pPr>
    </w:p>
    <w:p w14:paraId="5476FC33" w14:textId="2F0889E7" w:rsidR="0010158C" w:rsidRDefault="0010158C" w:rsidP="0010158C">
      <w:pPr>
        <w:spacing w:before="0" w:after="0" w:line="240" w:lineRule="auto"/>
        <w:rPr>
          <w:rFonts w:cs="Arial"/>
          <w:b/>
        </w:rPr>
      </w:pPr>
      <w:r>
        <w:rPr>
          <w:rFonts w:cs="Arial"/>
          <w:b/>
        </w:rPr>
        <w:t xml:space="preserve">PART I SECTION 3 </w:t>
      </w:r>
    </w:p>
    <w:p w14:paraId="086F6417" w14:textId="77777777" w:rsidR="0010158C" w:rsidRPr="0010158C" w:rsidRDefault="0010158C" w:rsidP="0010158C">
      <w:pPr>
        <w:spacing w:before="0" w:after="0" w:line="240" w:lineRule="auto"/>
        <w:rPr>
          <w:rFonts w:cs="Arial"/>
          <w:b/>
        </w:rPr>
      </w:pPr>
      <w:r w:rsidRPr="0010158C">
        <w:rPr>
          <w:rFonts w:cs="Arial"/>
          <w:b/>
        </w:rPr>
        <w:t>Overall Workgroup Conclusions</w:t>
      </w:r>
    </w:p>
    <w:p w14:paraId="345F6B99" w14:textId="77777777" w:rsidR="0010158C" w:rsidRPr="0010158C" w:rsidRDefault="0010158C" w:rsidP="0010158C">
      <w:pPr>
        <w:spacing w:before="0" w:after="0" w:line="240" w:lineRule="auto"/>
        <w:rPr>
          <w:rFonts w:cs="Arial"/>
          <w:b/>
        </w:rPr>
      </w:pPr>
      <w:r w:rsidRPr="0010158C">
        <w:rPr>
          <w:rFonts w:cs="Arial"/>
          <w:b/>
        </w:rPr>
        <w:t>Overall Workgroup recommendation to Panel</w:t>
      </w:r>
    </w:p>
    <w:p w14:paraId="4BAF8A9F" w14:textId="77777777" w:rsidR="0010158C" w:rsidRDefault="0010158C" w:rsidP="0010158C">
      <w:pPr>
        <w:spacing w:before="0" w:after="0" w:line="240" w:lineRule="auto"/>
        <w:rPr>
          <w:rFonts w:cs="Arial"/>
          <w:b/>
        </w:rPr>
      </w:pPr>
      <w:r w:rsidRPr="0010158C">
        <w:rPr>
          <w:rFonts w:cs="Arial"/>
          <w:b/>
        </w:rPr>
        <w:t>Workgroup recommendation for further analysis and assessment</w:t>
      </w:r>
    </w:p>
    <w:p w14:paraId="20BB7DC4" w14:textId="77777777" w:rsidR="004015C6" w:rsidRDefault="004015C6" w:rsidP="0010158C">
      <w:pPr>
        <w:spacing w:before="0" w:after="0" w:line="240" w:lineRule="auto"/>
        <w:rPr>
          <w:rFonts w:cs="Arial"/>
          <w:b/>
        </w:rPr>
      </w:pPr>
    </w:p>
    <w:p w14:paraId="651E2154" w14:textId="0218F1CB" w:rsidR="004015C6" w:rsidRPr="00057A29" w:rsidRDefault="004015C6" w:rsidP="004015C6">
      <w:pPr>
        <w:pStyle w:val="NormalWeb"/>
        <w:spacing w:before="100" w:beforeAutospacing="1" w:after="100" w:afterAutospacing="1" w:line="240" w:lineRule="auto"/>
        <w:ind w:left="360"/>
        <w:rPr>
          <w:rFonts w:ascii="ArialMT" w:hAnsi="ArialMT" w:cs="ArialMT"/>
          <w:i/>
          <w:color w:val="000000" w:themeColor="text1"/>
          <w:sz w:val="22"/>
          <w:szCs w:val="22"/>
        </w:rPr>
      </w:pPr>
      <w:r>
        <w:rPr>
          <w:rFonts w:ascii="ArialMT" w:hAnsi="ArialMT" w:cs="ArialMT"/>
          <w:i/>
          <w:color w:val="000000" w:themeColor="text1"/>
          <w:sz w:val="22"/>
          <w:szCs w:val="22"/>
        </w:rPr>
        <w:t xml:space="preserve">This is a checklist of items of analysis requested by Workgroup participants that were not able to be carried out by the Workgroup and therefore may </w:t>
      </w:r>
      <w:r w:rsidRPr="00057A29">
        <w:rPr>
          <w:rFonts w:ascii="ArialMT" w:hAnsi="ArialMT" w:cs="ArialMT"/>
          <w:i/>
          <w:color w:val="000000" w:themeColor="text1"/>
          <w:sz w:val="22"/>
          <w:szCs w:val="22"/>
        </w:rPr>
        <w:t xml:space="preserve">need to be covered by Ofgem </w:t>
      </w:r>
      <w:r>
        <w:rPr>
          <w:rFonts w:ascii="ArialMT" w:hAnsi="ArialMT" w:cs="ArialMT"/>
          <w:i/>
          <w:color w:val="000000" w:themeColor="text1"/>
          <w:sz w:val="22"/>
          <w:szCs w:val="22"/>
        </w:rPr>
        <w:t>in its RIA.</w:t>
      </w:r>
    </w:p>
    <w:p w14:paraId="4FF184CE" w14:textId="0FFA371C" w:rsidR="004015C6" w:rsidRPr="00057A29" w:rsidRDefault="004015C6" w:rsidP="004015C6">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The Impact of Mod 621 and any alternates need to be assessed against the counterfactual of the current methodology. </w:t>
      </w:r>
      <w:r>
        <w:rPr>
          <w:rFonts w:ascii="ArialMT" w:hAnsi="ArialMT" w:cs="ArialMT"/>
          <w:i/>
          <w:color w:val="000000" w:themeColor="text1"/>
          <w:sz w:val="22"/>
          <w:szCs w:val="22"/>
        </w:rPr>
        <w:t xml:space="preserve"> – what is the current methodology at the time of final mod report submission?  </w:t>
      </w:r>
    </w:p>
    <w:p w14:paraId="71A285FE" w14:textId="77777777" w:rsidR="004015C6" w:rsidRPr="00057A29" w:rsidRDefault="004015C6" w:rsidP="004015C6">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The impact on the GB gas market in terms of: </w:t>
      </w:r>
    </w:p>
    <w:p w14:paraId="02FB453B" w14:textId="77777777" w:rsidR="004015C6" w:rsidRPr="00057A29" w:rsidRDefault="004015C6" w:rsidP="004015C6">
      <w:pPr>
        <w:pStyle w:val="NormalWeb"/>
        <w:numPr>
          <w:ilvl w:val="1"/>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NBP liquidity; including in relation to other hubs in NW Europe, especially TTF </w:t>
      </w:r>
    </w:p>
    <w:p w14:paraId="7C9BA7E5" w14:textId="77777777" w:rsidR="004015C6" w:rsidRPr="00057A29" w:rsidRDefault="004015C6" w:rsidP="004015C6">
      <w:pPr>
        <w:pStyle w:val="NormalWeb"/>
        <w:numPr>
          <w:ilvl w:val="1"/>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GB competitiveness in relation to NW European markets </w:t>
      </w:r>
    </w:p>
    <w:p w14:paraId="7A84F6A0" w14:textId="77777777" w:rsidR="004015C6" w:rsidRPr="00057A29" w:rsidRDefault="004015C6" w:rsidP="004015C6">
      <w:pPr>
        <w:pStyle w:val="NormalWeb"/>
        <w:numPr>
          <w:ilvl w:val="1"/>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Wholesale prices, including volatility and risk of extreme prices </w:t>
      </w:r>
    </w:p>
    <w:p w14:paraId="59F64166" w14:textId="77777777" w:rsidR="004015C6" w:rsidRPr="00057A29" w:rsidRDefault="004015C6" w:rsidP="004015C6">
      <w:pPr>
        <w:pStyle w:val="NormalWeb"/>
        <w:numPr>
          <w:ilvl w:val="1"/>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Wholesale market competition </w:t>
      </w:r>
    </w:p>
    <w:p w14:paraId="5737C7D6" w14:textId="77777777" w:rsidR="004015C6" w:rsidRPr="00057A29" w:rsidRDefault="004015C6" w:rsidP="004015C6">
      <w:pPr>
        <w:pStyle w:val="NormalWeb"/>
        <w:numPr>
          <w:ilvl w:val="1"/>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Competition in supply </w:t>
      </w:r>
    </w:p>
    <w:p w14:paraId="11FA3828" w14:textId="77777777" w:rsidR="004015C6" w:rsidRPr="00057A29" w:rsidRDefault="004015C6" w:rsidP="004015C6">
      <w:pPr>
        <w:pStyle w:val="NormalWeb"/>
        <w:numPr>
          <w:ilvl w:val="1"/>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Attractiveness of GB as a destination for gas, within EU and globally </w:t>
      </w:r>
    </w:p>
    <w:p w14:paraId="47492116" w14:textId="77777777" w:rsidR="004015C6" w:rsidRPr="00057A29" w:rsidRDefault="004015C6" w:rsidP="004015C6">
      <w:pPr>
        <w:pStyle w:val="NormalWeb"/>
        <w:numPr>
          <w:ilvl w:val="1"/>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Security of Supply / price </w:t>
      </w:r>
    </w:p>
    <w:p w14:paraId="5B871891" w14:textId="77777777" w:rsidR="004015C6" w:rsidRPr="00057A29" w:rsidRDefault="004015C6" w:rsidP="004015C6">
      <w:pPr>
        <w:pStyle w:val="NormalWeb"/>
        <w:numPr>
          <w:ilvl w:val="0"/>
          <w:numId w:val="36"/>
        </w:numPr>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Impact on the availability of flexible gas and on the operation of the NTS </w:t>
      </w:r>
    </w:p>
    <w:p w14:paraId="68C648C4" w14:textId="77777777" w:rsidR="004015C6" w:rsidRPr="00057A29" w:rsidRDefault="004015C6" w:rsidP="004015C6">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Impact on gas balancing costs </w:t>
      </w:r>
    </w:p>
    <w:p w14:paraId="19E27C18" w14:textId="77777777" w:rsidR="004015C6" w:rsidRPr="00057A29" w:rsidRDefault="004015C6" w:rsidP="004015C6">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Impact on the volatility and</w:t>
      </w:r>
      <w:r w:rsidRPr="00057A29">
        <w:rPr>
          <w:rFonts w:ascii="ArialMT" w:hAnsi="ArialMT" w:cs="ArialMT"/>
          <w:i/>
          <w:color w:val="000000" w:themeColor="text1"/>
          <w:sz w:val="28"/>
          <w:szCs w:val="28"/>
        </w:rPr>
        <w:t xml:space="preserve"> </w:t>
      </w:r>
      <w:r w:rsidRPr="00057A29">
        <w:rPr>
          <w:rFonts w:ascii="ArialMT" w:hAnsi="ArialMT" w:cs="ArialMT"/>
          <w:i/>
          <w:color w:val="000000" w:themeColor="text1"/>
          <w:sz w:val="22"/>
          <w:szCs w:val="22"/>
        </w:rPr>
        <w:t xml:space="preserve">price level at the NBP </w:t>
      </w:r>
    </w:p>
    <w:p w14:paraId="20BF65FC" w14:textId="0D20ECF0" w:rsidR="004015C6" w:rsidRPr="00057A29" w:rsidRDefault="004015C6" w:rsidP="004015C6">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Impact on the volatility and price level of the electricity market </w:t>
      </w:r>
    </w:p>
    <w:p w14:paraId="69B8300A" w14:textId="495878BC" w:rsidR="004015C6" w:rsidRPr="00057A29" w:rsidRDefault="004015C6" w:rsidP="004015C6">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Impact on S</w:t>
      </w:r>
      <w:r>
        <w:rPr>
          <w:rFonts w:ascii="ArialMT" w:hAnsi="ArialMT" w:cs="ArialMT"/>
          <w:i/>
          <w:color w:val="000000" w:themeColor="text1"/>
          <w:sz w:val="22"/>
          <w:szCs w:val="22"/>
        </w:rPr>
        <w:t xml:space="preserve">ecurity </w:t>
      </w:r>
      <w:r w:rsidRPr="00057A29">
        <w:rPr>
          <w:rFonts w:ascii="ArialMT" w:hAnsi="ArialMT" w:cs="ArialMT"/>
          <w:i/>
          <w:color w:val="000000" w:themeColor="text1"/>
          <w:sz w:val="22"/>
          <w:szCs w:val="22"/>
        </w:rPr>
        <w:t>o</w:t>
      </w:r>
      <w:r>
        <w:rPr>
          <w:rFonts w:ascii="ArialMT" w:hAnsi="ArialMT" w:cs="ArialMT"/>
          <w:i/>
          <w:color w:val="000000" w:themeColor="text1"/>
          <w:sz w:val="22"/>
          <w:szCs w:val="22"/>
        </w:rPr>
        <w:t xml:space="preserve">f </w:t>
      </w:r>
      <w:r w:rsidRPr="00057A29">
        <w:rPr>
          <w:rFonts w:ascii="ArialMT" w:hAnsi="ArialMT" w:cs="ArialMT"/>
          <w:i/>
          <w:color w:val="000000" w:themeColor="text1"/>
          <w:sz w:val="22"/>
          <w:szCs w:val="22"/>
        </w:rPr>
        <w:t>S</w:t>
      </w:r>
      <w:r>
        <w:rPr>
          <w:rFonts w:ascii="ArialMT" w:hAnsi="ArialMT" w:cs="ArialMT"/>
          <w:i/>
          <w:color w:val="000000" w:themeColor="text1"/>
          <w:sz w:val="22"/>
          <w:szCs w:val="22"/>
        </w:rPr>
        <w:t>upply</w:t>
      </w:r>
      <w:r w:rsidRPr="00057A29">
        <w:rPr>
          <w:rFonts w:ascii="ArialMT" w:hAnsi="ArialMT" w:cs="ArialMT"/>
          <w:i/>
          <w:color w:val="000000" w:themeColor="text1"/>
          <w:sz w:val="22"/>
          <w:szCs w:val="22"/>
        </w:rPr>
        <w:t xml:space="preserve"> and on required network investment to pass N-1 test </w:t>
      </w:r>
      <w:bookmarkStart w:id="0" w:name="_GoBack"/>
      <w:bookmarkEnd w:id="0"/>
    </w:p>
    <w:p w14:paraId="5A17D203" w14:textId="77777777" w:rsidR="004015C6" w:rsidRPr="004015C6" w:rsidRDefault="004015C6" w:rsidP="004015C6">
      <w:pPr>
        <w:pStyle w:val="NormalWeb"/>
        <w:numPr>
          <w:ilvl w:val="0"/>
          <w:numId w:val="36"/>
        </w:numPr>
        <w:spacing w:before="100" w:beforeAutospacing="1" w:after="100" w:afterAutospacing="1" w:line="240" w:lineRule="auto"/>
        <w:rPr>
          <w:rFonts w:ascii="ArialMT" w:hAnsi="ArialMT" w:cs="ArialMT"/>
          <w:i/>
          <w:strike/>
          <w:color w:val="000000" w:themeColor="text1"/>
          <w:sz w:val="22"/>
          <w:szCs w:val="22"/>
        </w:rPr>
      </w:pPr>
      <w:r w:rsidRPr="004015C6">
        <w:rPr>
          <w:rFonts w:ascii="ArialMT" w:hAnsi="ArialMT" w:cs="ArialMT"/>
          <w:i/>
          <w:strike/>
          <w:color w:val="000000" w:themeColor="text1"/>
          <w:sz w:val="22"/>
          <w:szCs w:val="22"/>
        </w:rPr>
        <w:lastRenderedPageBreak/>
        <w:t xml:space="preserve">The impact on stakeholders by type, existing and new </w:t>
      </w:r>
    </w:p>
    <w:p w14:paraId="5EE0A9E2" w14:textId="77777777" w:rsidR="004015C6" w:rsidRPr="00057A29" w:rsidRDefault="004015C6" w:rsidP="004015C6">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Cross market impacts with electricity; impact on electricity wholesale prices, capacity mechanism, balancing costs and any issues arising from different approaches to charging </w:t>
      </w:r>
    </w:p>
    <w:p w14:paraId="6BE23969" w14:textId="77777777" w:rsidR="004015C6" w:rsidRPr="00057A29" w:rsidRDefault="004015C6" w:rsidP="004015C6">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Cost allocation in context of cost reflectivity, and cost reflectivity in the context of Article 8 relevant flow scenarios </w:t>
      </w:r>
    </w:p>
    <w:p w14:paraId="60C16A14" w14:textId="77777777" w:rsidR="004015C6" w:rsidRPr="00057A29" w:rsidRDefault="004015C6" w:rsidP="004015C6">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Environmental impacts, if any? </w:t>
      </w:r>
    </w:p>
    <w:p w14:paraId="770F61B2" w14:textId="77777777" w:rsidR="004015C6" w:rsidRPr="00057A29" w:rsidRDefault="004015C6" w:rsidP="004015C6">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Regional impact of the cost re-distribution on customer bills </w:t>
      </w:r>
    </w:p>
    <w:p w14:paraId="2423E11A" w14:textId="77777777" w:rsidR="004015C6" w:rsidRPr="004015C6" w:rsidRDefault="004015C6" w:rsidP="004015C6">
      <w:pPr>
        <w:pStyle w:val="NormalWeb"/>
        <w:numPr>
          <w:ilvl w:val="0"/>
          <w:numId w:val="36"/>
        </w:numPr>
        <w:spacing w:before="100" w:beforeAutospacing="1" w:after="100" w:afterAutospacing="1" w:line="240" w:lineRule="auto"/>
        <w:rPr>
          <w:rFonts w:ascii="ArialMT" w:hAnsi="ArialMT" w:cs="ArialMT"/>
          <w:i/>
          <w:strike/>
          <w:color w:val="000000" w:themeColor="text1"/>
          <w:sz w:val="22"/>
          <w:szCs w:val="22"/>
        </w:rPr>
      </w:pPr>
      <w:r w:rsidRPr="004015C6">
        <w:rPr>
          <w:rFonts w:ascii="ArialMT" w:hAnsi="ArialMT" w:cs="ArialMT"/>
          <w:i/>
          <w:strike/>
          <w:color w:val="000000" w:themeColor="text1"/>
          <w:sz w:val="22"/>
          <w:szCs w:val="22"/>
        </w:rPr>
        <w:t xml:space="preserve">The ability to accurately forecast costs </w:t>
      </w:r>
    </w:p>
    <w:p w14:paraId="0F7F6A9B" w14:textId="77777777" w:rsidR="004015C6" w:rsidRPr="004015C6" w:rsidRDefault="004015C6" w:rsidP="004015C6">
      <w:pPr>
        <w:pStyle w:val="NormalWeb"/>
        <w:numPr>
          <w:ilvl w:val="0"/>
          <w:numId w:val="36"/>
        </w:numPr>
        <w:spacing w:before="100" w:beforeAutospacing="1" w:after="100" w:afterAutospacing="1" w:line="240" w:lineRule="auto"/>
        <w:rPr>
          <w:rFonts w:ascii="ArialMT" w:hAnsi="ArialMT" w:cs="ArialMT"/>
          <w:i/>
          <w:strike/>
          <w:color w:val="000000" w:themeColor="text1"/>
          <w:sz w:val="22"/>
          <w:szCs w:val="22"/>
        </w:rPr>
      </w:pPr>
      <w:r w:rsidRPr="004015C6">
        <w:rPr>
          <w:rFonts w:ascii="ArialMT" w:hAnsi="ArialMT" w:cs="ArialMT"/>
          <w:i/>
          <w:strike/>
          <w:color w:val="000000" w:themeColor="text1"/>
          <w:sz w:val="22"/>
          <w:szCs w:val="22"/>
        </w:rPr>
        <w:t xml:space="preserve">Cost reflectivity </w:t>
      </w:r>
    </w:p>
    <w:p w14:paraId="26296CB7" w14:textId="77777777" w:rsidR="004015C6" w:rsidRPr="00057A29" w:rsidRDefault="004015C6" w:rsidP="004015C6">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The impacts of the level of K. </w:t>
      </w:r>
    </w:p>
    <w:p w14:paraId="20407D93" w14:textId="77777777" w:rsidR="004015C6" w:rsidRDefault="004015C6" w:rsidP="0010158C">
      <w:pPr>
        <w:spacing w:before="0" w:after="0" w:line="240" w:lineRule="auto"/>
        <w:rPr>
          <w:rFonts w:cs="Arial"/>
          <w:b/>
        </w:rPr>
      </w:pPr>
    </w:p>
    <w:p w14:paraId="2865DEE3" w14:textId="77777777" w:rsidR="0010158C" w:rsidRDefault="0010158C" w:rsidP="0010158C">
      <w:pPr>
        <w:spacing w:before="0" w:after="0" w:line="240" w:lineRule="auto"/>
        <w:rPr>
          <w:rFonts w:cs="Arial"/>
          <w:b/>
        </w:rPr>
      </w:pPr>
    </w:p>
    <w:p w14:paraId="0F6A4368" w14:textId="77777777" w:rsidR="00A74FCB" w:rsidRDefault="00A74FCB">
      <w:pPr>
        <w:spacing w:before="0" w:after="0" w:line="240" w:lineRule="auto"/>
        <w:rPr>
          <w:rFonts w:cs="Arial"/>
          <w:b/>
        </w:rPr>
      </w:pPr>
      <w:r>
        <w:rPr>
          <w:rFonts w:cs="Arial"/>
          <w:b/>
        </w:rPr>
        <w:br w:type="page"/>
      </w:r>
    </w:p>
    <w:p w14:paraId="0B66EA1A" w14:textId="7AA89B02" w:rsidR="00075FA2" w:rsidRPr="00A74FCB" w:rsidRDefault="0010158C" w:rsidP="00045006">
      <w:pPr>
        <w:spacing w:before="0" w:after="0" w:line="240" w:lineRule="auto"/>
        <w:rPr>
          <w:rFonts w:cs="Arial"/>
          <w:b/>
        </w:rPr>
      </w:pPr>
      <w:r w:rsidRPr="00A74FCB">
        <w:rPr>
          <w:rFonts w:cs="Arial"/>
          <w:b/>
        </w:rPr>
        <w:lastRenderedPageBreak/>
        <w:t>PART II WORKGROUP SUB-REPORT 0621</w:t>
      </w:r>
    </w:p>
    <w:p w14:paraId="69E893FF" w14:textId="77777777" w:rsidR="00075FA2" w:rsidRDefault="00075FA2" w:rsidP="00075FA2">
      <w:pPr>
        <w:pStyle w:val="Header"/>
        <w:spacing w:before="0" w:after="0"/>
        <w:rPr>
          <w:rFonts w:cs="Arial"/>
        </w:rPr>
      </w:pPr>
    </w:p>
    <w:p w14:paraId="062F8CD7" w14:textId="77777777" w:rsidR="00075FA2" w:rsidRDefault="00075FA2" w:rsidP="00784486">
      <w:pPr>
        <w:pStyle w:val="Header"/>
        <w:spacing w:before="0" w:after="0"/>
        <w:ind w:left="-284"/>
        <w:rPr>
          <w:rFonts w:cs="Arial"/>
        </w:rPr>
      </w:pPr>
    </w:p>
    <w:p w14:paraId="693AB9B8" w14:textId="77777777" w:rsidR="00075FA2" w:rsidRDefault="00075FA2" w:rsidP="00784486">
      <w:pPr>
        <w:pStyle w:val="Header"/>
        <w:spacing w:before="0" w:after="0"/>
        <w:ind w:left="-284"/>
        <w:rPr>
          <w:rFonts w:cs="Arial"/>
        </w:rPr>
      </w:pPr>
    </w:p>
    <w:p w14:paraId="0CF3A8BB" w14:textId="77777777" w:rsidR="00075FA2" w:rsidRPr="00D1570A" w:rsidRDefault="00075FA2" w:rsidP="00784486">
      <w:pPr>
        <w:pStyle w:val="Header"/>
        <w:spacing w:before="0" w:after="0"/>
        <w:ind w:left="-284"/>
        <w:rPr>
          <w:rFonts w:cs="Arial"/>
        </w:rPr>
      </w:pPr>
    </w:p>
    <w:tbl>
      <w:tblPr>
        <w:tblpPr w:leftFromText="180" w:rightFromText="180" w:vertAnchor="page" w:horzAnchor="page" w:tblpX="775" w:tblpY="1474"/>
        <w:tblW w:w="10134" w:type="dxa"/>
        <w:shd w:val="clear" w:color="auto" w:fill="CCE0DA"/>
        <w:tblLayout w:type="fixed"/>
        <w:tblCellMar>
          <w:left w:w="0" w:type="dxa"/>
          <w:right w:w="0" w:type="dxa"/>
        </w:tblCellMar>
        <w:tblLook w:val="01E0" w:firstRow="1" w:lastRow="1" w:firstColumn="1" w:lastColumn="1" w:noHBand="0" w:noVBand="0"/>
      </w:tblPr>
      <w:tblGrid>
        <w:gridCol w:w="913"/>
        <w:gridCol w:w="7060"/>
        <w:gridCol w:w="2161"/>
      </w:tblGrid>
      <w:tr w:rsidR="006F19E3" w:rsidRPr="00D1570A" w14:paraId="542CBDB1" w14:textId="77777777" w:rsidTr="000F4631">
        <w:trPr>
          <w:trHeight w:val="953"/>
        </w:trPr>
        <w:tc>
          <w:tcPr>
            <w:tcW w:w="7973" w:type="dxa"/>
            <w:gridSpan w:val="2"/>
            <w:tcBorders>
              <w:top w:val="single" w:sz="4" w:space="0" w:color="4A8958"/>
              <w:left w:val="single" w:sz="4" w:space="0" w:color="4A8958"/>
              <w:bottom w:val="single" w:sz="4" w:space="0" w:color="4A8958"/>
              <w:right w:val="single" w:sz="4" w:space="0" w:color="4A8958"/>
            </w:tcBorders>
            <w:shd w:val="clear" w:color="auto" w:fill="0096D7"/>
            <w:vAlign w:val="center"/>
          </w:tcPr>
          <w:p w14:paraId="5F697382" w14:textId="024F9929" w:rsidR="006F19E3" w:rsidRPr="00D1570A" w:rsidRDefault="001703AA" w:rsidP="000F4631">
            <w:pPr>
              <w:tabs>
                <w:tab w:val="left" w:pos="2901"/>
              </w:tabs>
              <w:spacing w:before="240" w:after="240"/>
              <w:ind w:left="113"/>
              <w:rPr>
                <w:rFonts w:cs="Arial"/>
                <w:b/>
                <w:color w:val="FFFFFF"/>
                <w:sz w:val="28"/>
                <w:szCs w:val="28"/>
              </w:rPr>
            </w:pPr>
            <w:r w:rsidRPr="00D1570A">
              <w:rPr>
                <w:rFonts w:cs="Arial"/>
                <w:b/>
                <w:color w:val="FFFFFF"/>
                <w:sz w:val="28"/>
                <w:szCs w:val="28"/>
              </w:rPr>
              <w:t xml:space="preserve">UNC </w:t>
            </w:r>
            <w:r w:rsidR="000F4631">
              <w:rPr>
                <w:rFonts w:cs="Arial"/>
                <w:b/>
                <w:color w:val="FFFFFF"/>
                <w:sz w:val="28"/>
                <w:szCs w:val="28"/>
              </w:rPr>
              <w:t>Workgroup Report</w:t>
            </w:r>
            <w:r w:rsidR="006F19E3" w:rsidRPr="00D1570A">
              <w:rPr>
                <w:rFonts w:cs="Arial"/>
                <w:b/>
                <w:color w:val="FFFFFF"/>
                <w:sz w:val="28"/>
                <w:szCs w:val="28"/>
              </w:rPr>
              <w:tab/>
            </w:r>
          </w:p>
        </w:tc>
        <w:tc>
          <w:tcPr>
            <w:tcW w:w="2161" w:type="dxa"/>
            <w:tcBorders>
              <w:top w:val="single" w:sz="4" w:space="0" w:color="4A8958"/>
              <w:left w:val="single" w:sz="4" w:space="0" w:color="4A8958"/>
              <w:bottom w:val="single" w:sz="4" w:space="0" w:color="4A8958"/>
              <w:right w:val="single" w:sz="4" w:space="0" w:color="4A8958"/>
            </w:tcBorders>
            <w:shd w:val="clear" w:color="auto" w:fill="0096D7"/>
          </w:tcPr>
          <w:p w14:paraId="6B81231B" w14:textId="77777777" w:rsidR="006F19E3" w:rsidRPr="00D1570A" w:rsidRDefault="006F19E3" w:rsidP="006F19E3">
            <w:pPr>
              <w:pStyle w:val="BlockText"/>
              <w:spacing w:line="240" w:lineRule="auto"/>
              <w:ind w:left="57" w:right="-57"/>
              <w:rPr>
                <w:rFonts w:cs="Arial"/>
                <w:sz w:val="20"/>
                <w:szCs w:val="20"/>
              </w:rPr>
            </w:pPr>
            <w:r w:rsidRPr="00D1570A">
              <w:rPr>
                <w:rFonts w:cs="Arial"/>
                <w:sz w:val="20"/>
                <w:szCs w:val="20"/>
              </w:rPr>
              <w:t>At what stage is this document in the process?</w:t>
            </w:r>
          </w:p>
        </w:tc>
      </w:tr>
      <w:tr w:rsidR="006F19E3" w:rsidRPr="00D1570A" w14:paraId="2E99FE06" w14:textId="77777777" w:rsidTr="000F4631">
        <w:trPr>
          <w:trHeight w:val="2725"/>
        </w:trPr>
        <w:tc>
          <w:tcPr>
            <w:tcW w:w="7973" w:type="dxa"/>
            <w:gridSpan w:val="2"/>
            <w:tcBorders>
              <w:top w:val="single" w:sz="4" w:space="0" w:color="4A8958"/>
              <w:left w:val="single" w:sz="4" w:space="0" w:color="4A8958"/>
              <w:bottom w:val="single" w:sz="4" w:space="0" w:color="4A8958"/>
              <w:right w:val="single" w:sz="4" w:space="0" w:color="4A8958"/>
            </w:tcBorders>
            <w:shd w:val="clear" w:color="auto" w:fill="auto"/>
          </w:tcPr>
          <w:p w14:paraId="537604F1" w14:textId="142955DC" w:rsidR="00E367F4" w:rsidRPr="00D1570A" w:rsidRDefault="00E367F4" w:rsidP="006F19E3">
            <w:pPr>
              <w:ind w:left="113" w:right="113"/>
              <w:rPr>
                <w:rFonts w:cs="Arial"/>
                <w:color w:val="008576"/>
                <w:sz w:val="80"/>
                <w:szCs w:val="80"/>
              </w:rPr>
            </w:pPr>
            <w:r w:rsidRPr="00D1570A">
              <w:rPr>
                <w:rFonts w:cs="Arial"/>
                <w:color w:val="008576"/>
                <w:sz w:val="80"/>
                <w:szCs w:val="80"/>
              </w:rPr>
              <w:t xml:space="preserve">UNC </w:t>
            </w:r>
            <w:r w:rsidR="00DE57AB">
              <w:rPr>
                <w:rFonts w:cs="Arial"/>
                <w:color w:val="008576"/>
                <w:sz w:val="80"/>
                <w:szCs w:val="80"/>
              </w:rPr>
              <w:t>0621</w:t>
            </w:r>
            <w:r w:rsidR="00646A7B">
              <w:rPr>
                <w:rFonts w:cs="Arial"/>
                <w:color w:val="008576"/>
                <w:sz w:val="80"/>
                <w:szCs w:val="80"/>
              </w:rPr>
              <w:t xml:space="preserve">, </w:t>
            </w:r>
            <w:r w:rsidR="00646A7B" w:rsidRPr="008A0D4C">
              <w:rPr>
                <w:rFonts w:cs="Arial"/>
                <w:color w:val="FF0000"/>
                <w:sz w:val="80"/>
                <w:szCs w:val="80"/>
              </w:rPr>
              <w:t>0621A, 0621B, 0621C, 0621D, 0621E, 0621F</w:t>
            </w:r>
            <w:r w:rsidR="00C53CAE">
              <w:rPr>
                <w:rFonts w:cs="Arial"/>
                <w:color w:val="FF0000"/>
                <w:sz w:val="80"/>
                <w:szCs w:val="80"/>
              </w:rPr>
              <w:t xml:space="preserve">, </w:t>
            </w:r>
            <w:r w:rsidR="00C53CAE" w:rsidRPr="008A0D4C">
              <w:rPr>
                <w:rFonts w:cs="Arial"/>
                <w:color w:val="FF0000"/>
                <w:sz w:val="80"/>
                <w:szCs w:val="80"/>
              </w:rPr>
              <w:t>0621</w:t>
            </w:r>
            <w:r w:rsidR="00C53CAE">
              <w:rPr>
                <w:rFonts w:cs="Arial"/>
                <w:color w:val="FF0000"/>
                <w:sz w:val="80"/>
                <w:szCs w:val="80"/>
              </w:rPr>
              <w:t xml:space="preserve">G, </w:t>
            </w:r>
            <w:r w:rsidR="00C53CAE" w:rsidRPr="008A0D4C">
              <w:rPr>
                <w:rFonts w:cs="Arial"/>
                <w:color w:val="FF0000"/>
                <w:sz w:val="80"/>
                <w:szCs w:val="80"/>
              </w:rPr>
              <w:t>0621</w:t>
            </w:r>
            <w:r w:rsidR="00C53CAE">
              <w:rPr>
                <w:rFonts w:cs="Arial"/>
                <w:color w:val="FF0000"/>
                <w:sz w:val="80"/>
                <w:szCs w:val="80"/>
              </w:rPr>
              <w:t xml:space="preserve">H, </w:t>
            </w:r>
            <w:r w:rsidR="00C53CAE" w:rsidRPr="008A0D4C">
              <w:rPr>
                <w:rFonts w:cs="Arial"/>
                <w:color w:val="FF0000"/>
                <w:sz w:val="80"/>
                <w:szCs w:val="80"/>
              </w:rPr>
              <w:t>0621</w:t>
            </w:r>
            <w:r w:rsidR="00C53CAE">
              <w:rPr>
                <w:rFonts w:cs="Arial"/>
                <w:color w:val="FF0000"/>
                <w:sz w:val="80"/>
                <w:szCs w:val="80"/>
              </w:rPr>
              <w:t>J</w:t>
            </w:r>
            <w:r w:rsidR="006F19E3" w:rsidRPr="00D1570A">
              <w:rPr>
                <w:rFonts w:cs="Arial"/>
                <w:color w:val="008576"/>
                <w:sz w:val="80"/>
                <w:szCs w:val="80"/>
              </w:rPr>
              <w:t>:</w:t>
            </w:r>
          </w:p>
          <w:p w14:paraId="71A882FD" w14:textId="77777777" w:rsidR="006F19E3" w:rsidRPr="00D1570A" w:rsidRDefault="00220A27" w:rsidP="00F26637">
            <w:pPr>
              <w:ind w:left="113" w:right="113"/>
              <w:rPr>
                <w:rFonts w:cs="Arial"/>
                <w:i/>
                <w:color w:val="00B274"/>
                <w:sz w:val="24"/>
              </w:rPr>
            </w:pPr>
            <w:r w:rsidRPr="00D1570A">
              <w:rPr>
                <w:rFonts w:cs="Arial"/>
                <w:color w:val="008000"/>
                <w:sz w:val="48"/>
                <w:szCs w:val="48"/>
              </w:rPr>
              <w:t>Amendments to Gas</w:t>
            </w:r>
            <w:r w:rsidR="005902EB" w:rsidRPr="00D1570A">
              <w:rPr>
                <w:rFonts w:cs="Arial"/>
                <w:color w:val="008000"/>
                <w:sz w:val="48"/>
                <w:szCs w:val="48"/>
              </w:rPr>
              <w:t xml:space="preserve"> Transmission</w:t>
            </w:r>
            <w:r w:rsidRPr="00D1570A">
              <w:rPr>
                <w:rFonts w:cs="Arial"/>
                <w:color w:val="008000"/>
                <w:sz w:val="48"/>
                <w:szCs w:val="48"/>
              </w:rPr>
              <w:t xml:space="preserve"> Charging Regime</w:t>
            </w:r>
            <w:r w:rsidR="006F19E3" w:rsidRPr="00D1570A">
              <w:rPr>
                <w:rFonts w:cs="Arial"/>
                <w:color w:val="008000"/>
                <w:sz w:val="24"/>
              </w:rPr>
              <w:t xml:space="preserve"> </w:t>
            </w:r>
          </w:p>
        </w:tc>
        <w:tc>
          <w:tcPr>
            <w:tcW w:w="2161" w:type="dxa"/>
            <w:tcBorders>
              <w:top w:val="single" w:sz="4" w:space="0" w:color="4A8958"/>
              <w:left w:val="single" w:sz="4" w:space="0" w:color="FFFFFF"/>
              <w:bottom w:val="single" w:sz="4" w:space="0" w:color="4A8958"/>
              <w:right w:val="single" w:sz="4" w:space="0" w:color="4A8958"/>
            </w:tcBorders>
            <w:shd w:val="clear" w:color="auto" w:fill="auto"/>
          </w:tcPr>
          <w:p w14:paraId="68B62443" w14:textId="3A324603" w:rsidR="006F19E3" w:rsidRPr="00D1570A" w:rsidRDefault="000F4631" w:rsidP="00FE4A41">
            <w:pPr>
              <w:spacing w:line="240" w:lineRule="auto"/>
              <w:ind w:left="28" w:right="28"/>
              <w:rPr>
                <w:rFonts w:cs="Arial"/>
                <w:color w:val="008576"/>
                <w:szCs w:val="20"/>
              </w:rPr>
            </w:pPr>
            <w:r w:rsidRPr="004D08C9">
              <w:rPr>
                <w:rFonts w:cs="Arial"/>
                <w:noProof/>
              </w:rPr>
              <w:drawing>
                <wp:inline distT="0" distB="0" distL="0" distR="0" wp14:anchorId="35B4C006" wp14:editId="72378556">
                  <wp:extent cx="1252220" cy="1532890"/>
                  <wp:effectExtent l="38100" t="38100" r="43180" b="41910"/>
                  <wp:docPr id="18"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c>
      </w:tr>
      <w:tr w:rsidR="006F19E3" w:rsidRPr="00D1570A" w14:paraId="403D7451" w14:textId="77777777" w:rsidTr="00194F0B">
        <w:trPr>
          <w:trHeight w:val="1759"/>
        </w:trPr>
        <w:tc>
          <w:tcPr>
            <w:tcW w:w="10134" w:type="dxa"/>
            <w:gridSpan w:val="3"/>
            <w:tcBorders>
              <w:top w:val="single" w:sz="4" w:space="0" w:color="4A8958"/>
              <w:left w:val="single" w:sz="4" w:space="0" w:color="4A8958"/>
              <w:bottom w:val="single" w:sz="4" w:space="0" w:color="4A8958"/>
              <w:right w:val="single" w:sz="4" w:space="0" w:color="4A8958"/>
            </w:tcBorders>
            <w:shd w:val="clear" w:color="auto" w:fill="auto"/>
          </w:tcPr>
          <w:p w14:paraId="64B3044B" w14:textId="77777777" w:rsidR="006F19E3" w:rsidRPr="00D1570A" w:rsidRDefault="006F19E3" w:rsidP="00897E15">
            <w:pPr>
              <w:pStyle w:val="BodyText2"/>
              <w:ind w:left="113" w:right="113"/>
              <w:rPr>
                <w:rFonts w:cs="Arial"/>
                <w:color w:val="FF0000"/>
                <w:sz w:val="24"/>
              </w:rPr>
            </w:pPr>
            <w:r w:rsidRPr="00D1570A">
              <w:rPr>
                <w:rFonts w:cs="Arial"/>
                <w:b/>
                <w:sz w:val="24"/>
              </w:rPr>
              <w:t>Purpose of Modification:</w:t>
            </w:r>
            <w:r w:rsidRPr="00D1570A">
              <w:rPr>
                <w:rFonts w:cs="Arial"/>
                <w:i/>
                <w:color w:val="00B274"/>
                <w:sz w:val="24"/>
              </w:rPr>
              <w:t xml:space="preserve"> </w:t>
            </w:r>
          </w:p>
          <w:p w14:paraId="42B8A277" w14:textId="77777777" w:rsidR="00897E15" w:rsidRPr="00194F0B" w:rsidRDefault="00897E15" w:rsidP="00194F0B">
            <w:pPr>
              <w:ind w:left="142"/>
              <w:rPr>
                <w:rFonts w:eastAsia="Cambria" w:cs="Arial"/>
                <w:szCs w:val="20"/>
              </w:rPr>
            </w:pPr>
            <w:r w:rsidRPr="00DE57AB">
              <w:rPr>
                <w:rFonts w:eastAsia="Cambria" w:cs="Arial"/>
                <w:sz w:val="24"/>
                <w:szCs w:val="20"/>
              </w:rPr>
              <w:t xml:space="preserve">The </w:t>
            </w:r>
            <w:r w:rsidR="00005139" w:rsidRPr="00DE57AB">
              <w:rPr>
                <w:rFonts w:eastAsia="Cambria" w:cs="Arial"/>
                <w:sz w:val="24"/>
                <w:szCs w:val="20"/>
              </w:rPr>
              <w:t>purpose of</w:t>
            </w:r>
            <w:r w:rsidRPr="00DE57AB">
              <w:rPr>
                <w:rFonts w:eastAsia="Cambria" w:cs="Arial"/>
                <w:sz w:val="24"/>
                <w:szCs w:val="20"/>
              </w:rPr>
              <w:t xml:space="preserve"> this modification proposal is </w:t>
            </w:r>
            <w:r w:rsidR="00005139" w:rsidRPr="00DE57AB">
              <w:rPr>
                <w:rFonts w:eastAsia="Cambria" w:cs="Arial"/>
                <w:sz w:val="24"/>
                <w:szCs w:val="20"/>
              </w:rPr>
              <w:t xml:space="preserve">to </w:t>
            </w:r>
            <w:r w:rsidR="002B4500" w:rsidRPr="00DE57AB">
              <w:rPr>
                <w:rFonts w:eastAsia="Cambria" w:cs="Arial"/>
                <w:sz w:val="24"/>
                <w:szCs w:val="20"/>
              </w:rPr>
              <w:t>amend</w:t>
            </w:r>
            <w:r w:rsidR="00005139" w:rsidRPr="00DE57AB">
              <w:rPr>
                <w:rFonts w:eastAsia="Cambria" w:cs="Arial"/>
                <w:sz w:val="24"/>
                <w:szCs w:val="20"/>
              </w:rPr>
              <w:t xml:space="preserve"> the Gas Transmission Charging regime in order to </w:t>
            </w:r>
            <w:r w:rsidR="002B4500" w:rsidRPr="00DE57AB">
              <w:rPr>
                <w:rFonts w:eastAsia="Cambria" w:cs="Arial"/>
                <w:sz w:val="24"/>
                <w:szCs w:val="20"/>
              </w:rPr>
              <w:t xml:space="preserve">better meet the relevant charging objectives and customer/stakeholder provided objectives for Gas </w:t>
            </w:r>
            <w:r w:rsidR="00865F61" w:rsidRPr="00DE57AB">
              <w:rPr>
                <w:rFonts w:eastAsia="Cambria" w:cs="Arial"/>
                <w:sz w:val="24"/>
                <w:szCs w:val="20"/>
              </w:rPr>
              <w:t>Transmission T</w:t>
            </w:r>
            <w:r w:rsidR="002B4500" w:rsidRPr="00DE57AB">
              <w:rPr>
                <w:rFonts w:eastAsia="Cambria" w:cs="Arial"/>
                <w:sz w:val="24"/>
                <w:szCs w:val="20"/>
              </w:rPr>
              <w:t>ransportation charges and to deliver compliance with relevant EU codes (notably the EU Tariff Code)</w:t>
            </w:r>
            <w:r w:rsidR="00005139" w:rsidRPr="00DE57AB">
              <w:rPr>
                <w:rFonts w:eastAsia="Cambria" w:cs="Arial"/>
                <w:sz w:val="24"/>
                <w:szCs w:val="20"/>
              </w:rPr>
              <w:t>.</w:t>
            </w:r>
          </w:p>
        </w:tc>
      </w:tr>
      <w:tr w:rsidR="006F19E3" w:rsidRPr="00D1570A" w14:paraId="03EE6B30" w14:textId="77777777" w:rsidTr="006F19E3">
        <w:trPr>
          <w:trHeight w:val="899"/>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10A40D0A" w14:textId="6E030874" w:rsidR="006F19E3" w:rsidRPr="00D1570A" w:rsidRDefault="006C2D54" w:rsidP="006F19E3">
            <w:pPr>
              <w:ind w:firstLine="9"/>
              <w:jc w:val="center"/>
              <w:rPr>
                <w:rFonts w:cs="Arial"/>
              </w:rPr>
            </w:pPr>
            <w:r>
              <w:rPr>
                <w:rFonts w:cs="Arial"/>
                <w:noProof/>
              </w:rPr>
              <w:drawing>
                <wp:inline distT="0" distB="0" distL="0" distR="0" wp14:anchorId="351C4FA3" wp14:editId="06AB204E">
                  <wp:extent cx="474980" cy="474980"/>
                  <wp:effectExtent l="0" t="0" r="1270" b="1270"/>
                  <wp:docPr id="2" name="Picture 1" descr="Description: Description: YES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YES_GREEN"/>
                          <pic:cNvPicPr>
                            <a:picLocks noChangeAspect="1" noChangeArrowheads="1"/>
                          </pic:cNvPicPr>
                        </pic:nvPicPr>
                        <pic:blipFill>
                          <a:blip r:embed="rId13">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9221" w:type="dxa"/>
            <w:gridSpan w:val="2"/>
            <w:tcBorders>
              <w:top w:val="single" w:sz="4" w:space="0" w:color="4A8958"/>
              <w:left w:val="single" w:sz="4" w:space="0" w:color="4A8958"/>
              <w:bottom w:val="single" w:sz="4" w:space="0" w:color="4A8958"/>
              <w:right w:val="single" w:sz="4" w:space="0" w:color="4A8958"/>
            </w:tcBorders>
            <w:shd w:val="clear" w:color="auto" w:fill="auto"/>
          </w:tcPr>
          <w:p w14:paraId="5C64857A" w14:textId="77777777" w:rsidR="009F7447" w:rsidRPr="00D1570A" w:rsidRDefault="009F7447" w:rsidP="009F7447">
            <w:pPr>
              <w:pStyle w:val="BodyText3"/>
              <w:ind w:left="113" w:right="113"/>
              <w:rPr>
                <w:rFonts w:cs="Arial"/>
              </w:rPr>
            </w:pPr>
            <w:r w:rsidRPr="00D1570A">
              <w:t xml:space="preserve">The Proposer recommends that this modification should be </w:t>
            </w:r>
            <w:r w:rsidRPr="00D1570A">
              <w:rPr>
                <w:rFonts w:cs="Arial"/>
              </w:rPr>
              <w:t>assessed by a Workgroup</w:t>
            </w:r>
          </w:p>
          <w:p w14:paraId="6ABA30C8" w14:textId="21D751A9" w:rsidR="006F19E3" w:rsidRPr="00D1570A" w:rsidRDefault="006F19E3" w:rsidP="009F7447">
            <w:pPr>
              <w:pStyle w:val="BodyText3"/>
              <w:ind w:right="113"/>
              <w:rPr>
                <w:rFonts w:cs="Arial"/>
              </w:rPr>
            </w:pPr>
          </w:p>
        </w:tc>
      </w:tr>
      <w:tr w:rsidR="006F19E3" w:rsidRPr="00D1570A" w14:paraId="31C151A4" w14:textId="77777777" w:rsidTr="006F19E3">
        <w:trPr>
          <w:trHeight w:val="739"/>
        </w:trPr>
        <w:tc>
          <w:tcPr>
            <w:tcW w:w="913" w:type="dxa"/>
            <w:tcBorders>
              <w:top w:val="single" w:sz="4" w:space="0" w:color="4A8958"/>
              <w:left w:val="single" w:sz="4" w:space="0" w:color="4A8958"/>
              <w:bottom w:val="single" w:sz="4" w:space="0" w:color="4A8958"/>
              <w:right w:val="single" w:sz="4" w:space="0" w:color="4A8958"/>
            </w:tcBorders>
            <w:shd w:val="clear" w:color="auto" w:fill="auto"/>
            <w:vAlign w:val="center"/>
          </w:tcPr>
          <w:p w14:paraId="6C92B90C" w14:textId="6F0382D0" w:rsidR="006F19E3" w:rsidRPr="00D1570A" w:rsidRDefault="006C2D54" w:rsidP="006F19E3">
            <w:pPr>
              <w:spacing w:before="60" w:after="60"/>
              <w:ind w:firstLine="9"/>
              <w:jc w:val="center"/>
              <w:rPr>
                <w:rFonts w:cs="Arial"/>
              </w:rPr>
            </w:pPr>
            <w:r>
              <w:rPr>
                <w:rFonts w:cs="Arial"/>
                <w:noProof/>
              </w:rPr>
              <w:drawing>
                <wp:inline distT="0" distB="0" distL="0" distR="0" wp14:anchorId="1A27E8AC" wp14:editId="04132F20">
                  <wp:extent cx="474980" cy="474980"/>
                  <wp:effectExtent l="0" t="0" r="1270" b="1270"/>
                  <wp:docPr id="3" name="Picture 3" descr="Description: Description: High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High_Impact"/>
                          <pic:cNvPicPr>
                            <a:picLocks noChangeAspect="1" noChangeArrowheads="1"/>
                          </pic:cNvPicPr>
                        </pic:nvPicPr>
                        <pic:blipFill>
                          <a:blip r:embed="rId14">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9221" w:type="dxa"/>
            <w:gridSpan w:val="2"/>
            <w:tcBorders>
              <w:top w:val="single" w:sz="4" w:space="0" w:color="4A8958"/>
              <w:left w:val="single" w:sz="4" w:space="0" w:color="4A8958"/>
              <w:bottom w:val="single" w:sz="4" w:space="0" w:color="4A8958"/>
              <w:right w:val="single" w:sz="4" w:space="0" w:color="4A8958"/>
            </w:tcBorders>
            <w:shd w:val="clear" w:color="auto" w:fill="auto"/>
          </w:tcPr>
          <w:p w14:paraId="53D1EC6E" w14:textId="77777777" w:rsidR="00220A27" w:rsidRPr="00D1570A" w:rsidRDefault="006F19E3" w:rsidP="00220A27">
            <w:pPr>
              <w:pStyle w:val="BodyText3"/>
              <w:ind w:left="113" w:right="113"/>
              <w:rPr>
                <w:rFonts w:ascii="ArialMT" w:eastAsia="Cambria" w:hAnsi="ArialMT" w:cs="ArialMT"/>
              </w:rPr>
            </w:pPr>
            <w:r w:rsidRPr="00D1570A">
              <w:rPr>
                <w:rFonts w:cs="Arial"/>
              </w:rPr>
              <w:t>High Impact:</w:t>
            </w:r>
            <w:r w:rsidR="00220A27" w:rsidRPr="00D1570A">
              <w:rPr>
                <w:rFonts w:cs="Arial"/>
              </w:rPr>
              <w:t xml:space="preserve"> </w:t>
            </w:r>
          </w:p>
          <w:p w14:paraId="37682788" w14:textId="7CB8821D" w:rsidR="006F19E3" w:rsidRPr="00D1570A" w:rsidRDefault="006C2D54" w:rsidP="00220A27">
            <w:pPr>
              <w:pStyle w:val="BodyText3"/>
              <w:ind w:left="113" w:right="113"/>
              <w:rPr>
                <w:rFonts w:cs="Arial"/>
              </w:rPr>
            </w:pPr>
            <w:r>
              <w:rPr>
                <w:rFonts w:cs="Arial"/>
              </w:rPr>
              <w:t>All parties that pay NTS Transportation Charges and / or have a connection to the NTS,</w:t>
            </w:r>
            <w:r w:rsidRPr="008305B7">
              <w:rPr>
                <w:rFonts w:cs="Arial"/>
              </w:rPr>
              <w:t xml:space="preserve"> and National Grid NTS</w:t>
            </w:r>
          </w:p>
        </w:tc>
      </w:tr>
    </w:tbl>
    <w:p w14:paraId="641B02B3" w14:textId="61E1A48C" w:rsidR="00897DA5" w:rsidRDefault="00897DA5" w:rsidP="005B378E">
      <w:pPr>
        <w:rPr>
          <w:rFonts w:cs="Arial"/>
        </w:rPr>
      </w:pPr>
    </w:p>
    <w:p w14:paraId="0608BB08" w14:textId="77777777" w:rsidR="00897DA5" w:rsidRPr="00897DA5" w:rsidRDefault="00897DA5" w:rsidP="00897DA5">
      <w:pPr>
        <w:rPr>
          <w:rFonts w:cs="Arial"/>
        </w:rPr>
      </w:pPr>
    </w:p>
    <w:p w14:paraId="3335E246" w14:textId="77777777" w:rsidR="00897DA5" w:rsidRPr="00897DA5" w:rsidRDefault="00897DA5" w:rsidP="00897DA5">
      <w:pPr>
        <w:rPr>
          <w:rFonts w:cs="Arial"/>
        </w:rPr>
      </w:pPr>
    </w:p>
    <w:p w14:paraId="0492F685" w14:textId="77777777" w:rsidR="00897DA5" w:rsidRPr="00897DA5" w:rsidRDefault="00897DA5" w:rsidP="00897DA5">
      <w:pPr>
        <w:rPr>
          <w:rFonts w:cs="Arial"/>
        </w:rPr>
      </w:pPr>
    </w:p>
    <w:p w14:paraId="6CD078BB" w14:textId="77777777" w:rsidR="00897DA5" w:rsidRPr="00897DA5" w:rsidRDefault="00897DA5" w:rsidP="00897DA5">
      <w:pPr>
        <w:rPr>
          <w:rFonts w:cs="Arial"/>
        </w:rPr>
      </w:pPr>
    </w:p>
    <w:p w14:paraId="6B71EC84" w14:textId="77777777" w:rsidR="00897DA5" w:rsidRPr="00897DA5" w:rsidRDefault="00897DA5" w:rsidP="00897DA5">
      <w:pPr>
        <w:rPr>
          <w:rFonts w:cs="Arial"/>
        </w:rPr>
      </w:pPr>
    </w:p>
    <w:p w14:paraId="5FC41F6B" w14:textId="77777777" w:rsidR="00897DA5" w:rsidRPr="00897DA5" w:rsidRDefault="00897DA5" w:rsidP="00897DA5">
      <w:pPr>
        <w:rPr>
          <w:rFonts w:cs="Arial"/>
        </w:rPr>
      </w:pPr>
    </w:p>
    <w:p w14:paraId="5B25A7E2" w14:textId="77777777" w:rsidR="00897DA5" w:rsidRPr="00897DA5" w:rsidRDefault="00897DA5" w:rsidP="00897DA5">
      <w:pPr>
        <w:rPr>
          <w:rFonts w:cs="Arial"/>
        </w:rPr>
      </w:pPr>
    </w:p>
    <w:p w14:paraId="28726B06" w14:textId="01F6263D" w:rsidR="005079E0" w:rsidRPr="00897DA5" w:rsidRDefault="005079E0" w:rsidP="00897DA5">
      <w:pPr>
        <w:ind w:firstLine="720"/>
        <w:rPr>
          <w:rFonts w:cs="Arial"/>
        </w:rPr>
      </w:pPr>
    </w:p>
    <w:tbl>
      <w:tblPr>
        <w:tblW w:w="10163" w:type="dxa"/>
        <w:tblInd w:w="-261" w:type="dxa"/>
        <w:tblLayout w:type="fixed"/>
        <w:tblLook w:val="04A0" w:firstRow="1" w:lastRow="0" w:firstColumn="1" w:lastColumn="0" w:noHBand="0" w:noVBand="1"/>
      </w:tblPr>
      <w:tblGrid>
        <w:gridCol w:w="8017"/>
        <w:gridCol w:w="2146"/>
      </w:tblGrid>
      <w:tr w:rsidR="00F10E14" w:rsidRPr="00D1570A" w14:paraId="3BB6766A" w14:textId="77777777" w:rsidTr="002C4C65">
        <w:trPr>
          <w:trHeight w:val="617"/>
        </w:trPr>
        <w:tc>
          <w:tcPr>
            <w:tcW w:w="8017" w:type="dxa"/>
            <w:vMerge w:val="restart"/>
            <w:tcBorders>
              <w:top w:val="single" w:sz="4" w:space="0" w:color="4A8958"/>
              <w:left w:val="single" w:sz="4" w:space="0" w:color="4A8958"/>
              <w:bottom w:val="single" w:sz="4" w:space="0" w:color="4A8958"/>
              <w:right w:val="single" w:sz="4" w:space="0" w:color="4A8958"/>
            </w:tcBorders>
            <w:shd w:val="clear" w:color="auto" w:fill="auto"/>
          </w:tcPr>
          <w:p w14:paraId="7B436AFC" w14:textId="77777777" w:rsidR="00F10E14" w:rsidRPr="00D1570A" w:rsidRDefault="00F10E14" w:rsidP="000F4631">
            <w:pPr>
              <w:pStyle w:val="Contents02"/>
              <w:rPr>
                <w:noProof/>
              </w:rPr>
            </w:pPr>
            <w:r w:rsidRPr="00D1570A">
              <w:rPr>
                <w:noProof/>
              </w:rPr>
              <w:t>Contents</w:t>
            </w:r>
          </w:p>
          <w:p w14:paraId="1E0B6BBB" w14:textId="77777777" w:rsidR="002961B3" w:rsidRDefault="00F10E14" w:rsidP="002961B3">
            <w:pPr>
              <w:pStyle w:val="TOC1"/>
              <w:framePr w:wrap="around"/>
              <w:rPr>
                <w:rFonts w:asciiTheme="minorHAnsi" w:eastAsiaTheme="minorEastAsia" w:hAnsiTheme="minorHAnsi" w:cstheme="minorBidi"/>
                <w:b w:val="0"/>
                <w:bCs w:val="0"/>
                <w:color w:val="auto"/>
              </w:rPr>
            </w:pPr>
            <w:r w:rsidRPr="00D1570A">
              <w:rPr>
                <w:rFonts w:cs="Arial"/>
              </w:rPr>
              <w:fldChar w:fldCharType="begin"/>
            </w:r>
            <w:r w:rsidRPr="00D1570A">
              <w:rPr>
                <w:rFonts w:cs="Arial"/>
              </w:rPr>
              <w:instrText xml:space="preserve"> TOC \o "1-1" </w:instrText>
            </w:r>
            <w:r w:rsidRPr="00D1570A">
              <w:rPr>
                <w:rFonts w:cs="Arial"/>
              </w:rPr>
              <w:fldChar w:fldCharType="separate"/>
            </w:r>
            <w:r w:rsidR="002961B3">
              <w:t>Timetable</w:t>
            </w:r>
            <w:r w:rsidR="002961B3">
              <w:tab/>
            </w:r>
            <w:r w:rsidR="002961B3">
              <w:fldChar w:fldCharType="begin"/>
            </w:r>
            <w:r w:rsidR="002961B3">
              <w:instrText xml:space="preserve"> PAGEREF _Toc504395607 \h </w:instrText>
            </w:r>
            <w:r w:rsidR="002961B3">
              <w:fldChar w:fldCharType="separate"/>
            </w:r>
            <w:r w:rsidR="00B44A30">
              <w:t>2</w:t>
            </w:r>
            <w:r w:rsidR="002961B3">
              <w:fldChar w:fldCharType="end"/>
            </w:r>
          </w:p>
          <w:p w14:paraId="3730A692" w14:textId="77777777" w:rsidR="002961B3" w:rsidRDefault="002961B3" w:rsidP="002961B3">
            <w:pPr>
              <w:pStyle w:val="TOC1"/>
              <w:framePr w:wrap="around"/>
              <w:rPr>
                <w:rFonts w:asciiTheme="minorHAnsi" w:eastAsiaTheme="minorEastAsia" w:hAnsiTheme="minorHAnsi" w:cstheme="minorBidi"/>
                <w:b w:val="0"/>
                <w:bCs w:val="0"/>
                <w:color w:val="auto"/>
              </w:rPr>
            </w:pPr>
            <w:r>
              <w:t>1</w:t>
            </w:r>
            <w:r>
              <w:rPr>
                <w:rFonts w:asciiTheme="minorHAnsi" w:eastAsiaTheme="minorEastAsia" w:hAnsiTheme="minorHAnsi" w:cstheme="minorBidi"/>
                <w:b w:val="0"/>
                <w:bCs w:val="0"/>
                <w:color w:val="auto"/>
              </w:rPr>
              <w:tab/>
            </w:r>
            <w:r>
              <w:t>Summary</w:t>
            </w:r>
            <w:r>
              <w:tab/>
            </w:r>
            <w:r>
              <w:fldChar w:fldCharType="begin"/>
            </w:r>
            <w:r>
              <w:instrText xml:space="preserve"> PAGEREF _Toc504395608 \h </w:instrText>
            </w:r>
            <w:r>
              <w:fldChar w:fldCharType="separate"/>
            </w:r>
            <w:r w:rsidR="00B44A30">
              <w:t>3</w:t>
            </w:r>
            <w:r>
              <w:fldChar w:fldCharType="end"/>
            </w:r>
          </w:p>
          <w:p w14:paraId="60730D5F" w14:textId="77777777" w:rsidR="002961B3" w:rsidRDefault="002961B3" w:rsidP="002961B3">
            <w:pPr>
              <w:pStyle w:val="TOC1"/>
              <w:framePr w:wrap="around"/>
              <w:rPr>
                <w:rFonts w:asciiTheme="minorHAnsi" w:eastAsiaTheme="minorEastAsia" w:hAnsiTheme="minorHAnsi" w:cstheme="minorBidi"/>
                <w:b w:val="0"/>
                <w:bCs w:val="0"/>
                <w:color w:val="auto"/>
              </w:rPr>
            </w:pPr>
            <w:r>
              <w:t>2</w:t>
            </w:r>
            <w:r>
              <w:rPr>
                <w:rFonts w:asciiTheme="minorHAnsi" w:eastAsiaTheme="minorEastAsia" w:hAnsiTheme="minorHAnsi" w:cstheme="minorBidi"/>
                <w:b w:val="0"/>
                <w:bCs w:val="0"/>
                <w:color w:val="auto"/>
              </w:rPr>
              <w:tab/>
            </w:r>
            <w:r>
              <w:t>Governance</w:t>
            </w:r>
            <w:r>
              <w:tab/>
            </w:r>
            <w:r>
              <w:fldChar w:fldCharType="begin"/>
            </w:r>
            <w:r>
              <w:instrText xml:space="preserve"> PAGEREF _Toc504395609 \h </w:instrText>
            </w:r>
            <w:r>
              <w:fldChar w:fldCharType="separate"/>
            </w:r>
            <w:r w:rsidR="00B44A30">
              <w:t>4</w:t>
            </w:r>
            <w:r>
              <w:fldChar w:fldCharType="end"/>
            </w:r>
          </w:p>
          <w:p w14:paraId="38D4E9A7" w14:textId="77777777" w:rsidR="002961B3" w:rsidRDefault="002961B3" w:rsidP="002961B3">
            <w:pPr>
              <w:pStyle w:val="TOC1"/>
              <w:framePr w:wrap="around"/>
              <w:rPr>
                <w:rFonts w:asciiTheme="minorHAnsi" w:eastAsiaTheme="minorEastAsia" w:hAnsiTheme="minorHAnsi" w:cstheme="minorBidi"/>
                <w:b w:val="0"/>
                <w:bCs w:val="0"/>
                <w:color w:val="auto"/>
              </w:rPr>
            </w:pPr>
            <w:r>
              <w:t>3</w:t>
            </w:r>
            <w:r>
              <w:rPr>
                <w:rFonts w:asciiTheme="minorHAnsi" w:eastAsiaTheme="minorEastAsia" w:hAnsiTheme="minorHAnsi" w:cstheme="minorBidi"/>
                <w:b w:val="0"/>
                <w:bCs w:val="0"/>
                <w:color w:val="auto"/>
              </w:rPr>
              <w:tab/>
            </w:r>
            <w:r>
              <w:t>Why Change?</w:t>
            </w:r>
            <w:r>
              <w:tab/>
            </w:r>
            <w:r>
              <w:fldChar w:fldCharType="begin"/>
            </w:r>
            <w:r>
              <w:instrText xml:space="preserve"> PAGEREF _Toc504395610 \h </w:instrText>
            </w:r>
            <w:r>
              <w:fldChar w:fldCharType="separate"/>
            </w:r>
            <w:r w:rsidR="00B44A30">
              <w:t>4</w:t>
            </w:r>
            <w:r>
              <w:fldChar w:fldCharType="end"/>
            </w:r>
          </w:p>
          <w:p w14:paraId="5B1473F9" w14:textId="77777777" w:rsidR="002961B3" w:rsidRDefault="002961B3" w:rsidP="002961B3">
            <w:pPr>
              <w:pStyle w:val="TOC1"/>
              <w:framePr w:wrap="around"/>
              <w:rPr>
                <w:rFonts w:asciiTheme="minorHAnsi" w:eastAsiaTheme="minorEastAsia" w:hAnsiTheme="minorHAnsi" w:cstheme="minorBidi"/>
                <w:b w:val="0"/>
                <w:bCs w:val="0"/>
                <w:color w:val="auto"/>
              </w:rPr>
            </w:pPr>
            <w:r>
              <w:t>4</w:t>
            </w:r>
            <w:r>
              <w:rPr>
                <w:rFonts w:asciiTheme="minorHAnsi" w:eastAsiaTheme="minorEastAsia" w:hAnsiTheme="minorHAnsi" w:cstheme="minorBidi"/>
                <w:b w:val="0"/>
                <w:bCs w:val="0"/>
                <w:color w:val="auto"/>
              </w:rPr>
              <w:tab/>
            </w:r>
            <w:r>
              <w:t>Code Specific Matters</w:t>
            </w:r>
            <w:r>
              <w:tab/>
            </w:r>
            <w:r>
              <w:fldChar w:fldCharType="begin"/>
            </w:r>
            <w:r>
              <w:instrText xml:space="preserve"> PAGEREF _Toc504395611 \h </w:instrText>
            </w:r>
            <w:r>
              <w:fldChar w:fldCharType="separate"/>
            </w:r>
            <w:r w:rsidR="00B44A30">
              <w:t>11</w:t>
            </w:r>
            <w:r>
              <w:fldChar w:fldCharType="end"/>
            </w:r>
          </w:p>
          <w:p w14:paraId="3AB1FC29" w14:textId="77777777" w:rsidR="002961B3" w:rsidRDefault="002961B3" w:rsidP="002961B3">
            <w:pPr>
              <w:pStyle w:val="TOC1"/>
              <w:framePr w:wrap="around"/>
              <w:rPr>
                <w:rFonts w:asciiTheme="minorHAnsi" w:eastAsiaTheme="minorEastAsia" w:hAnsiTheme="minorHAnsi" w:cstheme="minorBidi"/>
                <w:b w:val="0"/>
                <w:bCs w:val="0"/>
                <w:color w:val="auto"/>
              </w:rPr>
            </w:pPr>
            <w:r>
              <w:t>5</w:t>
            </w:r>
            <w:r>
              <w:rPr>
                <w:rFonts w:asciiTheme="minorHAnsi" w:eastAsiaTheme="minorEastAsia" w:hAnsiTheme="minorHAnsi" w:cstheme="minorBidi"/>
                <w:b w:val="0"/>
                <w:bCs w:val="0"/>
                <w:color w:val="auto"/>
              </w:rPr>
              <w:tab/>
            </w:r>
            <w:r>
              <w:t>Solution</w:t>
            </w:r>
            <w:r>
              <w:tab/>
            </w:r>
            <w:r>
              <w:fldChar w:fldCharType="begin"/>
            </w:r>
            <w:r>
              <w:instrText xml:space="preserve"> PAGEREF _Toc504395612 \h </w:instrText>
            </w:r>
            <w:r>
              <w:fldChar w:fldCharType="separate"/>
            </w:r>
            <w:r w:rsidR="00B44A30">
              <w:t>14</w:t>
            </w:r>
            <w:r>
              <w:fldChar w:fldCharType="end"/>
            </w:r>
          </w:p>
          <w:p w14:paraId="59238F87" w14:textId="77777777" w:rsidR="002961B3" w:rsidRDefault="002961B3" w:rsidP="002961B3">
            <w:pPr>
              <w:pStyle w:val="TOC1"/>
              <w:framePr w:wrap="around"/>
              <w:rPr>
                <w:rFonts w:asciiTheme="minorHAnsi" w:eastAsiaTheme="minorEastAsia" w:hAnsiTheme="minorHAnsi" w:cstheme="minorBidi"/>
                <w:b w:val="0"/>
                <w:bCs w:val="0"/>
                <w:color w:val="auto"/>
              </w:rPr>
            </w:pPr>
            <w:r>
              <w:t>6</w:t>
            </w:r>
            <w:r>
              <w:rPr>
                <w:rFonts w:asciiTheme="minorHAnsi" w:eastAsiaTheme="minorEastAsia" w:hAnsiTheme="minorHAnsi" w:cstheme="minorBidi"/>
                <w:b w:val="0"/>
                <w:bCs w:val="0"/>
                <w:color w:val="auto"/>
              </w:rPr>
              <w:tab/>
            </w:r>
            <w:r>
              <w:t>Impacts &amp; Other Considerations</w:t>
            </w:r>
            <w:r>
              <w:tab/>
            </w:r>
            <w:r>
              <w:fldChar w:fldCharType="begin"/>
            </w:r>
            <w:r>
              <w:instrText xml:space="preserve"> PAGEREF _Toc504395613 \h </w:instrText>
            </w:r>
            <w:r>
              <w:fldChar w:fldCharType="separate"/>
            </w:r>
            <w:r w:rsidR="00B44A30">
              <w:t>23</w:t>
            </w:r>
            <w:r>
              <w:fldChar w:fldCharType="end"/>
            </w:r>
          </w:p>
          <w:p w14:paraId="444617B1" w14:textId="77777777" w:rsidR="002961B3" w:rsidRDefault="002961B3" w:rsidP="002961B3">
            <w:pPr>
              <w:pStyle w:val="TOC1"/>
              <w:framePr w:wrap="around"/>
              <w:rPr>
                <w:rFonts w:asciiTheme="minorHAnsi" w:eastAsiaTheme="minorEastAsia" w:hAnsiTheme="minorHAnsi" w:cstheme="minorBidi"/>
                <w:b w:val="0"/>
                <w:bCs w:val="0"/>
                <w:color w:val="auto"/>
              </w:rPr>
            </w:pPr>
            <w:r>
              <w:t>7</w:t>
            </w:r>
            <w:r>
              <w:rPr>
                <w:rFonts w:asciiTheme="minorHAnsi" w:eastAsiaTheme="minorEastAsia" w:hAnsiTheme="minorHAnsi" w:cstheme="minorBidi"/>
                <w:b w:val="0"/>
                <w:bCs w:val="0"/>
                <w:color w:val="auto"/>
              </w:rPr>
              <w:tab/>
            </w:r>
            <w:r>
              <w:t>Relevant Objectives</w:t>
            </w:r>
            <w:r>
              <w:tab/>
            </w:r>
            <w:r>
              <w:fldChar w:fldCharType="begin"/>
            </w:r>
            <w:r>
              <w:instrText xml:space="preserve"> PAGEREF _Toc504395614 \h </w:instrText>
            </w:r>
            <w:r>
              <w:fldChar w:fldCharType="separate"/>
            </w:r>
            <w:r w:rsidR="00B44A30">
              <w:t>31</w:t>
            </w:r>
            <w:r>
              <w:fldChar w:fldCharType="end"/>
            </w:r>
          </w:p>
          <w:p w14:paraId="5007BF7C" w14:textId="77777777" w:rsidR="002961B3" w:rsidRDefault="002961B3" w:rsidP="002961B3">
            <w:pPr>
              <w:pStyle w:val="TOC1"/>
              <w:framePr w:wrap="around"/>
              <w:rPr>
                <w:rFonts w:asciiTheme="minorHAnsi" w:eastAsiaTheme="minorEastAsia" w:hAnsiTheme="minorHAnsi" w:cstheme="minorBidi"/>
                <w:b w:val="0"/>
                <w:bCs w:val="0"/>
                <w:color w:val="auto"/>
              </w:rPr>
            </w:pPr>
            <w:r>
              <w:t>8</w:t>
            </w:r>
            <w:r>
              <w:rPr>
                <w:rFonts w:asciiTheme="minorHAnsi" w:eastAsiaTheme="minorEastAsia" w:hAnsiTheme="minorHAnsi" w:cstheme="minorBidi"/>
                <w:b w:val="0"/>
                <w:bCs w:val="0"/>
                <w:color w:val="auto"/>
              </w:rPr>
              <w:tab/>
            </w:r>
            <w:r>
              <w:t>Implementation</w:t>
            </w:r>
            <w:r>
              <w:tab/>
            </w:r>
            <w:r>
              <w:fldChar w:fldCharType="begin"/>
            </w:r>
            <w:r>
              <w:instrText xml:space="preserve"> PAGEREF _Toc504395615 \h </w:instrText>
            </w:r>
            <w:r>
              <w:fldChar w:fldCharType="separate"/>
            </w:r>
            <w:r w:rsidR="00B44A30">
              <w:t>32</w:t>
            </w:r>
            <w:r>
              <w:fldChar w:fldCharType="end"/>
            </w:r>
          </w:p>
          <w:p w14:paraId="5449DE40" w14:textId="77777777" w:rsidR="002961B3" w:rsidRDefault="002961B3" w:rsidP="002961B3">
            <w:pPr>
              <w:pStyle w:val="TOC1"/>
              <w:framePr w:wrap="around"/>
              <w:rPr>
                <w:rFonts w:asciiTheme="minorHAnsi" w:eastAsiaTheme="minorEastAsia" w:hAnsiTheme="minorHAnsi" w:cstheme="minorBidi"/>
                <w:b w:val="0"/>
                <w:bCs w:val="0"/>
                <w:color w:val="auto"/>
              </w:rPr>
            </w:pPr>
            <w:r>
              <w:t>9</w:t>
            </w:r>
            <w:r>
              <w:rPr>
                <w:rFonts w:asciiTheme="minorHAnsi" w:eastAsiaTheme="minorEastAsia" w:hAnsiTheme="minorHAnsi" w:cstheme="minorBidi"/>
                <w:b w:val="0"/>
                <w:bCs w:val="0"/>
                <w:color w:val="auto"/>
              </w:rPr>
              <w:tab/>
            </w:r>
            <w:r>
              <w:t>Legal Text</w:t>
            </w:r>
            <w:r>
              <w:tab/>
            </w:r>
            <w:r>
              <w:fldChar w:fldCharType="begin"/>
            </w:r>
            <w:r>
              <w:instrText xml:space="preserve"> PAGEREF _Toc504395616 \h </w:instrText>
            </w:r>
            <w:r>
              <w:fldChar w:fldCharType="separate"/>
            </w:r>
            <w:r w:rsidR="00B44A30">
              <w:t>32</w:t>
            </w:r>
            <w:r>
              <w:fldChar w:fldCharType="end"/>
            </w:r>
          </w:p>
          <w:p w14:paraId="30E00DCD" w14:textId="77777777" w:rsidR="002961B3" w:rsidRDefault="002961B3" w:rsidP="002961B3">
            <w:pPr>
              <w:pStyle w:val="TOC1"/>
              <w:framePr w:wrap="around"/>
              <w:rPr>
                <w:rFonts w:asciiTheme="minorHAnsi" w:eastAsiaTheme="minorEastAsia" w:hAnsiTheme="minorHAnsi" w:cstheme="minorBidi"/>
                <w:b w:val="0"/>
                <w:bCs w:val="0"/>
                <w:color w:val="auto"/>
              </w:rPr>
            </w:pPr>
            <w:r>
              <w:t>10</w:t>
            </w:r>
            <w:r>
              <w:rPr>
                <w:rFonts w:asciiTheme="minorHAnsi" w:eastAsiaTheme="minorEastAsia" w:hAnsiTheme="minorHAnsi" w:cstheme="minorBidi"/>
                <w:b w:val="0"/>
                <w:bCs w:val="0"/>
                <w:color w:val="auto"/>
              </w:rPr>
              <w:tab/>
            </w:r>
            <w:r>
              <w:t>Recommendations</w:t>
            </w:r>
            <w:r>
              <w:tab/>
            </w:r>
            <w:r>
              <w:fldChar w:fldCharType="begin"/>
            </w:r>
            <w:r>
              <w:instrText xml:space="preserve"> PAGEREF _Toc504395617 \h </w:instrText>
            </w:r>
            <w:r>
              <w:fldChar w:fldCharType="separate"/>
            </w:r>
            <w:r w:rsidR="00B44A30">
              <w:t>32</w:t>
            </w:r>
            <w:r>
              <w:fldChar w:fldCharType="end"/>
            </w:r>
          </w:p>
          <w:p w14:paraId="1E7E2F11" w14:textId="77777777" w:rsidR="002961B3" w:rsidRDefault="002961B3" w:rsidP="002961B3">
            <w:pPr>
              <w:pStyle w:val="TOC1"/>
              <w:framePr w:wrap="around"/>
              <w:rPr>
                <w:rFonts w:asciiTheme="minorHAnsi" w:eastAsiaTheme="minorEastAsia" w:hAnsiTheme="minorHAnsi" w:cstheme="minorBidi"/>
                <w:b w:val="0"/>
                <w:bCs w:val="0"/>
                <w:color w:val="auto"/>
              </w:rPr>
            </w:pPr>
            <w:r>
              <w:t>11</w:t>
            </w:r>
            <w:r>
              <w:rPr>
                <w:rFonts w:asciiTheme="minorHAnsi" w:eastAsiaTheme="minorEastAsia" w:hAnsiTheme="minorHAnsi" w:cstheme="minorBidi"/>
                <w:b w:val="0"/>
                <w:bCs w:val="0"/>
                <w:color w:val="auto"/>
              </w:rPr>
              <w:tab/>
            </w:r>
            <w:r>
              <w:t>Appendices</w:t>
            </w:r>
            <w:r>
              <w:tab/>
            </w:r>
            <w:r>
              <w:fldChar w:fldCharType="begin"/>
            </w:r>
            <w:r>
              <w:instrText xml:space="preserve"> PAGEREF _Toc504395618 \h </w:instrText>
            </w:r>
            <w:r>
              <w:fldChar w:fldCharType="separate"/>
            </w:r>
            <w:r w:rsidR="00B44A30">
              <w:t>32</w:t>
            </w:r>
            <w:r>
              <w:fldChar w:fldCharType="end"/>
            </w:r>
          </w:p>
          <w:p w14:paraId="2C3F505D" w14:textId="77777777" w:rsidR="00F10E14" w:rsidRPr="00D1570A" w:rsidRDefault="00F10E14" w:rsidP="00B52044">
            <w:pPr>
              <w:pStyle w:val="TOCContents01MOD"/>
              <w:framePr w:wrap="around"/>
              <w:rPr>
                <w:rFonts w:cs="Arial"/>
              </w:rPr>
            </w:pPr>
            <w:r w:rsidRPr="00D1570A">
              <w:rPr>
                <w:rFonts w:cs="Arial"/>
              </w:rPr>
              <w:fldChar w:fldCharType="end"/>
            </w:r>
          </w:p>
          <w:p w14:paraId="13FACAF1" w14:textId="77777777" w:rsidR="007E718E" w:rsidRPr="00D1570A" w:rsidRDefault="008F48D5" w:rsidP="002644B9">
            <w:pPr>
              <w:pStyle w:val="Heading02"/>
              <w:numPr>
                <w:ilvl w:val="0"/>
                <w:numId w:val="0"/>
              </w:numPr>
              <w:ind w:left="432"/>
            </w:pPr>
            <w:bookmarkStart w:id="1" w:name="_Toc504395607"/>
            <w:r w:rsidRPr="00D1570A">
              <w:t>Timetable</w:t>
            </w:r>
            <w:bookmarkEnd w:id="1"/>
          </w:p>
          <w:tbl>
            <w:tblPr>
              <w:tblpPr w:leftFromText="180" w:rightFromText="180" w:vertAnchor="text" w:tblpX="-103" w:tblpY="1"/>
              <w:tblOverlap w:val="never"/>
              <w:tblW w:w="7933"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A0" w:firstRow="1" w:lastRow="0" w:firstColumn="1" w:lastColumn="0" w:noHBand="0" w:noVBand="1"/>
            </w:tblPr>
            <w:tblGrid>
              <w:gridCol w:w="4673"/>
              <w:gridCol w:w="3260"/>
            </w:tblGrid>
            <w:tr w:rsidR="00AA69EF" w:rsidRPr="00D1570A" w14:paraId="48EB78EE" w14:textId="77777777" w:rsidTr="00E662C7">
              <w:tc>
                <w:tcPr>
                  <w:tcW w:w="7933" w:type="dxa"/>
                  <w:gridSpan w:val="2"/>
                  <w:shd w:val="clear" w:color="auto" w:fill="auto"/>
                </w:tcPr>
                <w:p w14:paraId="17483A26" w14:textId="77777777" w:rsidR="00AA69EF" w:rsidRPr="00D1570A" w:rsidRDefault="00AA69EF" w:rsidP="00264740">
                  <w:pPr>
                    <w:spacing w:before="40" w:after="40"/>
                    <w:rPr>
                      <w:rFonts w:cs="Arial"/>
                      <w:szCs w:val="20"/>
                    </w:rPr>
                  </w:pPr>
                  <w:r w:rsidRPr="00D1570A">
                    <w:rPr>
                      <w:rFonts w:cs="Arial"/>
                      <w:b/>
                      <w:szCs w:val="20"/>
                    </w:rPr>
                    <w:t>The Proposer recommends the following timetable</w:t>
                  </w:r>
                  <w:r w:rsidR="000B5CFC" w:rsidRPr="00D1570A">
                    <w:rPr>
                      <w:rFonts w:cs="Arial"/>
                      <w:b/>
                      <w:szCs w:val="20"/>
                    </w:rPr>
                    <w:t>:</w:t>
                  </w:r>
                </w:p>
              </w:tc>
            </w:tr>
            <w:tr w:rsidR="006C2D54" w:rsidRPr="00D1570A" w14:paraId="07ECB1AE" w14:textId="77777777" w:rsidTr="00E662C7">
              <w:tc>
                <w:tcPr>
                  <w:tcW w:w="4673" w:type="dxa"/>
                  <w:shd w:val="clear" w:color="auto" w:fill="auto"/>
                </w:tcPr>
                <w:p w14:paraId="44612A99" w14:textId="77777777" w:rsidR="006C2D54" w:rsidRPr="00D1570A" w:rsidRDefault="006C2D54" w:rsidP="006C2D54">
                  <w:pPr>
                    <w:tabs>
                      <w:tab w:val="left" w:pos="171"/>
                    </w:tabs>
                    <w:spacing w:before="40" w:after="40"/>
                    <w:rPr>
                      <w:rFonts w:cs="Arial"/>
                      <w:szCs w:val="20"/>
                    </w:rPr>
                  </w:pPr>
                  <w:r w:rsidRPr="00D1570A">
                    <w:rPr>
                      <w:rFonts w:cs="Arial"/>
                      <w:szCs w:val="20"/>
                    </w:rPr>
                    <w:t>Workgroup Report presented to Panel</w:t>
                  </w:r>
                </w:p>
              </w:tc>
              <w:tc>
                <w:tcPr>
                  <w:tcW w:w="3260" w:type="dxa"/>
                  <w:shd w:val="clear" w:color="auto" w:fill="auto"/>
                  <w:vAlign w:val="center"/>
                </w:tcPr>
                <w:p w14:paraId="5EAC029A" w14:textId="4D647D4F" w:rsidR="006C2D54" w:rsidRPr="00D1570A" w:rsidRDefault="006C2D54" w:rsidP="006C2D54">
                  <w:pPr>
                    <w:spacing w:before="40" w:after="40"/>
                    <w:rPr>
                      <w:rFonts w:cs="Arial"/>
                      <w:szCs w:val="20"/>
                    </w:rPr>
                  </w:pPr>
                  <w:r>
                    <w:rPr>
                      <w:rFonts w:cs="Arial"/>
                      <w:szCs w:val="20"/>
                    </w:rPr>
                    <w:t>15 March 2018</w:t>
                  </w:r>
                </w:p>
              </w:tc>
            </w:tr>
            <w:tr w:rsidR="006C2D54" w:rsidRPr="00D1570A" w14:paraId="4AE5E54A" w14:textId="77777777" w:rsidTr="00E662C7">
              <w:tc>
                <w:tcPr>
                  <w:tcW w:w="4673" w:type="dxa"/>
                  <w:shd w:val="clear" w:color="auto" w:fill="auto"/>
                </w:tcPr>
                <w:p w14:paraId="1E690A9F" w14:textId="77777777" w:rsidR="006C2D54" w:rsidRPr="00D1570A" w:rsidRDefault="006C2D54" w:rsidP="006C2D54">
                  <w:pPr>
                    <w:tabs>
                      <w:tab w:val="left" w:pos="171"/>
                    </w:tabs>
                    <w:spacing w:before="40" w:after="40"/>
                    <w:rPr>
                      <w:rFonts w:cs="Arial"/>
                      <w:szCs w:val="20"/>
                    </w:rPr>
                  </w:pPr>
                  <w:r w:rsidRPr="00D1570A">
                    <w:rPr>
                      <w:rFonts w:cs="Arial"/>
                      <w:szCs w:val="20"/>
                    </w:rPr>
                    <w:t>Draft Modification Report issued for consultation</w:t>
                  </w:r>
                </w:p>
              </w:tc>
              <w:tc>
                <w:tcPr>
                  <w:tcW w:w="3260" w:type="dxa"/>
                  <w:shd w:val="clear" w:color="auto" w:fill="auto"/>
                  <w:vAlign w:val="center"/>
                </w:tcPr>
                <w:p w14:paraId="3EC94842" w14:textId="23281365" w:rsidR="006C2D54" w:rsidRPr="00D1570A" w:rsidRDefault="006C2D54" w:rsidP="006C2D54">
                  <w:pPr>
                    <w:spacing w:before="40" w:after="40"/>
                    <w:rPr>
                      <w:rFonts w:cs="Arial"/>
                      <w:szCs w:val="20"/>
                    </w:rPr>
                  </w:pPr>
                  <w:r>
                    <w:rPr>
                      <w:rFonts w:cs="Arial"/>
                      <w:szCs w:val="20"/>
                    </w:rPr>
                    <w:t>15 March 2018</w:t>
                  </w:r>
                </w:p>
              </w:tc>
            </w:tr>
            <w:tr w:rsidR="006C2D54" w:rsidRPr="00D1570A" w14:paraId="0862CF6B" w14:textId="77777777" w:rsidTr="00E662C7">
              <w:tc>
                <w:tcPr>
                  <w:tcW w:w="4673" w:type="dxa"/>
                  <w:shd w:val="clear" w:color="auto" w:fill="auto"/>
                </w:tcPr>
                <w:p w14:paraId="709A3580" w14:textId="77777777" w:rsidR="006C2D54" w:rsidRPr="00D1570A" w:rsidRDefault="006C2D54" w:rsidP="006C2D54">
                  <w:pPr>
                    <w:tabs>
                      <w:tab w:val="left" w:pos="171"/>
                    </w:tabs>
                    <w:spacing w:before="40" w:after="40"/>
                    <w:rPr>
                      <w:rFonts w:cs="Arial"/>
                      <w:szCs w:val="20"/>
                    </w:rPr>
                  </w:pPr>
                  <w:r w:rsidRPr="00D1570A">
                    <w:rPr>
                      <w:rFonts w:cs="Arial"/>
                      <w:szCs w:val="20"/>
                    </w:rPr>
                    <w:t>Consultation Close-out for representations</w:t>
                  </w:r>
                </w:p>
              </w:tc>
              <w:tc>
                <w:tcPr>
                  <w:tcW w:w="3260" w:type="dxa"/>
                  <w:shd w:val="clear" w:color="auto" w:fill="auto"/>
                  <w:vAlign w:val="center"/>
                </w:tcPr>
                <w:p w14:paraId="670365BC" w14:textId="78939130" w:rsidR="006C2D54" w:rsidRPr="00D1570A" w:rsidRDefault="006C2D54" w:rsidP="006C2D54">
                  <w:pPr>
                    <w:spacing w:before="40" w:after="40"/>
                    <w:rPr>
                      <w:rFonts w:cs="Arial"/>
                      <w:szCs w:val="20"/>
                    </w:rPr>
                  </w:pPr>
                  <w:r>
                    <w:rPr>
                      <w:rFonts w:cs="Arial"/>
                      <w:szCs w:val="20"/>
                    </w:rPr>
                    <w:t>17 May 2018</w:t>
                  </w:r>
                </w:p>
              </w:tc>
            </w:tr>
            <w:tr w:rsidR="006C2D54" w:rsidRPr="00D1570A" w14:paraId="619CA8FA" w14:textId="77777777" w:rsidTr="00E662C7">
              <w:tc>
                <w:tcPr>
                  <w:tcW w:w="4673" w:type="dxa"/>
                  <w:shd w:val="clear" w:color="auto" w:fill="auto"/>
                </w:tcPr>
                <w:p w14:paraId="51BBE17C" w14:textId="77777777" w:rsidR="006C2D54" w:rsidRPr="00D1570A" w:rsidRDefault="006C2D54" w:rsidP="006C2D54">
                  <w:pPr>
                    <w:tabs>
                      <w:tab w:val="left" w:pos="171"/>
                    </w:tabs>
                    <w:spacing w:before="40" w:after="40"/>
                    <w:rPr>
                      <w:rFonts w:cs="Arial"/>
                      <w:color w:val="FF0000"/>
                      <w:szCs w:val="20"/>
                    </w:rPr>
                  </w:pPr>
                  <w:r w:rsidRPr="00D1570A">
                    <w:rPr>
                      <w:rFonts w:cs="Arial"/>
                      <w:szCs w:val="20"/>
                    </w:rPr>
                    <w:t>Final Modification Report available for Panel</w:t>
                  </w:r>
                </w:p>
              </w:tc>
              <w:tc>
                <w:tcPr>
                  <w:tcW w:w="3260" w:type="dxa"/>
                  <w:shd w:val="clear" w:color="auto" w:fill="auto"/>
                  <w:vAlign w:val="center"/>
                </w:tcPr>
                <w:p w14:paraId="2FC632EE" w14:textId="114D432E" w:rsidR="006C2D54" w:rsidRPr="00D1570A" w:rsidRDefault="006C2D54" w:rsidP="006C2D54">
                  <w:pPr>
                    <w:spacing w:before="40" w:after="40"/>
                    <w:rPr>
                      <w:rFonts w:cs="Arial"/>
                      <w:szCs w:val="20"/>
                    </w:rPr>
                  </w:pPr>
                  <w:r>
                    <w:rPr>
                      <w:rFonts w:cs="Arial"/>
                      <w:szCs w:val="20"/>
                    </w:rPr>
                    <w:t>31 May 2018</w:t>
                  </w:r>
                </w:p>
              </w:tc>
            </w:tr>
            <w:tr w:rsidR="006C2D54" w:rsidRPr="00D1570A" w14:paraId="01B58CB6" w14:textId="77777777" w:rsidTr="00E662C7">
              <w:tc>
                <w:tcPr>
                  <w:tcW w:w="4673" w:type="dxa"/>
                  <w:shd w:val="clear" w:color="auto" w:fill="auto"/>
                </w:tcPr>
                <w:p w14:paraId="520B7AD3" w14:textId="77777777" w:rsidR="006C2D54" w:rsidRPr="00D1570A" w:rsidRDefault="006C2D54" w:rsidP="006C2D54">
                  <w:pPr>
                    <w:tabs>
                      <w:tab w:val="left" w:pos="171"/>
                    </w:tabs>
                    <w:spacing w:before="40" w:after="40"/>
                    <w:rPr>
                      <w:rFonts w:cs="Arial"/>
                      <w:szCs w:val="20"/>
                    </w:rPr>
                  </w:pPr>
                  <w:r w:rsidRPr="00D1570A">
                    <w:rPr>
                      <w:rFonts w:cs="Arial"/>
                      <w:szCs w:val="20"/>
                    </w:rPr>
                    <w:t>Modification Panel decision</w:t>
                  </w:r>
                </w:p>
              </w:tc>
              <w:tc>
                <w:tcPr>
                  <w:tcW w:w="3260" w:type="dxa"/>
                  <w:shd w:val="clear" w:color="auto" w:fill="auto"/>
                  <w:vAlign w:val="center"/>
                </w:tcPr>
                <w:p w14:paraId="1D73E219" w14:textId="5C16EDD6" w:rsidR="006C2D54" w:rsidRPr="00D1570A" w:rsidRDefault="006C2D54" w:rsidP="006C2D54">
                  <w:pPr>
                    <w:spacing w:before="40" w:after="40"/>
                    <w:rPr>
                      <w:rFonts w:cs="Arial"/>
                      <w:szCs w:val="20"/>
                    </w:rPr>
                  </w:pPr>
                  <w:r>
                    <w:rPr>
                      <w:rFonts w:cs="Arial"/>
                      <w:szCs w:val="20"/>
                    </w:rPr>
                    <w:t>21 June 2018</w:t>
                  </w:r>
                </w:p>
              </w:tc>
            </w:tr>
            <w:tr w:rsidR="00E662C7" w:rsidRPr="00D1570A" w14:paraId="48FE69CD" w14:textId="77777777" w:rsidTr="00E662C7">
              <w:trPr>
                <w:trHeight w:val="93"/>
              </w:trPr>
              <w:tc>
                <w:tcPr>
                  <w:tcW w:w="4673" w:type="dxa"/>
                  <w:shd w:val="clear" w:color="auto" w:fill="auto"/>
                </w:tcPr>
                <w:p w14:paraId="2CE3DB5D" w14:textId="77777777" w:rsidR="00E662C7" w:rsidRPr="00D1570A" w:rsidRDefault="00E662C7" w:rsidP="00F14EC4">
                  <w:pPr>
                    <w:tabs>
                      <w:tab w:val="left" w:pos="171"/>
                    </w:tabs>
                    <w:spacing w:before="40" w:after="40"/>
                    <w:rPr>
                      <w:rFonts w:cs="Arial"/>
                      <w:szCs w:val="20"/>
                    </w:rPr>
                  </w:pPr>
                </w:p>
              </w:tc>
              <w:tc>
                <w:tcPr>
                  <w:tcW w:w="3260" w:type="dxa"/>
                  <w:shd w:val="clear" w:color="auto" w:fill="auto"/>
                  <w:vAlign w:val="center"/>
                </w:tcPr>
                <w:p w14:paraId="3C634FEF" w14:textId="77777777" w:rsidR="00E662C7" w:rsidRPr="00D1570A" w:rsidRDefault="00E662C7" w:rsidP="00F14EC4">
                  <w:pPr>
                    <w:spacing w:before="40" w:after="40"/>
                    <w:rPr>
                      <w:rFonts w:cs="Arial"/>
                      <w:color w:val="FF0000"/>
                      <w:szCs w:val="20"/>
                    </w:rPr>
                  </w:pPr>
                </w:p>
              </w:tc>
            </w:tr>
          </w:tbl>
          <w:p w14:paraId="632DBF7A" w14:textId="77777777" w:rsidR="008F48D5" w:rsidRPr="00D1570A" w:rsidRDefault="008F48D5" w:rsidP="007E718E">
            <w:pPr>
              <w:pStyle w:val="BodyTextFirstIndent"/>
              <w:ind w:firstLine="0"/>
              <w:rPr>
                <w:rFonts w:cs="Arial"/>
              </w:rPr>
            </w:pPr>
          </w:p>
          <w:p w14:paraId="6D179BA3" w14:textId="77777777" w:rsidR="008F48D5" w:rsidRPr="00D1570A" w:rsidRDefault="008F48D5" w:rsidP="007E718E">
            <w:pPr>
              <w:pStyle w:val="BodyTextFirstIndent"/>
              <w:ind w:firstLine="0"/>
              <w:rPr>
                <w:rFonts w:cs="Arial"/>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3DBAA0C5" w14:textId="2EE5DDEB" w:rsidR="00F10E14" w:rsidRPr="00D1570A" w:rsidRDefault="006C2D54" w:rsidP="002D4AED">
            <w:pPr>
              <w:pStyle w:val="BodyText"/>
              <w:spacing w:before="60" w:after="60" w:line="240" w:lineRule="auto"/>
              <w:rPr>
                <w:rFonts w:cs="Arial"/>
                <w:szCs w:val="20"/>
              </w:rPr>
            </w:pPr>
            <w:r>
              <w:rPr>
                <w:rFonts w:cs="Arial"/>
                <w:noProof/>
                <w:szCs w:val="20"/>
              </w:rPr>
              <w:drawing>
                <wp:inline distT="0" distB="0" distL="0" distR="0" wp14:anchorId="58B15ED5" wp14:editId="7F63B363">
                  <wp:extent cx="288290" cy="288290"/>
                  <wp:effectExtent l="0" t="0" r="0" b="0"/>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F10E14" w:rsidRPr="00D1570A">
              <w:rPr>
                <w:rFonts w:cs="Arial"/>
                <w:b/>
                <w:color w:val="008576"/>
                <w:szCs w:val="20"/>
              </w:rPr>
              <w:t xml:space="preserve"> Any questions?</w:t>
            </w:r>
          </w:p>
        </w:tc>
      </w:tr>
      <w:tr w:rsidR="00F10E14" w:rsidRPr="00D1570A" w14:paraId="13303654"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61E999F8"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59C4BAA6" w14:textId="77777777" w:rsidR="00F10E14" w:rsidRPr="00D1570A" w:rsidRDefault="00F10E14" w:rsidP="002D4AED">
            <w:pPr>
              <w:spacing w:before="60" w:after="60" w:line="240" w:lineRule="auto"/>
              <w:rPr>
                <w:rFonts w:cs="Arial"/>
                <w:color w:val="008576"/>
                <w:szCs w:val="20"/>
              </w:rPr>
            </w:pPr>
            <w:r w:rsidRPr="00D1570A">
              <w:rPr>
                <w:rFonts w:cs="Arial"/>
                <w:color w:val="008576"/>
                <w:szCs w:val="20"/>
              </w:rPr>
              <w:t>Contact:</w:t>
            </w:r>
          </w:p>
          <w:p w14:paraId="6B39604C" w14:textId="77777777" w:rsidR="00F10E14" w:rsidRPr="00D1570A" w:rsidRDefault="002D4AED" w:rsidP="002D4AED">
            <w:pPr>
              <w:pStyle w:val="BodyText"/>
              <w:spacing w:before="60" w:after="60" w:line="240" w:lineRule="auto"/>
              <w:rPr>
                <w:rFonts w:cs="Arial"/>
                <w:color w:val="008576"/>
                <w:szCs w:val="20"/>
              </w:rPr>
            </w:pPr>
            <w:r w:rsidRPr="00D1570A">
              <w:rPr>
                <w:rFonts w:cs="Arial"/>
                <w:b/>
                <w:color w:val="008576"/>
                <w:szCs w:val="20"/>
              </w:rPr>
              <w:t>Joint Office of Gas Transporters</w:t>
            </w:r>
          </w:p>
        </w:tc>
      </w:tr>
      <w:tr w:rsidR="00F10E14" w:rsidRPr="00D1570A" w14:paraId="2C27140F"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3BA0EB97"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277AC6BD" w14:textId="72C47DFF" w:rsidR="00F10E14" w:rsidRPr="00D1570A" w:rsidRDefault="006C2D54" w:rsidP="002D4AED">
            <w:pPr>
              <w:pStyle w:val="BodyText"/>
              <w:spacing w:before="60" w:after="60" w:line="240" w:lineRule="auto"/>
              <w:rPr>
                <w:rFonts w:cs="Arial"/>
                <w:color w:val="008576"/>
                <w:szCs w:val="20"/>
              </w:rPr>
            </w:pPr>
            <w:r>
              <w:rPr>
                <w:rFonts w:cs="Arial"/>
                <w:b/>
                <w:noProof/>
                <w:color w:val="008576"/>
                <w:szCs w:val="20"/>
              </w:rPr>
              <w:drawing>
                <wp:inline distT="0" distB="0" distL="0" distR="0" wp14:anchorId="278FE886" wp14:editId="27012A67">
                  <wp:extent cx="288290" cy="288290"/>
                  <wp:effectExtent l="0" t="0" r="0" b="0"/>
                  <wp:docPr id="7" name="Picture 11"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email_us_go_onl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D4AED" w:rsidRPr="0065262A">
              <w:rPr>
                <w:rFonts w:cs="Arial"/>
                <w:b/>
                <w:color w:val="008576"/>
                <w:szCs w:val="20"/>
              </w:rPr>
              <w:t xml:space="preserve"> </w:t>
            </w:r>
            <w:hyperlink r:id="rId17" w:history="1">
              <w:r w:rsidR="002D4AED" w:rsidRPr="0065262A">
                <w:rPr>
                  <w:rStyle w:val="Hyperlink"/>
                  <w:rFonts w:cs="Arial"/>
                  <w:b/>
                  <w:szCs w:val="20"/>
                </w:rPr>
                <w:t>enquiries@gasgovernance.co.uk</w:t>
              </w:r>
            </w:hyperlink>
          </w:p>
        </w:tc>
      </w:tr>
      <w:tr w:rsidR="00F10E14" w:rsidRPr="00D1570A" w14:paraId="7B81CEBC"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72393D4B"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18F148C8" w14:textId="23BA0EB9" w:rsidR="00F10E14" w:rsidRPr="00D1570A" w:rsidRDefault="006C2D54" w:rsidP="002D4AED">
            <w:pPr>
              <w:pStyle w:val="BodyText"/>
              <w:spacing w:before="60" w:after="60" w:line="240" w:lineRule="auto"/>
              <w:rPr>
                <w:rFonts w:cs="Arial"/>
                <w:color w:val="008576"/>
                <w:szCs w:val="20"/>
              </w:rPr>
            </w:pPr>
            <w:r>
              <w:rPr>
                <w:rFonts w:cs="Arial"/>
                <w:b/>
                <w:noProof/>
                <w:color w:val="008576"/>
                <w:szCs w:val="20"/>
              </w:rPr>
              <w:drawing>
                <wp:inline distT="0" distB="0" distL="0" distR="0" wp14:anchorId="56D819AC" wp14:editId="1963C645">
                  <wp:extent cx="288290" cy="288290"/>
                  <wp:effectExtent l="0" t="0" r="0" b="0"/>
                  <wp:docPr id="8" name="Picture 12"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call_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D4AED" w:rsidRPr="00D1570A">
              <w:rPr>
                <w:rFonts w:cs="Arial"/>
                <w:b/>
                <w:color w:val="008576"/>
                <w:szCs w:val="20"/>
              </w:rPr>
              <w:t>0121 288 2107</w:t>
            </w:r>
          </w:p>
        </w:tc>
      </w:tr>
      <w:tr w:rsidR="00F10E14" w:rsidRPr="00D1570A" w14:paraId="763C6DAB"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3DE4F756"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13F16D98" w14:textId="77777777" w:rsidR="00F10E14" w:rsidRPr="008A0D4C" w:rsidRDefault="00F10E14" w:rsidP="002D4AED">
            <w:pPr>
              <w:spacing w:before="60" w:after="60" w:line="240" w:lineRule="auto"/>
              <w:rPr>
                <w:rFonts w:cs="Arial"/>
                <w:color w:val="FF0000"/>
                <w:szCs w:val="20"/>
              </w:rPr>
            </w:pPr>
            <w:r w:rsidRPr="008A0D4C">
              <w:rPr>
                <w:rFonts w:cs="Arial"/>
                <w:color w:val="FF0000"/>
                <w:szCs w:val="20"/>
              </w:rPr>
              <w:t>Proposer:</w:t>
            </w:r>
          </w:p>
          <w:p w14:paraId="30062168" w14:textId="6B252E8D" w:rsidR="00F10E14" w:rsidRPr="008A0D4C" w:rsidRDefault="00646A7B" w:rsidP="00646A7B">
            <w:pPr>
              <w:spacing w:before="60" w:after="60" w:line="240" w:lineRule="auto"/>
              <w:rPr>
                <w:rFonts w:cs="Arial"/>
                <w:b/>
                <w:color w:val="FF0000"/>
                <w:szCs w:val="20"/>
              </w:rPr>
            </w:pPr>
            <w:r w:rsidRPr="008A0D4C">
              <w:rPr>
                <w:rFonts w:cs="Arial"/>
                <w:b/>
                <w:color w:val="FF0000"/>
                <w:szCs w:val="20"/>
              </w:rPr>
              <w:t xml:space="preserve">0621: Colin Williams, 0621A, 0621B, 0621C, 0621D, 0621E, 0621F </w:t>
            </w:r>
          </w:p>
        </w:tc>
      </w:tr>
      <w:tr w:rsidR="00F10E14" w:rsidRPr="00D1570A" w14:paraId="0370F58C"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07481FA0"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74F2032E" w14:textId="0BECD331" w:rsidR="00F10E14" w:rsidRPr="008A0D4C" w:rsidRDefault="006C2D54" w:rsidP="00646A7B">
            <w:pPr>
              <w:pStyle w:val="BodyText"/>
              <w:spacing w:before="60" w:after="60" w:line="240" w:lineRule="auto"/>
              <w:rPr>
                <w:rFonts w:cs="Arial"/>
                <w:b/>
                <w:color w:val="FF0000"/>
                <w:szCs w:val="20"/>
              </w:rPr>
            </w:pPr>
            <w:r w:rsidRPr="008A0D4C">
              <w:rPr>
                <w:rFonts w:cs="Arial"/>
                <w:b/>
                <w:noProof/>
                <w:color w:val="FF0000"/>
                <w:szCs w:val="20"/>
              </w:rPr>
              <w:drawing>
                <wp:inline distT="0" distB="0" distL="0" distR="0" wp14:anchorId="3B5DAFC8" wp14:editId="73047459">
                  <wp:extent cx="288290" cy="288290"/>
                  <wp:effectExtent l="0" t="0" r="0" b="0"/>
                  <wp:docPr id="9" name="Picture 4"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email_us_go_onl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F10E14" w:rsidRPr="008A0D4C">
              <w:rPr>
                <w:rFonts w:cs="Arial"/>
                <w:b/>
                <w:color w:val="FF0000"/>
                <w:szCs w:val="20"/>
              </w:rPr>
              <w:t xml:space="preserve"> </w:t>
            </w:r>
            <w:r w:rsidR="00646A7B" w:rsidRPr="008A0D4C">
              <w:rPr>
                <w:rFonts w:cs="Arial"/>
                <w:b/>
                <w:color w:val="FF0000"/>
                <w:szCs w:val="20"/>
              </w:rPr>
              <w:t>0621: colin.williams@</w:t>
            </w:r>
            <w:r w:rsidR="00646A7B" w:rsidRPr="008A0D4C" w:rsidDel="004E6237">
              <w:rPr>
                <w:rFonts w:cs="Arial"/>
                <w:b/>
                <w:color w:val="FF0000"/>
                <w:szCs w:val="20"/>
              </w:rPr>
              <w:t xml:space="preserve"> </w:t>
            </w:r>
            <w:r w:rsidR="00646A7B" w:rsidRPr="008A0D4C">
              <w:rPr>
                <w:rFonts w:cs="Arial"/>
                <w:b/>
                <w:color w:val="FF0000"/>
                <w:szCs w:val="20"/>
              </w:rPr>
              <w:t xml:space="preserve">nationalgrid.com, 0621A, 0621B, 0621C, 0621D, 0621E, 0621F </w:t>
            </w:r>
          </w:p>
        </w:tc>
      </w:tr>
      <w:tr w:rsidR="00F10E14" w:rsidRPr="00D1570A" w14:paraId="0A4529B8"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1F88BCD3"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5BC0B0A2" w14:textId="40E4D7C3" w:rsidR="00F10E14" w:rsidRPr="008A0D4C" w:rsidRDefault="006C2D54" w:rsidP="00646A7B">
            <w:pPr>
              <w:pStyle w:val="BodyText"/>
              <w:spacing w:before="60" w:after="60" w:line="240" w:lineRule="auto"/>
              <w:rPr>
                <w:rFonts w:cs="Arial"/>
                <w:color w:val="FF0000"/>
                <w:szCs w:val="20"/>
              </w:rPr>
            </w:pPr>
            <w:r w:rsidRPr="008A0D4C">
              <w:rPr>
                <w:rFonts w:cs="Arial"/>
                <w:b/>
                <w:noProof/>
                <w:color w:val="FF0000"/>
                <w:szCs w:val="20"/>
              </w:rPr>
              <w:drawing>
                <wp:inline distT="0" distB="0" distL="0" distR="0" wp14:anchorId="142D4C66" wp14:editId="5D888DC9">
                  <wp:extent cx="288290" cy="288290"/>
                  <wp:effectExtent l="0" t="0" r="0" b="0"/>
                  <wp:docPr id="10" name="Picture 29"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call_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20A27" w:rsidRPr="008A0D4C">
              <w:rPr>
                <w:rFonts w:cs="Arial"/>
                <w:b/>
                <w:color w:val="FF0000"/>
                <w:szCs w:val="20"/>
              </w:rPr>
              <w:t xml:space="preserve"> </w:t>
            </w:r>
            <w:r w:rsidR="00646A7B" w:rsidRPr="008A0D4C">
              <w:rPr>
                <w:rFonts w:cs="Arial"/>
                <w:b/>
                <w:color w:val="FF0000"/>
                <w:szCs w:val="20"/>
              </w:rPr>
              <w:t xml:space="preserve">0621: 01926 655916 or 07785 451776, 0621A, 0621B, 0621C, 0621D, 0621E, 0621F </w:t>
            </w:r>
          </w:p>
        </w:tc>
      </w:tr>
      <w:tr w:rsidR="00F10E14" w:rsidRPr="00D1570A" w14:paraId="78E72371" w14:textId="77777777" w:rsidTr="002C4C65">
        <w:trPr>
          <w:trHeight w:val="615"/>
        </w:trPr>
        <w:tc>
          <w:tcPr>
            <w:tcW w:w="8017" w:type="dxa"/>
            <w:vMerge/>
            <w:tcBorders>
              <w:left w:val="single" w:sz="4" w:space="0" w:color="4A8958"/>
              <w:bottom w:val="single" w:sz="4" w:space="0" w:color="4A8958"/>
              <w:right w:val="single" w:sz="4" w:space="0" w:color="4A8958"/>
            </w:tcBorders>
            <w:shd w:val="clear" w:color="auto" w:fill="auto"/>
          </w:tcPr>
          <w:p w14:paraId="1A5E3CC8" w14:textId="77777777" w:rsidR="00F10E14" w:rsidRPr="00D1570A"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2C4E7C54" w14:textId="77777777" w:rsidR="00F10E14" w:rsidRPr="00D1570A" w:rsidRDefault="002D4AED" w:rsidP="002D4AED">
            <w:pPr>
              <w:spacing w:before="60" w:after="60" w:line="240" w:lineRule="auto"/>
              <w:rPr>
                <w:rFonts w:cs="Arial"/>
                <w:color w:val="008576"/>
                <w:szCs w:val="20"/>
              </w:rPr>
            </w:pPr>
            <w:r w:rsidRPr="00D1570A">
              <w:rPr>
                <w:rFonts w:cs="Arial"/>
                <w:color w:val="008576"/>
                <w:szCs w:val="20"/>
              </w:rPr>
              <w:t>Transporter</w:t>
            </w:r>
            <w:r w:rsidR="00F10E14" w:rsidRPr="00D1570A">
              <w:rPr>
                <w:rFonts w:cs="Arial"/>
                <w:color w:val="008576"/>
                <w:szCs w:val="20"/>
              </w:rPr>
              <w:t>:</w:t>
            </w:r>
          </w:p>
          <w:p w14:paraId="5A047AC8" w14:textId="524A7BF8" w:rsidR="00F10E14" w:rsidRPr="00D1570A" w:rsidRDefault="004E6237" w:rsidP="00FD29C5">
            <w:pPr>
              <w:pStyle w:val="BodyText"/>
              <w:spacing w:before="60" w:after="60" w:line="240" w:lineRule="auto"/>
              <w:rPr>
                <w:rFonts w:cs="Arial"/>
                <w:color w:val="008576"/>
                <w:szCs w:val="20"/>
              </w:rPr>
            </w:pPr>
            <w:r>
              <w:rPr>
                <w:rFonts w:cs="Arial"/>
                <w:b/>
                <w:color w:val="008576"/>
                <w:szCs w:val="20"/>
              </w:rPr>
              <w:t xml:space="preserve">National Grid </w:t>
            </w:r>
          </w:p>
        </w:tc>
      </w:tr>
      <w:tr w:rsidR="00F10E14" w:rsidRPr="00D1570A" w14:paraId="21B4C73E" w14:textId="77777777" w:rsidTr="002C4C65">
        <w:trPr>
          <w:trHeight w:val="492"/>
        </w:trPr>
        <w:tc>
          <w:tcPr>
            <w:tcW w:w="8017" w:type="dxa"/>
            <w:vMerge/>
            <w:tcBorders>
              <w:left w:val="single" w:sz="4" w:space="0" w:color="4A8958"/>
              <w:bottom w:val="single" w:sz="4" w:space="0" w:color="4A8958"/>
              <w:right w:val="single" w:sz="4" w:space="0" w:color="4A8958"/>
            </w:tcBorders>
            <w:shd w:val="clear" w:color="auto" w:fill="auto"/>
          </w:tcPr>
          <w:p w14:paraId="5647AF9E" w14:textId="77777777" w:rsidR="00F10E14" w:rsidRPr="00D1570A" w:rsidRDefault="00F10E14"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17292D1F" w14:textId="3F217D59" w:rsidR="00F10E14" w:rsidRPr="00D1570A" w:rsidRDefault="006C2D54" w:rsidP="004E6237">
            <w:pPr>
              <w:pStyle w:val="BodyText"/>
              <w:spacing w:before="60" w:after="60"/>
              <w:rPr>
                <w:rFonts w:cs="Arial"/>
                <w:b/>
                <w:color w:val="008576"/>
                <w:szCs w:val="20"/>
              </w:rPr>
            </w:pPr>
            <w:r>
              <w:rPr>
                <w:rFonts w:cs="Arial"/>
                <w:b/>
                <w:noProof/>
                <w:color w:val="008576"/>
                <w:szCs w:val="20"/>
              </w:rPr>
              <w:drawing>
                <wp:inline distT="0" distB="0" distL="0" distR="0" wp14:anchorId="28D89622" wp14:editId="56582A30">
                  <wp:extent cx="288290" cy="288290"/>
                  <wp:effectExtent l="0" t="0" r="0" b="0"/>
                  <wp:docPr id="11" name="Picture 11"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email_us_go_onl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F10E14" w:rsidRPr="00D1570A">
              <w:rPr>
                <w:rFonts w:cs="Arial"/>
                <w:b/>
                <w:color w:val="008576"/>
                <w:szCs w:val="20"/>
              </w:rPr>
              <w:t xml:space="preserve"> </w:t>
            </w:r>
            <w:r w:rsidR="0097576F" w:rsidRPr="00D1570A">
              <w:rPr>
                <w:rFonts w:cs="Arial"/>
                <w:b/>
                <w:color w:val="008576"/>
                <w:szCs w:val="20"/>
              </w:rPr>
              <w:t>colin.williams@nationalgrid.com</w:t>
            </w:r>
          </w:p>
        </w:tc>
      </w:tr>
      <w:tr w:rsidR="00F10E14" w:rsidRPr="00D1570A" w14:paraId="36E5467D" w14:textId="77777777" w:rsidTr="002C4C65">
        <w:trPr>
          <w:trHeight w:val="492"/>
        </w:trPr>
        <w:tc>
          <w:tcPr>
            <w:tcW w:w="8017" w:type="dxa"/>
            <w:vMerge/>
            <w:tcBorders>
              <w:left w:val="single" w:sz="4" w:space="0" w:color="4A8958"/>
              <w:bottom w:val="single" w:sz="4" w:space="0" w:color="4A8958"/>
              <w:right w:val="single" w:sz="4" w:space="0" w:color="4A8958"/>
            </w:tcBorders>
            <w:shd w:val="clear" w:color="auto" w:fill="auto"/>
          </w:tcPr>
          <w:p w14:paraId="2F4C6C38" w14:textId="77777777" w:rsidR="00F10E14" w:rsidRPr="00D1570A" w:rsidRDefault="00F10E14"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21E059E4" w14:textId="6106D489" w:rsidR="00F10E14" w:rsidRPr="0065262A" w:rsidRDefault="006C2D54" w:rsidP="004E6237">
            <w:pPr>
              <w:pStyle w:val="BodyText"/>
              <w:spacing w:before="60" w:after="60"/>
              <w:rPr>
                <w:rFonts w:cs="Arial"/>
                <w:b/>
                <w:noProof/>
                <w:color w:val="008576"/>
                <w:szCs w:val="20"/>
                <w:lang w:eastAsia="en-US"/>
              </w:rPr>
            </w:pPr>
            <w:r>
              <w:rPr>
                <w:rFonts w:cs="Arial"/>
                <w:b/>
                <w:noProof/>
                <w:color w:val="008576"/>
                <w:szCs w:val="20"/>
              </w:rPr>
              <w:drawing>
                <wp:inline distT="0" distB="0" distL="0" distR="0" wp14:anchorId="18046F38" wp14:editId="47962E08">
                  <wp:extent cx="288290" cy="288290"/>
                  <wp:effectExtent l="0" t="0" r="0" b="0"/>
                  <wp:docPr id="12" name="Picture 64"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Description: call_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220A27" w:rsidRPr="00D1570A">
              <w:rPr>
                <w:rFonts w:cs="Arial"/>
                <w:b/>
                <w:color w:val="008576"/>
                <w:szCs w:val="20"/>
              </w:rPr>
              <w:t xml:space="preserve"> </w:t>
            </w:r>
            <w:r w:rsidR="0097576F" w:rsidRPr="00D1570A">
              <w:rPr>
                <w:rFonts w:cs="Arial"/>
                <w:b/>
                <w:color w:val="008576"/>
                <w:szCs w:val="20"/>
              </w:rPr>
              <w:t>01926 655916 or 07785 451776</w:t>
            </w:r>
          </w:p>
        </w:tc>
      </w:tr>
      <w:tr w:rsidR="005B0B30" w:rsidRPr="00D1570A" w14:paraId="2AAEF1D8" w14:textId="77777777" w:rsidTr="002C4C65">
        <w:trPr>
          <w:trHeight w:val="493"/>
        </w:trPr>
        <w:tc>
          <w:tcPr>
            <w:tcW w:w="8017" w:type="dxa"/>
            <w:vMerge/>
            <w:tcBorders>
              <w:left w:val="single" w:sz="4" w:space="0" w:color="4A8958"/>
              <w:bottom w:val="single" w:sz="4" w:space="0" w:color="4A8958"/>
              <w:right w:val="single" w:sz="4" w:space="0" w:color="4A8958"/>
            </w:tcBorders>
            <w:shd w:val="clear" w:color="auto" w:fill="auto"/>
          </w:tcPr>
          <w:p w14:paraId="14CDE7E7" w14:textId="77777777" w:rsidR="005B0B30" w:rsidRPr="00D1570A" w:rsidRDefault="005B0B30"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3A464F20" w14:textId="77777777" w:rsidR="005B0B30" w:rsidRPr="00D1570A" w:rsidRDefault="002D4AED" w:rsidP="002D4AED">
            <w:pPr>
              <w:spacing w:before="60" w:after="60" w:line="240" w:lineRule="auto"/>
              <w:rPr>
                <w:rFonts w:cs="Arial"/>
                <w:color w:val="008576"/>
                <w:szCs w:val="20"/>
              </w:rPr>
            </w:pPr>
            <w:r w:rsidRPr="00D1570A">
              <w:rPr>
                <w:rFonts w:cs="Arial"/>
                <w:color w:val="008576"/>
                <w:szCs w:val="20"/>
              </w:rPr>
              <w:t>Systems Provider:</w:t>
            </w:r>
          </w:p>
          <w:p w14:paraId="36566008" w14:textId="77777777" w:rsidR="005B0B30" w:rsidRPr="00D1570A" w:rsidRDefault="002D4AED" w:rsidP="002D4AED">
            <w:pPr>
              <w:pStyle w:val="BodyText"/>
              <w:spacing w:before="60" w:after="60" w:line="240" w:lineRule="auto"/>
              <w:rPr>
                <w:rFonts w:cs="Arial"/>
                <w:color w:val="008576"/>
                <w:szCs w:val="20"/>
              </w:rPr>
            </w:pPr>
            <w:r w:rsidRPr="00D1570A">
              <w:rPr>
                <w:rFonts w:cs="Arial"/>
                <w:b/>
                <w:color w:val="008576"/>
                <w:szCs w:val="20"/>
              </w:rPr>
              <w:t>Xoserve</w:t>
            </w:r>
          </w:p>
        </w:tc>
      </w:tr>
      <w:tr w:rsidR="005B0B30" w:rsidRPr="00D1570A" w14:paraId="4A3F611E" w14:textId="77777777" w:rsidTr="002C4C65">
        <w:trPr>
          <w:trHeight w:val="492"/>
        </w:trPr>
        <w:tc>
          <w:tcPr>
            <w:tcW w:w="8017" w:type="dxa"/>
            <w:vMerge/>
            <w:tcBorders>
              <w:left w:val="single" w:sz="4" w:space="0" w:color="4A8958"/>
              <w:bottom w:val="single" w:sz="4" w:space="0" w:color="4A8958"/>
              <w:right w:val="single" w:sz="4" w:space="0" w:color="4A8958"/>
            </w:tcBorders>
            <w:shd w:val="clear" w:color="auto" w:fill="auto"/>
          </w:tcPr>
          <w:p w14:paraId="1480A444" w14:textId="77777777" w:rsidR="005B0B30" w:rsidRPr="00D1570A" w:rsidRDefault="005B0B30"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262A9268" w14:textId="10D88894" w:rsidR="005B0B30" w:rsidRPr="00D1570A" w:rsidRDefault="006C2D54" w:rsidP="002D4AED">
            <w:pPr>
              <w:pStyle w:val="BodyText"/>
              <w:spacing w:before="60" w:after="60"/>
              <w:rPr>
                <w:rFonts w:cs="Arial"/>
                <w:b/>
                <w:color w:val="008576"/>
                <w:szCs w:val="20"/>
              </w:rPr>
            </w:pPr>
            <w:r>
              <w:rPr>
                <w:rFonts w:cs="Arial"/>
                <w:b/>
                <w:noProof/>
                <w:color w:val="008576"/>
                <w:szCs w:val="20"/>
              </w:rPr>
              <w:drawing>
                <wp:inline distT="0" distB="0" distL="0" distR="0" wp14:anchorId="7D2B7B27" wp14:editId="406C2BC9">
                  <wp:extent cx="288290" cy="288290"/>
                  <wp:effectExtent l="0" t="0" r="0" b="0"/>
                  <wp:docPr id="13" name="Picture 13"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email_us_go_onl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5B0B30" w:rsidRPr="00D1570A">
              <w:rPr>
                <w:rFonts w:cs="Arial"/>
                <w:b/>
                <w:color w:val="008576"/>
                <w:szCs w:val="20"/>
              </w:rPr>
              <w:t xml:space="preserve"> </w:t>
            </w:r>
            <w:hyperlink r:id="rId19" w:history="1">
              <w:r w:rsidR="002D4AED" w:rsidRPr="0065262A">
                <w:rPr>
                  <w:rStyle w:val="Hyperlink"/>
                  <w:rFonts w:eastAsia="Cambria" w:cs="Arial"/>
                  <w:b/>
                  <w:szCs w:val="20"/>
                  <w:u w:color="083AA5"/>
                  <w:lang w:eastAsia="en-US"/>
                </w:rPr>
                <w:t>commercial.enquiries@xoserve.com</w:t>
              </w:r>
            </w:hyperlink>
          </w:p>
        </w:tc>
      </w:tr>
      <w:tr w:rsidR="002D4AED" w:rsidRPr="00D1570A" w14:paraId="5C01618D" w14:textId="77777777" w:rsidTr="002C4C65">
        <w:trPr>
          <w:trHeight w:val="540"/>
        </w:trPr>
        <w:tc>
          <w:tcPr>
            <w:tcW w:w="8017" w:type="dxa"/>
            <w:vMerge/>
            <w:tcBorders>
              <w:left w:val="single" w:sz="4" w:space="0" w:color="4A8958"/>
              <w:bottom w:val="single" w:sz="4" w:space="0" w:color="4A8958"/>
              <w:right w:val="single" w:sz="4" w:space="0" w:color="4A8958"/>
            </w:tcBorders>
            <w:shd w:val="clear" w:color="auto" w:fill="auto"/>
          </w:tcPr>
          <w:p w14:paraId="7C7DA4B8" w14:textId="77777777" w:rsidR="002D4AED" w:rsidRPr="00D1570A" w:rsidRDefault="002D4AED" w:rsidP="004A3386">
            <w:pPr>
              <w:pStyle w:val="BodyText"/>
              <w:spacing w:line="240" w:lineRule="auto"/>
              <w:rPr>
                <w:rFonts w:cs="Arial"/>
                <w:szCs w:val="20"/>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7B252B77" w14:textId="77777777" w:rsidR="002D4AED" w:rsidRPr="0065262A" w:rsidRDefault="002D4AED" w:rsidP="005649CA">
            <w:pPr>
              <w:pStyle w:val="BodyText"/>
              <w:spacing w:before="60" w:after="60"/>
              <w:rPr>
                <w:rFonts w:cs="Arial"/>
                <w:b/>
                <w:noProof/>
                <w:color w:val="008576"/>
                <w:szCs w:val="20"/>
                <w:lang w:eastAsia="en-US"/>
              </w:rPr>
            </w:pPr>
          </w:p>
        </w:tc>
      </w:tr>
    </w:tbl>
    <w:p w14:paraId="3C0838A9" w14:textId="77777777" w:rsidR="00294586" w:rsidRDefault="00294586" w:rsidP="00294586">
      <w:bookmarkStart w:id="2" w:name="_Toc188527263"/>
    </w:p>
    <w:p w14:paraId="22728E74" w14:textId="77777777" w:rsidR="00294586" w:rsidRDefault="00294586" w:rsidP="00294586"/>
    <w:p w14:paraId="1FCFB090" w14:textId="77777777" w:rsidR="00294586" w:rsidRDefault="00294586" w:rsidP="00294586"/>
    <w:p w14:paraId="7DB55588" w14:textId="77777777" w:rsidR="00294586" w:rsidRDefault="00294586" w:rsidP="00294586"/>
    <w:p w14:paraId="309F3EB7" w14:textId="77777777" w:rsidR="00143041" w:rsidRPr="00D1570A" w:rsidRDefault="004C6117" w:rsidP="000F4631">
      <w:pPr>
        <w:pStyle w:val="Heading02"/>
      </w:pPr>
      <w:bookmarkStart w:id="3" w:name="_Toc504395608"/>
      <w:r w:rsidRPr="00D1570A">
        <w:t>Summary</w:t>
      </w:r>
      <w:bookmarkEnd w:id="2"/>
      <w:bookmarkEnd w:id="3"/>
    </w:p>
    <w:p w14:paraId="6835B324" w14:textId="77777777" w:rsidR="004C6117" w:rsidRPr="00D1570A" w:rsidRDefault="004C6117" w:rsidP="00CB5849">
      <w:pPr>
        <w:pStyle w:val="Heading4"/>
        <w:keepLines w:val="0"/>
        <w:numPr>
          <w:ilvl w:val="0"/>
          <w:numId w:val="0"/>
        </w:numPr>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What</w:t>
      </w:r>
    </w:p>
    <w:p w14:paraId="6F2662E9" w14:textId="03284B1A" w:rsidR="00294586" w:rsidRPr="0065262A" w:rsidRDefault="00294586" w:rsidP="00972825">
      <w:pPr>
        <w:autoSpaceDE w:val="0"/>
        <w:autoSpaceDN w:val="0"/>
        <w:adjustRightInd w:val="0"/>
        <w:rPr>
          <w:rFonts w:eastAsia="Cambria" w:cs="Arial"/>
          <w:szCs w:val="20"/>
        </w:rPr>
      </w:pPr>
      <w:r w:rsidRPr="0065262A">
        <w:rPr>
          <w:rFonts w:eastAsia="Cambria" w:cs="Arial"/>
          <w:szCs w:val="20"/>
        </w:rPr>
        <w:t>This modification proposes to introduce a new Gas Transmission Charging regime that produces stable and predictable transportation charging and is compliant with the forthcoming EU Tariff Code</w:t>
      </w:r>
      <w:r w:rsidR="004D6F2C">
        <w:rPr>
          <w:rFonts w:eastAsia="Cambria" w:cs="Arial"/>
          <w:szCs w:val="20"/>
        </w:rPr>
        <w:t xml:space="preserve"> (Regulation 2017/460)</w:t>
      </w:r>
      <w:r w:rsidR="004D6F2C" w:rsidRPr="0065262A">
        <w:rPr>
          <w:rFonts w:eastAsia="Cambria" w:cs="Arial"/>
          <w:szCs w:val="20"/>
        </w:rPr>
        <w:t>.</w:t>
      </w:r>
    </w:p>
    <w:p w14:paraId="2EAD87FF" w14:textId="77777777" w:rsidR="004C6117" w:rsidRPr="00D1570A" w:rsidRDefault="004C6117" w:rsidP="004C6117">
      <w:pPr>
        <w:pStyle w:val="Heading4"/>
        <w:keepLines w:val="0"/>
        <w:numPr>
          <w:ilvl w:val="0"/>
          <w:numId w:val="0"/>
        </w:numPr>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Why</w:t>
      </w:r>
    </w:p>
    <w:p w14:paraId="52470525" w14:textId="3BD5CC28" w:rsidR="00896F06" w:rsidRPr="0065262A" w:rsidRDefault="00294586" w:rsidP="00222EB3">
      <w:pPr>
        <w:autoSpaceDE w:val="0"/>
        <w:autoSpaceDN w:val="0"/>
        <w:adjustRightInd w:val="0"/>
        <w:rPr>
          <w:rFonts w:cs="Arial"/>
        </w:rPr>
      </w:pPr>
      <w:r w:rsidRPr="0065262A">
        <w:rPr>
          <w:rFonts w:eastAsia="Cambria" w:cs="Arial"/>
          <w:szCs w:val="20"/>
        </w:rPr>
        <w:t xml:space="preserve">The Transportation Charging Methodology currently in place for the calculation of Gas Transmission charges, and the methodology to recover </w:t>
      </w:r>
      <w:r w:rsidR="004D6F2C" w:rsidRPr="0065262A">
        <w:rPr>
          <w:rFonts w:eastAsia="Cambria" w:cs="Arial"/>
          <w:szCs w:val="20"/>
        </w:rPr>
        <w:t>T</w:t>
      </w:r>
      <w:r w:rsidR="004D6F2C">
        <w:rPr>
          <w:rFonts w:eastAsia="Cambria" w:cs="Arial"/>
          <w:szCs w:val="20"/>
        </w:rPr>
        <w:t xml:space="preserve">ransmission </w:t>
      </w:r>
      <w:r w:rsidR="004D6F2C" w:rsidRPr="0065262A">
        <w:rPr>
          <w:rFonts w:eastAsia="Cambria" w:cs="Arial"/>
          <w:szCs w:val="20"/>
        </w:rPr>
        <w:t>O</w:t>
      </w:r>
      <w:r w:rsidR="004D6F2C">
        <w:rPr>
          <w:rFonts w:eastAsia="Cambria" w:cs="Arial"/>
          <w:szCs w:val="20"/>
        </w:rPr>
        <w:t>wner (TO)</w:t>
      </w:r>
      <w:r w:rsidR="004D6F2C" w:rsidRPr="0065262A">
        <w:rPr>
          <w:rFonts w:eastAsia="Cambria" w:cs="Arial"/>
          <w:szCs w:val="20"/>
        </w:rPr>
        <w:t xml:space="preserve"> and </w:t>
      </w:r>
      <w:r w:rsidR="004D6F2C">
        <w:rPr>
          <w:rFonts w:eastAsia="Cambria" w:cs="Arial"/>
          <w:szCs w:val="20"/>
        </w:rPr>
        <w:t>System Operator (</w:t>
      </w:r>
      <w:r w:rsidR="004D6F2C" w:rsidRPr="0065262A">
        <w:rPr>
          <w:rFonts w:eastAsia="Cambria" w:cs="Arial"/>
          <w:szCs w:val="20"/>
        </w:rPr>
        <w:t>SO</w:t>
      </w:r>
      <w:r w:rsidR="004D6F2C">
        <w:rPr>
          <w:rFonts w:eastAsia="Cambria" w:cs="Arial"/>
          <w:szCs w:val="20"/>
        </w:rPr>
        <w:t>)</w:t>
      </w:r>
      <w:r w:rsidR="004D6F2C" w:rsidRPr="0065262A">
        <w:rPr>
          <w:rFonts w:eastAsia="Cambria" w:cs="Arial"/>
          <w:szCs w:val="20"/>
        </w:rPr>
        <w:t xml:space="preserve"> </w:t>
      </w:r>
      <w:r w:rsidRPr="0065262A">
        <w:rPr>
          <w:rFonts w:eastAsia="Cambria" w:cs="Arial"/>
          <w:szCs w:val="20"/>
        </w:rPr>
        <w:t>revenue through Entry and Exit charges</w:t>
      </w:r>
      <w:r w:rsidR="00FC140A">
        <w:rPr>
          <w:rFonts w:eastAsia="Cambria" w:cs="Arial"/>
          <w:szCs w:val="20"/>
        </w:rPr>
        <w:t>,</w:t>
      </w:r>
      <w:r w:rsidRPr="0065262A">
        <w:rPr>
          <w:rFonts w:eastAsia="Cambria" w:cs="Arial"/>
          <w:szCs w:val="20"/>
        </w:rPr>
        <w:t xml:space="preserve"> have been in place for a number of years. </w:t>
      </w:r>
      <w:r w:rsidRPr="0065262A">
        <w:rPr>
          <w:rFonts w:cs="Arial"/>
        </w:rPr>
        <w:t xml:space="preserve">Whilst there have been some changes in the last ten years, the basic approach to calculating Entry and Exit Capacity charges and the approach to revenue recovery has not substantially changed. </w:t>
      </w:r>
    </w:p>
    <w:p w14:paraId="099D4F89" w14:textId="77777777" w:rsidR="0065262A" w:rsidRPr="0065262A" w:rsidRDefault="00222EB3" w:rsidP="004C6117">
      <w:pPr>
        <w:pStyle w:val="Heading4"/>
        <w:keepLines w:val="0"/>
        <w:numPr>
          <w:ilvl w:val="0"/>
          <w:numId w:val="0"/>
        </w:numPr>
        <w:spacing w:before="240"/>
        <w:rPr>
          <w:rFonts w:ascii="Arial" w:hAnsi="Arial" w:cs="Arial"/>
          <w:b w:val="0"/>
          <w:i w:val="0"/>
          <w:color w:val="auto"/>
        </w:rPr>
      </w:pPr>
      <w:r w:rsidRPr="0065262A">
        <w:rPr>
          <w:rFonts w:ascii="Arial" w:hAnsi="Arial" w:cs="Arial"/>
          <w:b w:val="0"/>
          <w:i w:val="0"/>
          <w:color w:val="auto"/>
        </w:rPr>
        <w:t xml:space="preserve">A critique of the current Long Run Marginal Cost (LRMC) methodology </w:t>
      </w:r>
      <w:r w:rsidR="00972825" w:rsidRPr="0065262A">
        <w:rPr>
          <w:rFonts w:ascii="Arial" w:hAnsi="Arial" w:cs="Arial"/>
          <w:b w:val="0"/>
          <w:i w:val="0"/>
          <w:color w:val="auto"/>
        </w:rPr>
        <w:t>has</w:t>
      </w:r>
      <w:r w:rsidRPr="0065262A">
        <w:rPr>
          <w:rFonts w:ascii="Arial" w:hAnsi="Arial" w:cs="Arial"/>
          <w:b w:val="0"/>
          <w:i w:val="0"/>
          <w:color w:val="auto"/>
        </w:rPr>
        <w:t xml:space="preserve"> identified that it is too volatile, unpredictable and does not provide stability of</w:t>
      </w:r>
      <w:r w:rsidR="00896F06" w:rsidRPr="0065262A">
        <w:rPr>
          <w:rFonts w:ascii="Arial" w:hAnsi="Arial" w:cs="Arial"/>
          <w:b w:val="0"/>
          <w:i w:val="0"/>
          <w:color w:val="auto"/>
        </w:rPr>
        <w:t xml:space="preserve"> charges for U</w:t>
      </w:r>
      <w:r w:rsidRPr="0065262A">
        <w:rPr>
          <w:rFonts w:ascii="Arial" w:hAnsi="Arial" w:cs="Arial"/>
          <w:b w:val="0"/>
          <w:i w:val="0"/>
          <w:color w:val="auto"/>
        </w:rPr>
        <w:t xml:space="preserve">sers. </w:t>
      </w:r>
    </w:p>
    <w:p w14:paraId="7300EE3E" w14:textId="77777777" w:rsidR="004C6117" w:rsidRPr="00D1570A" w:rsidRDefault="004C6117" w:rsidP="004C6117">
      <w:pPr>
        <w:pStyle w:val="Heading4"/>
        <w:keepLines w:val="0"/>
        <w:numPr>
          <w:ilvl w:val="0"/>
          <w:numId w:val="0"/>
        </w:numPr>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How</w:t>
      </w:r>
    </w:p>
    <w:p w14:paraId="55F41A3C" w14:textId="7B1F696C" w:rsidR="004D6F2C" w:rsidRDefault="004D6F2C" w:rsidP="00323409">
      <w:r>
        <w:t>This modification proposes to introduce changes to the charging framework by way of making changes to UNC TPD Section Y. It may be necessary to update other sections of the UNC TPD (e.g. TPD Section B, EID Section B) and these will be accommodated as necessary.</w:t>
      </w:r>
    </w:p>
    <w:p w14:paraId="05C0B890" w14:textId="77777777" w:rsidR="00323409" w:rsidRPr="0065262A" w:rsidRDefault="00323409" w:rsidP="00323409">
      <w:r w:rsidRPr="0065262A">
        <w:t xml:space="preserve">This modification proposes to move from a </w:t>
      </w:r>
      <w:r w:rsidR="00972825">
        <w:t>Reference Price Methodology (</w:t>
      </w:r>
      <w:r w:rsidRPr="0065262A">
        <w:t>RPM</w:t>
      </w:r>
      <w:r w:rsidR="00972825">
        <w:t>)</w:t>
      </w:r>
      <w:r w:rsidRPr="0065262A">
        <w:t xml:space="preserve"> that calculates the capacity prices using the LRMC method to one that is based on a Capacity Weighted Distance (CWD) approach. It also proposes to review other aspects of the charging framework to consider if change is necessary to better meet the required objectives. </w:t>
      </w:r>
    </w:p>
    <w:p w14:paraId="4D751F7D" w14:textId="13186341" w:rsidR="002127A1" w:rsidRPr="00D1570A" w:rsidRDefault="00972825" w:rsidP="002127A1">
      <w:r>
        <w:t xml:space="preserve">It </w:t>
      </w:r>
      <w:r w:rsidR="001F36CE" w:rsidRPr="00D1570A">
        <w:t>introduces some terminology from the EU Tariff Code, specifically Transmission Services Revenue and Non</w:t>
      </w:r>
      <w:r w:rsidR="009D6F06" w:rsidRPr="00D1570A">
        <w:t>-</w:t>
      </w:r>
      <w:r w:rsidR="001F36CE" w:rsidRPr="00D1570A">
        <w:t xml:space="preserve">Transmission Services Revenue. </w:t>
      </w:r>
      <w:r w:rsidR="004D6F2C" w:rsidRPr="00D1570A">
        <w:t>The</w:t>
      </w:r>
      <w:r w:rsidR="004D6F2C">
        <w:t xml:space="preserve"> revenues </w:t>
      </w:r>
      <w:r w:rsidR="004D6F2C" w:rsidRPr="00D1570A">
        <w:t>will map across to</w:t>
      </w:r>
      <w:r w:rsidR="001F36CE" w:rsidRPr="00D1570A">
        <w:t xml:space="preserve"> TO and SO revenues thereby not changing the total revenue to be collected through</w:t>
      </w:r>
      <w:r w:rsidR="004D6F2C">
        <w:t xml:space="preserve"> Transportation</w:t>
      </w:r>
      <w:r w:rsidR="001F36CE" w:rsidRPr="00D1570A">
        <w:t xml:space="preserve"> charges. </w:t>
      </w:r>
      <w:r w:rsidR="004D6F2C">
        <w:t>T</w:t>
      </w:r>
      <w:r w:rsidR="004D6F2C" w:rsidRPr="00D1570A">
        <w:t>he more material change will be</w:t>
      </w:r>
      <w:r w:rsidR="004D6F2C">
        <w:t xml:space="preserve"> the</w:t>
      </w:r>
      <w:r w:rsidR="004D6F2C" w:rsidRPr="00D1570A">
        <w:t xml:space="preserve"> amendments to the charging methodologies </w:t>
      </w:r>
      <w:r w:rsidR="004D6F2C">
        <w:t xml:space="preserve">in calculating the charges </w:t>
      </w:r>
      <w:r w:rsidR="004D6F2C" w:rsidRPr="00D1570A">
        <w:t xml:space="preserve">that will </w:t>
      </w:r>
      <w:r w:rsidR="004D6F2C">
        <w:t xml:space="preserve">be applied to </w:t>
      </w:r>
      <w:r w:rsidR="004D6F2C" w:rsidRPr="00D1570A">
        <w:t xml:space="preserve">recover the allowed revenues from NTS network Users through the </w:t>
      </w:r>
      <w:r w:rsidR="004D6F2C">
        <w:t xml:space="preserve">Transportation </w:t>
      </w:r>
      <w:r w:rsidR="004D6F2C" w:rsidRPr="00D1570A">
        <w:t>charges.</w:t>
      </w:r>
    </w:p>
    <w:p w14:paraId="2145DA93" w14:textId="3425F751" w:rsidR="00895A7E" w:rsidRPr="00D1570A" w:rsidRDefault="004D6F2C" w:rsidP="00895A7E">
      <w:pPr>
        <w:rPr>
          <w:rFonts w:eastAsia="Cambria" w:cs="Arial"/>
          <w:szCs w:val="20"/>
        </w:rPr>
      </w:pPr>
      <w:r>
        <w:rPr>
          <w:rFonts w:eastAsia="Cambria" w:cs="Arial"/>
          <w:szCs w:val="20"/>
        </w:rPr>
        <w:t xml:space="preserve">This proposal also introduces, for some aspects of this methodology change, some transitional arrangements and mechanisms to review and refine components of the charging framework over time so </w:t>
      </w:r>
      <w:r>
        <w:rPr>
          <w:rFonts w:eastAsia="Cambria" w:cs="Arial"/>
          <w:szCs w:val="20"/>
        </w:rPr>
        <w:lastRenderedPageBreak/>
        <w:t>they continue to better facilitate the relevant methodology objectives</w:t>
      </w:r>
      <w:r>
        <w:rPr>
          <w:rStyle w:val="FootnoteReference"/>
          <w:rFonts w:eastAsia="Cambria" w:cs="Arial"/>
          <w:szCs w:val="20"/>
        </w:rPr>
        <w:footnoteReference w:id="1"/>
      </w:r>
      <w:r>
        <w:rPr>
          <w:rFonts w:eastAsia="Cambria" w:cs="Arial"/>
          <w:szCs w:val="20"/>
        </w:rPr>
        <w:t xml:space="preserve"> and support the </w:t>
      </w:r>
      <w:r w:rsidRPr="0005464C">
        <w:rPr>
          <w:rFonts w:eastAsia="Cambria" w:cs="Arial"/>
          <w:szCs w:val="20"/>
        </w:rPr>
        <w:t>evolution of the GB charging regime</w:t>
      </w:r>
      <w:r>
        <w:rPr>
          <w:rFonts w:eastAsia="Cambria" w:cs="Arial"/>
          <w:szCs w:val="20"/>
        </w:rPr>
        <w:t xml:space="preserve">. </w:t>
      </w:r>
    </w:p>
    <w:p w14:paraId="0FDEFCEA" w14:textId="77777777" w:rsidR="00E6212D" w:rsidRPr="00D1570A" w:rsidRDefault="00E6212D" w:rsidP="000F4631">
      <w:pPr>
        <w:pStyle w:val="Heading02"/>
      </w:pPr>
      <w:bookmarkStart w:id="4" w:name="_Toc504395609"/>
      <w:r w:rsidRPr="00D1570A">
        <w:t>Governance</w:t>
      </w:r>
      <w:bookmarkEnd w:id="4"/>
    </w:p>
    <w:p w14:paraId="789969BB" w14:textId="77777777" w:rsidR="00B37860" w:rsidRPr="00D1570A" w:rsidRDefault="00B37860" w:rsidP="003C2E56">
      <w:pPr>
        <w:pStyle w:val="Heading4"/>
        <w:keepLines w:val="0"/>
        <w:numPr>
          <w:ilvl w:val="0"/>
          <w:numId w:val="0"/>
        </w:numPr>
        <w:spacing w:before="240"/>
        <w:ind w:left="90" w:hanging="9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 xml:space="preserve">Justification for </w:t>
      </w:r>
      <w:r w:rsidR="00A57775" w:rsidRPr="00D1570A">
        <w:rPr>
          <w:rFonts w:ascii="Arial" w:eastAsia="Times New Roman" w:hAnsi="Arial" w:cs="Arial"/>
          <w:i w:val="0"/>
          <w:iCs w:val="0"/>
          <w:color w:val="008576"/>
          <w:sz w:val="24"/>
          <w:szCs w:val="28"/>
        </w:rPr>
        <w:t>Authority Direction</w:t>
      </w:r>
    </w:p>
    <w:p w14:paraId="307A2B23" w14:textId="0F87A12C" w:rsidR="00A57775" w:rsidRPr="008A0D4C" w:rsidRDefault="00350533" w:rsidP="004B1072">
      <w:pPr>
        <w:autoSpaceDE w:val="0"/>
        <w:autoSpaceDN w:val="0"/>
        <w:adjustRightInd w:val="0"/>
        <w:spacing w:before="0" w:after="0"/>
        <w:rPr>
          <w:rFonts w:eastAsia="Cambria" w:cs="Arial"/>
          <w:color w:val="FF0000"/>
          <w:szCs w:val="20"/>
        </w:rPr>
      </w:pPr>
      <w:r w:rsidRPr="008A0D4C">
        <w:rPr>
          <w:rFonts w:eastAsia="Cambria" w:cs="Arial"/>
          <w:color w:val="FF0000"/>
          <w:szCs w:val="20"/>
        </w:rPr>
        <w:t>Modification Proposals 0621, 0621A, 0621B, 0621C, 0621D, 0621E, 0621F</w:t>
      </w:r>
      <w:r w:rsidR="008A0D4C" w:rsidRPr="008A0D4C">
        <w:rPr>
          <w:rFonts w:eastAsia="Cambria" w:cs="Arial"/>
          <w:color w:val="FF0000"/>
          <w:szCs w:val="20"/>
        </w:rPr>
        <w:t xml:space="preserve"> are all Authority Direction as Panel has determined they are </w:t>
      </w:r>
      <w:r w:rsidR="00A57775" w:rsidRPr="008A0D4C">
        <w:rPr>
          <w:rFonts w:eastAsia="Cambria" w:cs="Arial"/>
          <w:color w:val="FF0000"/>
          <w:szCs w:val="20"/>
        </w:rPr>
        <w:t xml:space="preserve">likely to have a material effect on </w:t>
      </w:r>
      <w:r w:rsidR="00C15449" w:rsidRPr="008A0D4C">
        <w:rPr>
          <w:rFonts w:eastAsia="Cambria" w:cs="Arial"/>
          <w:color w:val="FF0000"/>
          <w:szCs w:val="20"/>
        </w:rPr>
        <w:t>commercial activities relating to the</w:t>
      </w:r>
      <w:r w:rsidR="005858EB" w:rsidRPr="008A0D4C">
        <w:rPr>
          <w:rFonts w:eastAsia="Cambria" w:cs="Arial"/>
          <w:color w:val="FF0000"/>
          <w:szCs w:val="20"/>
        </w:rPr>
        <w:t xml:space="preserve"> shipping, transportation and supply of gas</w:t>
      </w:r>
      <w:r w:rsidR="008A0D4C" w:rsidRPr="008A0D4C">
        <w:rPr>
          <w:rFonts w:eastAsia="Cambria" w:cs="Arial"/>
          <w:color w:val="FF0000"/>
          <w:szCs w:val="20"/>
        </w:rPr>
        <w:t>. This is</w:t>
      </w:r>
      <w:r w:rsidR="00A325C8" w:rsidRPr="008A0D4C">
        <w:rPr>
          <w:rFonts w:eastAsia="Cambria" w:cs="Arial"/>
          <w:color w:val="FF0000"/>
          <w:szCs w:val="20"/>
        </w:rPr>
        <w:t xml:space="preserve"> because</w:t>
      </w:r>
      <w:r w:rsidR="00972825" w:rsidRPr="008A0D4C">
        <w:rPr>
          <w:rFonts w:eastAsia="Cambria" w:cs="Arial"/>
          <w:color w:val="FF0000"/>
          <w:szCs w:val="20"/>
        </w:rPr>
        <w:t>,</w:t>
      </w:r>
      <w:r w:rsidR="00A325C8" w:rsidRPr="008A0D4C">
        <w:rPr>
          <w:rFonts w:eastAsia="Cambria" w:cs="Arial"/>
          <w:color w:val="FF0000"/>
          <w:szCs w:val="20"/>
        </w:rPr>
        <w:t xml:space="preserve"> if implemented, </w:t>
      </w:r>
      <w:r w:rsidR="008A0D4C" w:rsidRPr="008A0D4C">
        <w:rPr>
          <w:rFonts w:eastAsia="Cambria" w:cs="Arial"/>
          <w:color w:val="FF0000"/>
          <w:szCs w:val="20"/>
        </w:rPr>
        <w:t>they are</w:t>
      </w:r>
      <w:r w:rsidR="00A325C8" w:rsidRPr="008A0D4C">
        <w:rPr>
          <w:rFonts w:eastAsia="Cambria" w:cs="Arial"/>
          <w:color w:val="FF0000"/>
          <w:szCs w:val="20"/>
        </w:rPr>
        <w:t xml:space="preserve"> likely to have a material impact on the allocation of charges across NTS networks Users.</w:t>
      </w:r>
    </w:p>
    <w:p w14:paraId="59D5AF76" w14:textId="77777777" w:rsidR="00B37860" w:rsidRPr="00D1570A" w:rsidRDefault="00B37860" w:rsidP="00B37860">
      <w:pPr>
        <w:pStyle w:val="Heading4"/>
        <w:keepLines w:val="0"/>
        <w:numPr>
          <w:ilvl w:val="0"/>
          <w:numId w:val="0"/>
        </w:numPr>
        <w:spacing w:before="240"/>
        <w:rPr>
          <w:rFonts w:ascii="Arial" w:eastAsia="Times New Roman" w:hAnsi="Arial" w:cs="Arial"/>
          <w:b w:val="0"/>
          <w:iCs w:val="0"/>
          <w:color w:val="FF0000"/>
          <w:szCs w:val="20"/>
        </w:rPr>
      </w:pPr>
      <w:r w:rsidRPr="00D1570A">
        <w:rPr>
          <w:rFonts w:ascii="Arial" w:eastAsia="Times New Roman" w:hAnsi="Arial" w:cs="Arial"/>
          <w:i w:val="0"/>
          <w:iCs w:val="0"/>
          <w:color w:val="008576"/>
          <w:sz w:val="24"/>
        </w:rPr>
        <w:t>Requested Next Steps</w:t>
      </w:r>
    </w:p>
    <w:p w14:paraId="75B92239" w14:textId="77777777" w:rsidR="005054CF" w:rsidRPr="008A0D4C" w:rsidRDefault="005054CF" w:rsidP="005054CF">
      <w:pPr>
        <w:pStyle w:val="BodyText3"/>
        <w:ind w:right="113"/>
        <w:rPr>
          <w:rFonts w:cs="Arial"/>
          <w:sz w:val="20"/>
          <w:szCs w:val="20"/>
          <w:highlight w:val="yellow"/>
        </w:rPr>
      </w:pPr>
      <w:r w:rsidRPr="008A0D4C">
        <w:rPr>
          <w:sz w:val="20"/>
          <w:szCs w:val="20"/>
          <w:highlight w:val="yellow"/>
        </w:rPr>
        <w:t>This modification should:</w:t>
      </w:r>
      <w:r w:rsidRPr="008A0D4C">
        <w:rPr>
          <w:rFonts w:cs="Arial"/>
          <w:sz w:val="20"/>
          <w:szCs w:val="20"/>
          <w:highlight w:val="yellow"/>
        </w:rPr>
        <w:t xml:space="preserve"> </w:t>
      </w:r>
    </w:p>
    <w:p w14:paraId="5A62D52C" w14:textId="77777777" w:rsidR="005054CF" w:rsidRPr="008A0D4C" w:rsidRDefault="005054CF" w:rsidP="005054CF">
      <w:pPr>
        <w:pStyle w:val="BodyText3"/>
        <w:numPr>
          <w:ilvl w:val="0"/>
          <w:numId w:val="15"/>
        </w:numPr>
        <w:ind w:left="716" w:right="113" w:hanging="427"/>
        <w:rPr>
          <w:rFonts w:cs="Arial"/>
          <w:sz w:val="20"/>
          <w:szCs w:val="20"/>
          <w:highlight w:val="yellow"/>
        </w:rPr>
      </w:pPr>
      <w:r w:rsidRPr="008A0D4C">
        <w:rPr>
          <w:rFonts w:cs="Arial"/>
          <w:sz w:val="20"/>
          <w:szCs w:val="20"/>
          <w:highlight w:val="yellow"/>
        </w:rPr>
        <w:t>be assessed by a Workgroup</w:t>
      </w:r>
    </w:p>
    <w:p w14:paraId="1C98EB8D" w14:textId="77777777" w:rsidR="004B1072" w:rsidRPr="00D1570A" w:rsidRDefault="004B1072" w:rsidP="004B1072">
      <w:pPr>
        <w:autoSpaceDE w:val="0"/>
        <w:autoSpaceDN w:val="0"/>
        <w:adjustRightInd w:val="0"/>
        <w:spacing w:before="0" w:after="0"/>
        <w:rPr>
          <w:rFonts w:ascii="ArialMT" w:eastAsia="Cambria" w:hAnsi="ArialMT" w:cs="ArialMT"/>
          <w:szCs w:val="20"/>
        </w:rPr>
      </w:pPr>
    </w:p>
    <w:p w14:paraId="31914FA6" w14:textId="77777777" w:rsidR="00005139" w:rsidRPr="00D1570A" w:rsidRDefault="00005139" w:rsidP="004B1072">
      <w:pPr>
        <w:autoSpaceDE w:val="0"/>
        <w:autoSpaceDN w:val="0"/>
        <w:adjustRightInd w:val="0"/>
        <w:spacing w:before="0" w:after="0"/>
      </w:pPr>
    </w:p>
    <w:p w14:paraId="2EA95B76" w14:textId="77777777" w:rsidR="004C6117" w:rsidRPr="00D1570A" w:rsidRDefault="004C6117" w:rsidP="000F4631">
      <w:pPr>
        <w:pStyle w:val="Heading02"/>
      </w:pPr>
      <w:bookmarkStart w:id="5" w:name="_Toc504395610"/>
      <w:r w:rsidRPr="00D1570A">
        <w:t>Why Change?</w:t>
      </w:r>
      <w:bookmarkEnd w:id="5"/>
    </w:p>
    <w:p w14:paraId="48ABECEE" w14:textId="77777777" w:rsidR="00B60DC2" w:rsidRPr="006D031E" w:rsidRDefault="00B60DC2" w:rsidP="00B60DC2">
      <w:pPr>
        <w:autoSpaceDE w:val="0"/>
        <w:autoSpaceDN w:val="0"/>
        <w:adjustRightInd w:val="0"/>
        <w:rPr>
          <w:rFonts w:cs="Arial"/>
          <w:b/>
        </w:rPr>
      </w:pPr>
      <w:r w:rsidRPr="006D031E">
        <w:rPr>
          <w:rFonts w:cs="Arial"/>
          <w:b/>
        </w:rPr>
        <w:t>Drivers</w:t>
      </w:r>
    </w:p>
    <w:p w14:paraId="06AD44A6" w14:textId="0CBE67E2" w:rsidR="00B60DC2" w:rsidRPr="00DB382D" w:rsidRDefault="00B60DC2" w:rsidP="00BD3FB5">
      <w:pPr>
        <w:pStyle w:val="ListParagraph"/>
        <w:numPr>
          <w:ilvl w:val="1"/>
          <w:numId w:val="20"/>
        </w:numPr>
        <w:autoSpaceDE w:val="0"/>
        <w:autoSpaceDN w:val="0"/>
        <w:adjustRightInd w:val="0"/>
        <w:ind w:left="993" w:hanging="567"/>
        <w:rPr>
          <w:rFonts w:eastAsia="Cambria" w:cs="Arial"/>
          <w:szCs w:val="20"/>
        </w:rPr>
      </w:pPr>
      <w:r w:rsidRPr="003A2592">
        <w:rPr>
          <w:rFonts w:eastAsia="Cambria" w:cs="Arial"/>
          <w:szCs w:val="20"/>
        </w:rPr>
        <w:t>The methodology which is currently in place for the calculation of Gas Transmission</w:t>
      </w:r>
      <w:r w:rsidRPr="007E72E9">
        <w:rPr>
          <w:rFonts w:eastAsia="Cambria" w:cs="Arial"/>
          <w:szCs w:val="20"/>
        </w:rPr>
        <w:t xml:space="preserve"> charges, and the methodology to recover TO and SO revenue through Entry and Exit charges</w:t>
      </w:r>
      <w:r>
        <w:rPr>
          <w:rFonts w:eastAsia="Cambria" w:cs="Arial"/>
          <w:szCs w:val="20"/>
        </w:rPr>
        <w:t>,</w:t>
      </w:r>
      <w:r w:rsidRPr="007E72E9">
        <w:rPr>
          <w:rFonts w:eastAsia="Cambria" w:cs="Arial"/>
          <w:szCs w:val="20"/>
        </w:rPr>
        <w:t xml:space="preserve"> ha</w:t>
      </w:r>
      <w:r>
        <w:rPr>
          <w:rFonts w:eastAsia="Cambria" w:cs="Arial"/>
          <w:szCs w:val="20"/>
        </w:rPr>
        <w:t>s</w:t>
      </w:r>
      <w:r w:rsidRPr="007E72E9">
        <w:rPr>
          <w:rFonts w:eastAsia="Cambria" w:cs="Arial"/>
          <w:szCs w:val="20"/>
        </w:rPr>
        <w:t xml:space="preserve"> been in place for a number of years. </w:t>
      </w:r>
      <w:r w:rsidRPr="007E72E9">
        <w:rPr>
          <w:rFonts w:cs="Arial"/>
        </w:rPr>
        <w:t xml:space="preserve">Whilst there have been some changes in the last ten years, the basic approach to calculating NTS Entry and Exit Capacity charges and the approach to revenue recovery arrangements  have not substantially changed. What has been seen is change in the patterns of </w:t>
      </w:r>
      <w:r>
        <w:rPr>
          <w:rFonts w:cs="Arial"/>
        </w:rPr>
        <w:t xml:space="preserve">capacity </w:t>
      </w:r>
      <w:r w:rsidRPr="007E72E9">
        <w:rPr>
          <w:rFonts w:cs="Arial"/>
        </w:rPr>
        <w:t xml:space="preserve">booking behaviours, and the impact on the charges as a result due to the interactivity inherent within the methodology that were not anticipated. </w:t>
      </w:r>
      <w:r w:rsidR="005A23F1">
        <w:rPr>
          <w:rFonts w:cs="Arial"/>
        </w:rPr>
        <w:t xml:space="preserve">Additional regulatory drivers for changes to the charging framework are: </w:t>
      </w:r>
    </w:p>
    <w:p w14:paraId="2DD63C32" w14:textId="6971CDFD" w:rsidR="005A23F1" w:rsidRPr="00DB382D" w:rsidRDefault="005A23F1" w:rsidP="00BD3FB5">
      <w:pPr>
        <w:pStyle w:val="ListParagraph"/>
        <w:numPr>
          <w:ilvl w:val="2"/>
          <w:numId w:val="20"/>
        </w:numPr>
        <w:autoSpaceDE w:val="0"/>
        <w:autoSpaceDN w:val="0"/>
        <w:adjustRightInd w:val="0"/>
        <w:rPr>
          <w:rFonts w:eastAsia="Cambria" w:cs="Arial"/>
          <w:szCs w:val="20"/>
        </w:rPr>
      </w:pPr>
      <w:r>
        <w:rPr>
          <w:rFonts w:cs="Arial"/>
        </w:rPr>
        <w:t>The EU Tariff Code</w:t>
      </w:r>
      <w:r>
        <w:rPr>
          <w:rStyle w:val="FootnoteReference"/>
          <w:rFonts w:cs="Arial"/>
        </w:rPr>
        <w:footnoteReference w:id="2"/>
      </w:r>
      <w:r>
        <w:rPr>
          <w:rFonts w:cs="Arial"/>
        </w:rPr>
        <w:t xml:space="preserve">; </w:t>
      </w:r>
    </w:p>
    <w:p w14:paraId="614A144F" w14:textId="4BA3193F" w:rsidR="005A23F1" w:rsidRDefault="005A23F1" w:rsidP="00BD3FB5">
      <w:pPr>
        <w:pStyle w:val="ListParagraph"/>
        <w:numPr>
          <w:ilvl w:val="2"/>
          <w:numId w:val="20"/>
        </w:numPr>
        <w:autoSpaceDE w:val="0"/>
        <w:autoSpaceDN w:val="0"/>
        <w:adjustRightInd w:val="0"/>
        <w:rPr>
          <w:rFonts w:eastAsia="Cambria" w:cs="Arial"/>
          <w:szCs w:val="20"/>
        </w:rPr>
      </w:pPr>
      <w:r>
        <w:rPr>
          <w:rFonts w:cs="Arial"/>
        </w:rPr>
        <w:t>Ofgem’s Gas Transmission Charging Review</w:t>
      </w:r>
      <w:r w:rsidR="00D47185">
        <w:rPr>
          <w:rStyle w:val="FootnoteReference"/>
          <w:rFonts w:cs="Arial"/>
        </w:rPr>
        <w:footnoteReference w:id="3"/>
      </w:r>
    </w:p>
    <w:p w14:paraId="402F5425" w14:textId="77777777" w:rsidR="00B60DC2" w:rsidRDefault="00B60DC2" w:rsidP="00B60DC2">
      <w:pPr>
        <w:pStyle w:val="ListParagraph"/>
        <w:autoSpaceDE w:val="0"/>
        <w:autoSpaceDN w:val="0"/>
        <w:adjustRightInd w:val="0"/>
        <w:ind w:left="792"/>
        <w:rPr>
          <w:rFonts w:eastAsia="Cambria" w:cs="Arial"/>
          <w:szCs w:val="20"/>
        </w:rPr>
      </w:pPr>
    </w:p>
    <w:p w14:paraId="72BBDFFD" w14:textId="2CCBE97B" w:rsidR="00B60DC2" w:rsidRDefault="00B60DC2" w:rsidP="00BD3FB5">
      <w:pPr>
        <w:pStyle w:val="ListParagraph"/>
        <w:numPr>
          <w:ilvl w:val="1"/>
          <w:numId w:val="20"/>
        </w:numPr>
        <w:autoSpaceDE w:val="0"/>
        <w:autoSpaceDN w:val="0"/>
        <w:adjustRightInd w:val="0"/>
        <w:ind w:left="993" w:hanging="567"/>
        <w:rPr>
          <w:rFonts w:eastAsia="Cambria" w:cs="Arial"/>
          <w:szCs w:val="20"/>
        </w:rPr>
      </w:pPr>
      <w:r w:rsidRPr="00A914DC">
        <w:rPr>
          <w:rFonts w:eastAsia="Cambria" w:cs="Arial"/>
          <w:szCs w:val="20"/>
        </w:rPr>
        <w:t>As a result of changing behaviours, such as increased uptake in short term zero</w:t>
      </w:r>
      <w:r>
        <w:rPr>
          <w:rFonts w:eastAsia="Cambria" w:cs="Arial"/>
          <w:szCs w:val="20"/>
        </w:rPr>
        <w:t>-</w:t>
      </w:r>
      <w:r w:rsidRPr="00A914DC">
        <w:rPr>
          <w:rFonts w:eastAsia="Cambria" w:cs="Arial"/>
          <w:szCs w:val="20"/>
        </w:rPr>
        <w:t xml:space="preserve">priced capacity, there is an increase in reliance on commodity charges to recover TO revenue. </w:t>
      </w:r>
      <w:r w:rsidR="00D47185">
        <w:rPr>
          <w:rFonts w:eastAsia="Cambria" w:cs="Arial"/>
          <w:szCs w:val="20"/>
        </w:rPr>
        <w:t>Zero priced capacity has arguably resulted in overbooking of capacity</w:t>
      </w:r>
      <w:r w:rsidR="0096171A">
        <w:rPr>
          <w:rFonts w:eastAsia="Cambria" w:cs="Arial"/>
          <w:szCs w:val="20"/>
        </w:rPr>
        <w:t>,</w:t>
      </w:r>
      <w:r w:rsidR="00D47185">
        <w:rPr>
          <w:rFonts w:eastAsia="Cambria" w:cs="Arial"/>
          <w:szCs w:val="20"/>
        </w:rPr>
        <w:t xml:space="preserve"> surplus to </w:t>
      </w:r>
      <w:r w:rsidR="00D10CFE">
        <w:rPr>
          <w:rFonts w:eastAsia="Cambria" w:cs="Arial"/>
          <w:szCs w:val="20"/>
        </w:rPr>
        <w:t xml:space="preserve">User’s </w:t>
      </w:r>
      <w:r w:rsidR="00D47185">
        <w:rPr>
          <w:rFonts w:eastAsia="Cambria" w:cs="Arial"/>
          <w:szCs w:val="20"/>
        </w:rPr>
        <w:t xml:space="preserve">requirements. The high </w:t>
      </w:r>
      <w:r w:rsidR="009B3FAB">
        <w:rPr>
          <w:rFonts w:eastAsia="Cambria" w:cs="Arial"/>
          <w:szCs w:val="20"/>
        </w:rPr>
        <w:t xml:space="preserve">TO </w:t>
      </w:r>
      <w:r w:rsidR="00D47185">
        <w:rPr>
          <w:rFonts w:eastAsia="Cambria" w:cs="Arial"/>
          <w:szCs w:val="20"/>
        </w:rPr>
        <w:t xml:space="preserve">commodity charges, driven largely by the zero priced capacity can also result in unstable and unpredictable charges. </w:t>
      </w:r>
      <w:r w:rsidRPr="00A914DC">
        <w:rPr>
          <w:rFonts w:eastAsia="Cambria" w:cs="Arial"/>
          <w:szCs w:val="20"/>
        </w:rPr>
        <w:t xml:space="preserve">Other charges, such as the NTS Optional </w:t>
      </w:r>
      <w:r w:rsidRPr="00A914DC">
        <w:rPr>
          <w:rFonts w:eastAsia="Cambria" w:cs="Arial"/>
          <w:szCs w:val="20"/>
        </w:rPr>
        <w:lastRenderedPageBreak/>
        <w:t>Commodity charge (also referred to as “Shorthaul”)</w:t>
      </w:r>
      <w:r>
        <w:rPr>
          <w:rFonts w:eastAsia="Cambria" w:cs="Arial"/>
          <w:szCs w:val="20"/>
        </w:rPr>
        <w:t>,</w:t>
      </w:r>
      <w:r w:rsidRPr="00A914DC">
        <w:rPr>
          <w:rFonts w:eastAsia="Cambria" w:cs="Arial"/>
          <w:szCs w:val="20"/>
        </w:rPr>
        <w:t xml:space="preserve"> have also seen a significant increase in its use which has impacted on other charges in a way that was not originally envisaged. </w:t>
      </w:r>
    </w:p>
    <w:p w14:paraId="2C8CD0DE" w14:textId="77777777" w:rsidR="00B60DC2" w:rsidRPr="006D031E" w:rsidRDefault="00B60DC2" w:rsidP="00B60DC2">
      <w:pPr>
        <w:autoSpaceDE w:val="0"/>
        <w:autoSpaceDN w:val="0"/>
        <w:adjustRightInd w:val="0"/>
        <w:rPr>
          <w:rFonts w:eastAsia="Cambria" w:cs="Arial"/>
          <w:b/>
          <w:szCs w:val="20"/>
        </w:rPr>
      </w:pPr>
      <w:r w:rsidRPr="006D031E">
        <w:rPr>
          <w:rFonts w:eastAsia="Cambria" w:cs="Arial"/>
          <w:b/>
          <w:szCs w:val="20"/>
        </w:rPr>
        <w:t>Mapping Revenues</w:t>
      </w:r>
    </w:p>
    <w:p w14:paraId="3135941D" w14:textId="77777777" w:rsidR="00B60DC2" w:rsidRDefault="00B60DC2" w:rsidP="00BD3FB5">
      <w:pPr>
        <w:pStyle w:val="ListParagraph"/>
        <w:numPr>
          <w:ilvl w:val="1"/>
          <w:numId w:val="20"/>
        </w:numPr>
        <w:autoSpaceDE w:val="0"/>
        <w:autoSpaceDN w:val="0"/>
        <w:adjustRightInd w:val="0"/>
        <w:ind w:left="993" w:hanging="567"/>
        <w:rPr>
          <w:rFonts w:eastAsia="Cambria" w:cs="Arial"/>
          <w:szCs w:val="20"/>
        </w:rPr>
      </w:pPr>
      <w:r w:rsidRPr="00B24348">
        <w:rPr>
          <w:rFonts w:eastAsia="Cambria" w:cs="Arial"/>
          <w:szCs w:val="20"/>
        </w:rPr>
        <w:t>Within the collection of revenue there are some changes to the terminology used to assign the revenue</w:t>
      </w:r>
      <w:r>
        <w:rPr>
          <w:rFonts w:eastAsia="Cambria" w:cs="Arial"/>
          <w:szCs w:val="20"/>
        </w:rPr>
        <w:t xml:space="preserve"> for the purposes of ultimately calculating charges</w:t>
      </w:r>
      <w:r w:rsidRPr="00B24348">
        <w:rPr>
          <w:rFonts w:eastAsia="Cambria" w:cs="Arial"/>
          <w:szCs w:val="20"/>
        </w:rPr>
        <w:t xml:space="preserve">. These changes are required by the EU Tariff Code. </w:t>
      </w:r>
      <w:r>
        <w:rPr>
          <w:rFonts w:eastAsia="Cambria" w:cs="Arial"/>
          <w:szCs w:val="20"/>
        </w:rPr>
        <w:t xml:space="preserve">This relates to mapping TO Revenue and SO Revenue to Transmission Services Revenue and Non Transmission Services Revenue. </w:t>
      </w:r>
      <w:r w:rsidRPr="00B24348">
        <w:rPr>
          <w:rFonts w:eastAsia="Cambria" w:cs="Arial"/>
          <w:szCs w:val="20"/>
        </w:rPr>
        <w:t>This does not affect the actual allowed revenue National Grid will be required to recover through the charges.</w:t>
      </w:r>
    </w:p>
    <w:p w14:paraId="6F7FF09A" w14:textId="77777777" w:rsidR="00B60DC2" w:rsidRDefault="00B60DC2" w:rsidP="00B60DC2">
      <w:pPr>
        <w:pStyle w:val="ListParagraph"/>
        <w:autoSpaceDE w:val="0"/>
        <w:autoSpaceDN w:val="0"/>
        <w:adjustRightInd w:val="0"/>
        <w:ind w:left="993" w:hanging="567"/>
        <w:rPr>
          <w:rFonts w:eastAsia="Cambria" w:cs="Arial"/>
          <w:szCs w:val="20"/>
        </w:rPr>
      </w:pPr>
    </w:p>
    <w:p w14:paraId="1A3E3C82" w14:textId="77777777" w:rsidR="00B60DC2" w:rsidRPr="00B24348" w:rsidRDefault="00B60DC2" w:rsidP="00BD3FB5">
      <w:pPr>
        <w:pStyle w:val="ListParagraph"/>
        <w:numPr>
          <w:ilvl w:val="1"/>
          <w:numId w:val="20"/>
        </w:numPr>
        <w:autoSpaceDE w:val="0"/>
        <w:autoSpaceDN w:val="0"/>
        <w:adjustRightInd w:val="0"/>
        <w:ind w:left="993" w:hanging="567"/>
        <w:rPr>
          <w:rFonts w:eastAsia="Cambria" w:cs="Arial"/>
          <w:szCs w:val="20"/>
        </w:rPr>
      </w:pPr>
      <w:r>
        <w:rPr>
          <w:rFonts w:eastAsia="Cambria" w:cs="Arial"/>
          <w:szCs w:val="20"/>
        </w:rPr>
        <w:t xml:space="preserve">There are a number of targeted charges in the current methodology and it is necessary to consider which revenue they will contribute towards: </w:t>
      </w:r>
    </w:p>
    <w:p w14:paraId="60A404BE" w14:textId="77777777" w:rsidR="00B60DC2" w:rsidRDefault="00B60DC2" w:rsidP="00B60DC2">
      <w:pPr>
        <w:pStyle w:val="ListParagraph"/>
        <w:ind w:left="1224"/>
        <w:rPr>
          <w:rFonts w:eastAsia="Cambria" w:cs="Arial"/>
          <w:szCs w:val="20"/>
        </w:rPr>
      </w:pPr>
    </w:p>
    <w:p w14:paraId="0F56CBBC" w14:textId="77777777" w:rsidR="00B60DC2" w:rsidRPr="00D77AE5" w:rsidRDefault="00B60DC2" w:rsidP="00BD3FB5">
      <w:pPr>
        <w:pStyle w:val="ListParagraph"/>
        <w:numPr>
          <w:ilvl w:val="2"/>
          <w:numId w:val="20"/>
        </w:numPr>
        <w:ind w:left="1701" w:hanging="708"/>
        <w:rPr>
          <w:rFonts w:eastAsia="Cambria" w:cs="Arial"/>
          <w:szCs w:val="20"/>
        </w:rPr>
      </w:pPr>
      <w:r w:rsidRPr="00D77AE5">
        <w:rPr>
          <w:rFonts w:eastAsia="Cambria" w:cs="Arial"/>
          <w:szCs w:val="20"/>
        </w:rPr>
        <w:t xml:space="preserve">The Distribution Network (DN) Pensions Deficit Charge and </w:t>
      </w:r>
      <w:r>
        <w:rPr>
          <w:rFonts w:eastAsia="Cambria" w:cs="Arial"/>
          <w:szCs w:val="20"/>
        </w:rPr>
        <w:t xml:space="preserve">NTS </w:t>
      </w:r>
      <w:r w:rsidRPr="00D77AE5">
        <w:rPr>
          <w:rFonts w:eastAsia="Cambria" w:cs="Arial"/>
          <w:szCs w:val="20"/>
        </w:rPr>
        <w:t xml:space="preserve">Meter Maintenance Charge, under the EU Tariff Code (Article 4), do not fall into the specific criteria for Transmission Services. This modification proposes that these will be classified as Non-Transmission Services charges thereby contributing towards Non-Transmission Services Revenue. </w:t>
      </w:r>
    </w:p>
    <w:p w14:paraId="0FD2B58E" w14:textId="77777777" w:rsidR="00B60DC2" w:rsidRDefault="00B60DC2" w:rsidP="00B60DC2">
      <w:pPr>
        <w:pStyle w:val="ListParagraph"/>
        <w:tabs>
          <w:tab w:val="left" w:pos="851"/>
        </w:tabs>
        <w:autoSpaceDE w:val="0"/>
        <w:autoSpaceDN w:val="0"/>
        <w:adjustRightInd w:val="0"/>
        <w:ind w:left="1701" w:hanging="708"/>
        <w:rPr>
          <w:rFonts w:eastAsia="Cambria" w:cs="Arial"/>
          <w:szCs w:val="20"/>
        </w:rPr>
      </w:pPr>
    </w:p>
    <w:p w14:paraId="218BBC4A" w14:textId="77777777" w:rsidR="00B60DC2" w:rsidRDefault="00B60DC2" w:rsidP="00BD3FB5">
      <w:pPr>
        <w:pStyle w:val="ListParagraph"/>
        <w:numPr>
          <w:ilvl w:val="2"/>
          <w:numId w:val="20"/>
        </w:numPr>
        <w:tabs>
          <w:tab w:val="left" w:pos="851"/>
        </w:tabs>
        <w:autoSpaceDE w:val="0"/>
        <w:autoSpaceDN w:val="0"/>
        <w:adjustRightInd w:val="0"/>
        <w:ind w:left="1701" w:hanging="708"/>
        <w:rPr>
          <w:rFonts w:eastAsia="Cambria" w:cs="Arial"/>
          <w:szCs w:val="20"/>
        </w:rPr>
      </w:pPr>
      <w:r>
        <w:rPr>
          <w:rFonts w:eastAsia="Cambria" w:cs="Arial"/>
          <w:szCs w:val="20"/>
        </w:rPr>
        <w:t xml:space="preserve">The </w:t>
      </w:r>
      <w:r w:rsidRPr="00B24348">
        <w:rPr>
          <w:rFonts w:eastAsia="Cambria" w:cs="Arial"/>
          <w:szCs w:val="20"/>
        </w:rPr>
        <w:t>St. Fergus Compression charge</w:t>
      </w:r>
      <w:r>
        <w:rPr>
          <w:rFonts w:eastAsia="Cambria" w:cs="Arial"/>
          <w:szCs w:val="20"/>
        </w:rPr>
        <w:t xml:space="preserve"> </w:t>
      </w:r>
      <w:r w:rsidRPr="00B24348">
        <w:rPr>
          <w:rFonts w:eastAsia="Cambria" w:cs="Arial"/>
          <w:szCs w:val="20"/>
        </w:rPr>
        <w:t>will be a Non-Transmission Services charge.</w:t>
      </w:r>
      <w:r>
        <w:rPr>
          <w:rFonts w:eastAsia="Cambria" w:cs="Arial"/>
          <w:szCs w:val="20"/>
        </w:rPr>
        <w:t xml:space="preserve"> </w:t>
      </w:r>
      <w:r w:rsidRPr="0028524D">
        <w:rPr>
          <w:rFonts w:eastAsia="Cambria" w:cs="Arial"/>
          <w:szCs w:val="20"/>
        </w:rPr>
        <w:t xml:space="preserve">The methodology used to calculate </w:t>
      </w:r>
      <w:r>
        <w:rPr>
          <w:rFonts w:eastAsia="Cambria" w:cs="Arial"/>
          <w:szCs w:val="20"/>
        </w:rPr>
        <w:t>the St. Fergus Compression Charge</w:t>
      </w:r>
      <w:r w:rsidRPr="0028524D">
        <w:rPr>
          <w:rFonts w:eastAsia="Cambria" w:cs="Arial"/>
          <w:szCs w:val="20"/>
        </w:rPr>
        <w:t xml:space="preserve"> is not proposed to be reviewed at this stage.</w:t>
      </w:r>
    </w:p>
    <w:p w14:paraId="08C3231A" w14:textId="77777777" w:rsidR="00B60DC2" w:rsidRDefault="00B60DC2" w:rsidP="00B60DC2">
      <w:pPr>
        <w:pStyle w:val="ListParagraph"/>
        <w:tabs>
          <w:tab w:val="left" w:pos="851"/>
        </w:tabs>
        <w:autoSpaceDE w:val="0"/>
        <w:autoSpaceDN w:val="0"/>
        <w:adjustRightInd w:val="0"/>
        <w:ind w:left="1701" w:hanging="708"/>
        <w:rPr>
          <w:rFonts w:eastAsia="Cambria" w:cs="Arial"/>
          <w:szCs w:val="20"/>
        </w:rPr>
      </w:pPr>
    </w:p>
    <w:p w14:paraId="4126431C" w14:textId="77777777" w:rsidR="00B60DC2" w:rsidRDefault="00B60DC2" w:rsidP="00BD3FB5">
      <w:pPr>
        <w:pStyle w:val="ListParagraph"/>
        <w:numPr>
          <w:ilvl w:val="2"/>
          <w:numId w:val="20"/>
        </w:numPr>
        <w:tabs>
          <w:tab w:val="left" w:pos="851"/>
        </w:tabs>
        <w:autoSpaceDE w:val="0"/>
        <w:autoSpaceDN w:val="0"/>
        <w:adjustRightInd w:val="0"/>
        <w:ind w:left="1701" w:hanging="708"/>
        <w:rPr>
          <w:rFonts w:eastAsia="Cambria" w:cs="Arial"/>
          <w:szCs w:val="20"/>
        </w:rPr>
      </w:pPr>
      <w:r w:rsidRPr="00D77AE5">
        <w:rPr>
          <w:rFonts w:eastAsia="Cambria" w:cs="Arial"/>
          <w:szCs w:val="20"/>
        </w:rPr>
        <w:t xml:space="preserve">The methodologies to calculate these </w:t>
      </w:r>
      <w:r>
        <w:rPr>
          <w:rFonts w:eastAsia="Cambria" w:cs="Arial"/>
          <w:szCs w:val="20"/>
        </w:rPr>
        <w:t xml:space="preserve">charges (DN Pensions Deficit, NTS Meter Maintenance and St. Fergus Compression) </w:t>
      </w:r>
      <w:r w:rsidRPr="00D77AE5">
        <w:rPr>
          <w:rFonts w:eastAsia="Cambria" w:cs="Arial"/>
          <w:szCs w:val="20"/>
        </w:rPr>
        <w:t>are not proposed to be reviewed at this time. Whilst these could be considered as either Transmission Services or Non-Transmission Services, providing it is approved by the National Regulatory Authority (NRA), it is proposed this is a pragmatic way to charge for these items.</w:t>
      </w:r>
    </w:p>
    <w:p w14:paraId="73E95885" w14:textId="77777777" w:rsidR="00B60DC2" w:rsidRPr="006D031E" w:rsidRDefault="00B60DC2" w:rsidP="00B60DC2">
      <w:pPr>
        <w:autoSpaceDE w:val="0"/>
        <w:autoSpaceDN w:val="0"/>
        <w:adjustRightInd w:val="0"/>
        <w:rPr>
          <w:rFonts w:eastAsia="Cambria" w:cs="Arial"/>
          <w:b/>
          <w:szCs w:val="20"/>
        </w:rPr>
      </w:pPr>
      <w:r w:rsidRPr="006D031E">
        <w:rPr>
          <w:rFonts w:eastAsia="Cambria" w:cs="Arial"/>
          <w:b/>
          <w:szCs w:val="20"/>
        </w:rPr>
        <w:t>Pricing Meth</w:t>
      </w:r>
      <w:r>
        <w:rPr>
          <w:rFonts w:eastAsia="Cambria" w:cs="Arial"/>
          <w:b/>
          <w:szCs w:val="20"/>
        </w:rPr>
        <w:t>o</w:t>
      </w:r>
      <w:r w:rsidRPr="006D031E">
        <w:rPr>
          <w:rFonts w:eastAsia="Cambria" w:cs="Arial"/>
          <w:b/>
          <w:szCs w:val="20"/>
        </w:rPr>
        <w:t>dology</w:t>
      </w:r>
    </w:p>
    <w:p w14:paraId="59F5CDDE" w14:textId="77777777" w:rsidR="00B60DC2" w:rsidRDefault="00B60DC2" w:rsidP="00BD3FB5">
      <w:pPr>
        <w:pStyle w:val="ListParagraph"/>
        <w:numPr>
          <w:ilvl w:val="1"/>
          <w:numId w:val="20"/>
        </w:numPr>
        <w:autoSpaceDE w:val="0"/>
        <w:autoSpaceDN w:val="0"/>
        <w:adjustRightInd w:val="0"/>
        <w:ind w:left="993" w:hanging="567"/>
        <w:rPr>
          <w:rFonts w:eastAsia="Cambria" w:cs="Arial"/>
          <w:szCs w:val="20"/>
        </w:rPr>
      </w:pPr>
      <w:r w:rsidRPr="00A914DC">
        <w:rPr>
          <w:rFonts w:eastAsia="Cambria" w:cs="Arial"/>
          <w:szCs w:val="20"/>
        </w:rPr>
        <w:t>The current RPM (including the adjustments applied in order to calculate capacity charges) produces charges that are volatile and unpredictable. This causes challenges for investment decisions and in predicting operational costs for connected parties year on year and as such</w:t>
      </w:r>
      <w:r>
        <w:rPr>
          <w:rFonts w:eastAsia="Cambria" w:cs="Arial"/>
          <w:szCs w:val="20"/>
        </w:rPr>
        <w:t>,</w:t>
      </w:r>
      <w:r w:rsidRPr="00A914DC">
        <w:rPr>
          <w:rFonts w:eastAsia="Cambria" w:cs="Arial"/>
          <w:szCs w:val="20"/>
        </w:rPr>
        <w:t xml:space="preserve"> is a key area to be addressed. </w:t>
      </w:r>
    </w:p>
    <w:p w14:paraId="45E798B0" w14:textId="77777777" w:rsidR="00B60DC2" w:rsidRDefault="00B60DC2" w:rsidP="00B60DC2">
      <w:pPr>
        <w:pStyle w:val="ListParagraph"/>
        <w:autoSpaceDE w:val="0"/>
        <w:autoSpaceDN w:val="0"/>
        <w:adjustRightInd w:val="0"/>
        <w:ind w:left="993"/>
        <w:rPr>
          <w:rFonts w:eastAsia="Cambria" w:cs="Arial"/>
          <w:szCs w:val="20"/>
        </w:rPr>
      </w:pPr>
    </w:p>
    <w:p w14:paraId="60D96603" w14:textId="77777777" w:rsidR="00B60DC2" w:rsidRPr="007E72E9" w:rsidRDefault="00B60DC2" w:rsidP="00BD3FB5">
      <w:pPr>
        <w:pStyle w:val="ListParagraph"/>
        <w:numPr>
          <w:ilvl w:val="1"/>
          <w:numId w:val="20"/>
        </w:numPr>
        <w:ind w:left="993" w:hanging="567"/>
        <w:rPr>
          <w:rFonts w:eastAsia="Cambria" w:cs="Arial"/>
          <w:szCs w:val="20"/>
        </w:rPr>
      </w:pPr>
      <w:r w:rsidRPr="007E72E9">
        <w:rPr>
          <w:rFonts w:eastAsia="Cambria" w:cs="Arial"/>
          <w:szCs w:val="20"/>
        </w:rPr>
        <w:t>Through an assessment of RPM’s</w:t>
      </w:r>
      <w:r>
        <w:rPr>
          <w:rStyle w:val="FootnoteReference"/>
          <w:rFonts w:eastAsia="Cambria" w:cs="Arial"/>
          <w:szCs w:val="20"/>
        </w:rPr>
        <w:footnoteReference w:id="4"/>
      </w:r>
      <w:r w:rsidRPr="007E72E9">
        <w:rPr>
          <w:rFonts w:eastAsia="Cambria" w:cs="Arial"/>
          <w:szCs w:val="20"/>
        </w:rPr>
        <w:t>, the main alternative considered from the current method was the CWD model. By design this approach is generally more predictable, less volatile and more stable in nature and is more suited to a system that is about use and revenue recovery associated to use rather than linked to investment (marginal pricing).</w:t>
      </w:r>
    </w:p>
    <w:p w14:paraId="0F2B6546" w14:textId="77777777" w:rsidR="00B60DC2" w:rsidRDefault="00B60DC2" w:rsidP="00B60DC2">
      <w:pPr>
        <w:pStyle w:val="ListParagraph"/>
        <w:autoSpaceDE w:val="0"/>
        <w:autoSpaceDN w:val="0"/>
        <w:adjustRightInd w:val="0"/>
        <w:ind w:left="993"/>
        <w:rPr>
          <w:rFonts w:eastAsia="Cambria" w:cs="Arial"/>
          <w:szCs w:val="20"/>
        </w:rPr>
      </w:pPr>
    </w:p>
    <w:p w14:paraId="0ED8DC4A" w14:textId="77777777" w:rsidR="00B60DC2" w:rsidRDefault="00B60DC2" w:rsidP="00BD3FB5">
      <w:pPr>
        <w:pStyle w:val="ListParagraph"/>
        <w:numPr>
          <w:ilvl w:val="1"/>
          <w:numId w:val="20"/>
        </w:numPr>
        <w:autoSpaceDE w:val="0"/>
        <w:autoSpaceDN w:val="0"/>
        <w:adjustRightInd w:val="0"/>
        <w:ind w:left="993" w:hanging="567"/>
        <w:rPr>
          <w:rFonts w:eastAsia="Cambria" w:cs="Arial"/>
          <w:szCs w:val="20"/>
        </w:rPr>
      </w:pPr>
      <w:r w:rsidRPr="003A2592">
        <w:rPr>
          <w:rFonts w:eastAsia="Cambria" w:cs="Arial"/>
          <w:szCs w:val="20"/>
        </w:rPr>
        <w:t xml:space="preserve">The proposed </w:t>
      </w:r>
      <w:r w:rsidRPr="007E72E9">
        <w:rPr>
          <w:rFonts w:eastAsia="Cambria" w:cs="Arial"/>
          <w:szCs w:val="20"/>
        </w:rPr>
        <w:t>use of CWD in the RPM resolves this issue by narrowing the range of prices and as such making them more predictable</w:t>
      </w:r>
      <w:r>
        <w:rPr>
          <w:rFonts w:eastAsia="Cambria" w:cs="Arial"/>
          <w:szCs w:val="20"/>
        </w:rPr>
        <w:t xml:space="preserve">. This </w:t>
      </w:r>
      <w:r w:rsidRPr="007E72E9">
        <w:rPr>
          <w:rFonts w:eastAsia="Cambria" w:cs="Arial"/>
          <w:szCs w:val="20"/>
        </w:rPr>
        <w:t xml:space="preserve">makes the RPM more relevant to how the NTS is used and expected to be used. It would better suit the current and future expectations </w:t>
      </w:r>
      <w:r w:rsidRPr="007E72E9">
        <w:rPr>
          <w:rFonts w:eastAsia="Cambria" w:cs="Arial"/>
          <w:szCs w:val="20"/>
        </w:rPr>
        <w:lastRenderedPageBreak/>
        <w:t>for the NTS and maximising its use (driven through market behaviour) rather than using a RPM built on the foundation of continued expansion whilst continu</w:t>
      </w:r>
      <w:r>
        <w:rPr>
          <w:rFonts w:eastAsia="Cambria" w:cs="Arial"/>
          <w:szCs w:val="20"/>
        </w:rPr>
        <w:t>ing</w:t>
      </w:r>
      <w:r w:rsidRPr="003A2592">
        <w:rPr>
          <w:rFonts w:eastAsia="Cambria" w:cs="Arial"/>
          <w:szCs w:val="20"/>
        </w:rPr>
        <w:t xml:space="preserve"> to provide some locational diversity in charges through the use of locational capacity and the average distances applied under the CWD approach.</w:t>
      </w:r>
    </w:p>
    <w:p w14:paraId="3087BCA7" w14:textId="77777777" w:rsidR="00B60DC2" w:rsidRPr="00F37573" w:rsidRDefault="00B60DC2" w:rsidP="00B60DC2">
      <w:pPr>
        <w:pStyle w:val="ListParagraph"/>
        <w:rPr>
          <w:rFonts w:eastAsia="Cambria" w:cs="Arial"/>
          <w:szCs w:val="20"/>
        </w:rPr>
      </w:pPr>
    </w:p>
    <w:p w14:paraId="625D2E3B" w14:textId="77777777" w:rsidR="00B60DC2" w:rsidRPr="00A914DC" w:rsidRDefault="00B60DC2" w:rsidP="00BD3FB5">
      <w:pPr>
        <w:pStyle w:val="ListParagraph"/>
        <w:numPr>
          <w:ilvl w:val="1"/>
          <w:numId w:val="20"/>
        </w:numPr>
        <w:autoSpaceDE w:val="0"/>
        <w:autoSpaceDN w:val="0"/>
        <w:adjustRightInd w:val="0"/>
        <w:ind w:left="993" w:hanging="567"/>
        <w:rPr>
          <w:rFonts w:eastAsia="Cambria" w:cs="Arial"/>
          <w:szCs w:val="20"/>
        </w:rPr>
      </w:pPr>
      <w:r w:rsidRPr="00A914DC">
        <w:rPr>
          <w:rFonts w:eastAsia="Cambria" w:cs="Arial"/>
          <w:szCs w:val="20"/>
        </w:rPr>
        <w:t xml:space="preserve">As a result of changing the RPM, any adjustments, discounts and other charges must be reviewed in order to avoid unintended consequences and to ensure </w:t>
      </w:r>
      <w:r>
        <w:rPr>
          <w:rFonts w:eastAsia="Cambria" w:cs="Arial"/>
          <w:szCs w:val="20"/>
        </w:rPr>
        <w:t xml:space="preserve">that </w:t>
      </w:r>
      <w:r w:rsidRPr="00A914DC">
        <w:rPr>
          <w:rFonts w:eastAsia="Cambria" w:cs="Arial"/>
          <w:szCs w:val="20"/>
        </w:rPr>
        <w:t>a clear impact assessment</w:t>
      </w:r>
      <w:r>
        <w:rPr>
          <w:rFonts w:eastAsia="Cambria" w:cs="Arial"/>
          <w:szCs w:val="20"/>
        </w:rPr>
        <w:t xml:space="preserve"> (including any Ofgem Impact Assessment)</w:t>
      </w:r>
      <w:r w:rsidRPr="00A914DC">
        <w:rPr>
          <w:rFonts w:eastAsia="Cambria" w:cs="Arial"/>
          <w:szCs w:val="20"/>
        </w:rPr>
        <w:t xml:space="preserve"> can be carried out on the total impact of these adjustments, discounts and other charges to NTS customers and to the end consumer.</w:t>
      </w:r>
    </w:p>
    <w:p w14:paraId="2BC365ED" w14:textId="77777777" w:rsidR="00B60DC2" w:rsidRDefault="00B60DC2" w:rsidP="00B60DC2">
      <w:pPr>
        <w:pStyle w:val="ListParagraph"/>
        <w:autoSpaceDE w:val="0"/>
        <w:autoSpaceDN w:val="0"/>
        <w:adjustRightInd w:val="0"/>
        <w:ind w:left="792"/>
        <w:rPr>
          <w:rFonts w:eastAsia="Cambria" w:cs="Arial"/>
          <w:szCs w:val="20"/>
        </w:rPr>
      </w:pPr>
    </w:p>
    <w:p w14:paraId="0229FC6F" w14:textId="77777777" w:rsidR="00B60DC2" w:rsidRDefault="00B60DC2" w:rsidP="00BD3FB5">
      <w:pPr>
        <w:pStyle w:val="ListParagraph"/>
        <w:numPr>
          <w:ilvl w:val="1"/>
          <w:numId w:val="20"/>
        </w:numPr>
        <w:autoSpaceDE w:val="0"/>
        <w:autoSpaceDN w:val="0"/>
        <w:adjustRightInd w:val="0"/>
        <w:ind w:left="993" w:hanging="567"/>
        <w:rPr>
          <w:rFonts w:eastAsia="Cambria" w:cs="Arial"/>
          <w:szCs w:val="20"/>
        </w:rPr>
      </w:pPr>
      <w:r w:rsidRPr="00A914DC">
        <w:rPr>
          <w:rFonts w:eastAsia="Cambria" w:cs="Arial"/>
          <w:szCs w:val="20"/>
        </w:rPr>
        <w:t xml:space="preserve">This </w:t>
      </w:r>
      <w:r>
        <w:rPr>
          <w:rFonts w:eastAsia="Cambria" w:cs="Arial"/>
          <w:szCs w:val="20"/>
        </w:rPr>
        <w:t>P</w:t>
      </w:r>
      <w:r w:rsidRPr="00A914DC">
        <w:rPr>
          <w:rFonts w:eastAsia="Cambria" w:cs="Arial"/>
          <w:szCs w:val="20"/>
        </w:rPr>
        <w:t xml:space="preserve">roposal considers EU compliance with the EU Tariff Code which has a deadline to implement the changes of 31 May 2019. Price changes would apply from </w:t>
      </w:r>
      <w:r>
        <w:rPr>
          <w:rFonts w:eastAsia="Cambria" w:cs="Arial"/>
          <w:szCs w:val="20"/>
        </w:rPr>
        <w:t>0</w:t>
      </w:r>
      <w:r w:rsidRPr="00A914DC">
        <w:rPr>
          <w:rFonts w:eastAsia="Cambria" w:cs="Arial"/>
          <w:szCs w:val="20"/>
        </w:rPr>
        <w:t xml:space="preserve">1 October 2019. </w:t>
      </w:r>
    </w:p>
    <w:p w14:paraId="1FC5DECE" w14:textId="77777777" w:rsidR="00B60DC2" w:rsidRDefault="00B60DC2" w:rsidP="00B60DC2">
      <w:pPr>
        <w:pStyle w:val="ListParagraph"/>
        <w:autoSpaceDE w:val="0"/>
        <w:autoSpaceDN w:val="0"/>
        <w:adjustRightInd w:val="0"/>
        <w:ind w:left="993" w:hanging="567"/>
        <w:rPr>
          <w:rFonts w:eastAsia="Cambria" w:cs="Arial"/>
          <w:szCs w:val="20"/>
        </w:rPr>
      </w:pPr>
    </w:p>
    <w:p w14:paraId="05014C53" w14:textId="77777777" w:rsidR="00B60DC2" w:rsidRDefault="00B60DC2" w:rsidP="00BD3FB5">
      <w:pPr>
        <w:pStyle w:val="ListParagraph"/>
        <w:numPr>
          <w:ilvl w:val="1"/>
          <w:numId w:val="20"/>
        </w:numPr>
        <w:autoSpaceDE w:val="0"/>
        <w:autoSpaceDN w:val="0"/>
        <w:adjustRightInd w:val="0"/>
        <w:ind w:left="993" w:hanging="567"/>
        <w:rPr>
          <w:rFonts w:eastAsia="Cambria" w:cs="Arial"/>
          <w:szCs w:val="20"/>
        </w:rPr>
      </w:pPr>
      <w:r>
        <w:rPr>
          <w:rFonts w:eastAsia="Cambria" w:cs="Arial"/>
          <w:szCs w:val="20"/>
        </w:rPr>
        <w:t>This Proposal also seeks to establish a framework for review and update</w:t>
      </w:r>
      <w:r w:rsidRPr="00B24348">
        <w:rPr>
          <w:rFonts w:eastAsia="Cambria" w:cs="Arial"/>
          <w:szCs w:val="20"/>
        </w:rPr>
        <w:t xml:space="preserve"> </w:t>
      </w:r>
      <w:r>
        <w:rPr>
          <w:rFonts w:eastAsia="Cambria" w:cs="Arial"/>
          <w:szCs w:val="20"/>
        </w:rPr>
        <w:t>of</w:t>
      </w:r>
      <w:r w:rsidRPr="00B24348">
        <w:rPr>
          <w:rFonts w:eastAsia="Cambria" w:cs="Arial"/>
          <w:szCs w:val="20"/>
        </w:rPr>
        <w:t xml:space="preserve"> key inputs to the newly established RPM </w:t>
      </w:r>
      <w:r>
        <w:rPr>
          <w:rFonts w:eastAsia="Cambria" w:cs="Arial"/>
          <w:szCs w:val="20"/>
        </w:rPr>
        <w:t xml:space="preserve">which </w:t>
      </w:r>
      <w:r w:rsidRPr="00B24348">
        <w:rPr>
          <w:rFonts w:eastAsia="Cambria" w:cs="Arial"/>
          <w:szCs w:val="20"/>
        </w:rPr>
        <w:t>will further the objectives of the RPM.</w:t>
      </w:r>
    </w:p>
    <w:p w14:paraId="1DD9BB36" w14:textId="77777777" w:rsidR="00B60DC2" w:rsidRDefault="00B60DC2" w:rsidP="00B60DC2">
      <w:pPr>
        <w:pStyle w:val="ListParagraph"/>
        <w:autoSpaceDE w:val="0"/>
        <w:autoSpaceDN w:val="0"/>
        <w:adjustRightInd w:val="0"/>
        <w:ind w:left="993" w:hanging="567"/>
        <w:rPr>
          <w:rFonts w:eastAsia="Cambria" w:cs="Arial"/>
          <w:szCs w:val="20"/>
        </w:rPr>
      </w:pPr>
    </w:p>
    <w:p w14:paraId="444045C8" w14:textId="77777777" w:rsidR="00B60DC2" w:rsidRDefault="00B60DC2" w:rsidP="00BD3FB5">
      <w:pPr>
        <w:pStyle w:val="ListParagraph"/>
        <w:numPr>
          <w:ilvl w:val="1"/>
          <w:numId w:val="20"/>
        </w:numPr>
        <w:autoSpaceDE w:val="0"/>
        <w:autoSpaceDN w:val="0"/>
        <w:adjustRightInd w:val="0"/>
        <w:ind w:left="993" w:hanging="567"/>
        <w:rPr>
          <w:rFonts w:eastAsia="Cambria" w:cs="Arial"/>
          <w:szCs w:val="20"/>
        </w:rPr>
      </w:pPr>
      <w:r w:rsidRPr="00B24348">
        <w:rPr>
          <w:rFonts w:eastAsia="Cambria" w:cs="Arial"/>
          <w:szCs w:val="20"/>
        </w:rPr>
        <w:t xml:space="preserve">This </w:t>
      </w:r>
      <w:r>
        <w:rPr>
          <w:rFonts w:eastAsia="Cambria" w:cs="Arial"/>
          <w:szCs w:val="20"/>
        </w:rPr>
        <w:t>Proposal</w:t>
      </w:r>
      <w:r w:rsidRPr="00B24348">
        <w:rPr>
          <w:rFonts w:eastAsia="Cambria" w:cs="Arial"/>
          <w:szCs w:val="20"/>
        </w:rPr>
        <w:t xml:space="preserve"> aims to simplify the </w:t>
      </w:r>
      <w:r>
        <w:rPr>
          <w:rFonts w:eastAsia="Cambria" w:cs="Arial"/>
          <w:szCs w:val="20"/>
        </w:rPr>
        <w:t xml:space="preserve">charging </w:t>
      </w:r>
      <w:r w:rsidRPr="00B24348">
        <w:rPr>
          <w:rFonts w:eastAsia="Cambria" w:cs="Arial"/>
          <w:szCs w:val="20"/>
        </w:rPr>
        <w:t>methodology, limiting aspects of the methodology whereby some charges can materially impact other charges and also eliminating the influence between Transmission and Non Transmission</w:t>
      </w:r>
      <w:r>
        <w:rPr>
          <w:rFonts w:eastAsia="Cambria" w:cs="Arial"/>
          <w:szCs w:val="20"/>
        </w:rPr>
        <w:t xml:space="preserve"> Services. </w:t>
      </w:r>
    </w:p>
    <w:p w14:paraId="70C1E55E" w14:textId="77777777" w:rsidR="00B60DC2" w:rsidRPr="006D031E" w:rsidRDefault="00B60DC2" w:rsidP="00B60DC2">
      <w:pPr>
        <w:rPr>
          <w:rFonts w:eastAsia="Cambria" w:cs="Arial"/>
          <w:b/>
          <w:szCs w:val="20"/>
        </w:rPr>
      </w:pPr>
      <w:r w:rsidRPr="006D031E">
        <w:rPr>
          <w:rFonts w:eastAsia="Cambria" w:cs="Arial"/>
          <w:b/>
          <w:szCs w:val="20"/>
        </w:rPr>
        <w:t>Forecasted Contractual Capacity</w:t>
      </w:r>
    </w:p>
    <w:p w14:paraId="59892D93" w14:textId="77777777" w:rsidR="00B60DC2" w:rsidRDefault="00B60DC2" w:rsidP="00BD3FB5">
      <w:pPr>
        <w:pStyle w:val="ListParagraph"/>
        <w:numPr>
          <w:ilvl w:val="1"/>
          <w:numId w:val="20"/>
        </w:numPr>
        <w:autoSpaceDE w:val="0"/>
        <w:autoSpaceDN w:val="0"/>
        <w:adjustRightInd w:val="0"/>
        <w:ind w:left="993" w:hanging="567"/>
        <w:rPr>
          <w:rFonts w:eastAsia="Cambria" w:cs="Arial"/>
          <w:szCs w:val="20"/>
        </w:rPr>
      </w:pPr>
      <w:r>
        <w:rPr>
          <w:rFonts w:eastAsia="Cambria" w:cs="Arial"/>
          <w:szCs w:val="20"/>
        </w:rPr>
        <w:t>If implemented, the proposed changes to the charging regime may result in changes to commercial behaviours in the procurement of capacity rights. Given this uncertainty, a transitional approach for the period commencing 01 October 2019 is proposed based on capacity values documented in the National Grid Licence.</w:t>
      </w:r>
    </w:p>
    <w:p w14:paraId="7EA645ED" w14:textId="77777777" w:rsidR="00B60DC2" w:rsidRDefault="00B60DC2" w:rsidP="00B60DC2">
      <w:pPr>
        <w:pStyle w:val="ListParagraph"/>
        <w:autoSpaceDE w:val="0"/>
        <w:autoSpaceDN w:val="0"/>
        <w:adjustRightInd w:val="0"/>
        <w:ind w:left="993"/>
        <w:rPr>
          <w:rFonts w:eastAsia="Cambria" w:cs="Arial"/>
          <w:szCs w:val="20"/>
        </w:rPr>
      </w:pPr>
    </w:p>
    <w:p w14:paraId="4BD59A05" w14:textId="5BCAD09A" w:rsidR="00B60DC2" w:rsidRPr="00207F10" w:rsidRDefault="00B60DC2" w:rsidP="00BD3FB5">
      <w:pPr>
        <w:pStyle w:val="ListParagraph"/>
        <w:numPr>
          <w:ilvl w:val="1"/>
          <w:numId w:val="20"/>
        </w:numPr>
        <w:autoSpaceDE w:val="0"/>
        <w:autoSpaceDN w:val="0"/>
        <w:adjustRightInd w:val="0"/>
        <w:ind w:left="993" w:hanging="567"/>
        <w:rPr>
          <w:rFonts w:eastAsia="Cambria" w:cs="Arial"/>
          <w:szCs w:val="20"/>
        </w:rPr>
      </w:pPr>
      <w:r w:rsidRPr="003A2592">
        <w:rPr>
          <w:rFonts w:eastAsia="Cambria" w:cs="Arial"/>
          <w:szCs w:val="20"/>
        </w:rPr>
        <w:t xml:space="preserve">Beyond </w:t>
      </w:r>
      <w:r w:rsidRPr="00207F10">
        <w:rPr>
          <w:rFonts w:eastAsia="Cambria" w:cs="Arial"/>
          <w:szCs w:val="20"/>
        </w:rPr>
        <w:t>30</w:t>
      </w:r>
      <w:r w:rsidRPr="00762BEC">
        <w:rPr>
          <w:rFonts w:eastAsia="Cambria" w:cs="Arial"/>
          <w:szCs w:val="20"/>
        </w:rPr>
        <w:t xml:space="preserve"> </w:t>
      </w:r>
      <w:r w:rsidRPr="00207F10">
        <w:rPr>
          <w:rFonts w:eastAsia="Cambria" w:cs="Arial"/>
          <w:szCs w:val="20"/>
        </w:rPr>
        <w:t>September 202</w:t>
      </w:r>
      <w:r>
        <w:rPr>
          <w:rFonts w:eastAsia="Cambria" w:cs="Arial"/>
          <w:szCs w:val="20"/>
        </w:rPr>
        <w:t>1,</w:t>
      </w:r>
      <w:r w:rsidRPr="00207F10">
        <w:rPr>
          <w:rFonts w:eastAsia="Cambria" w:cs="Arial"/>
          <w:szCs w:val="20"/>
        </w:rPr>
        <w:t xml:space="preserve"> </w:t>
      </w:r>
      <w:r>
        <w:rPr>
          <w:rFonts w:eastAsia="Cambria" w:cs="Arial"/>
          <w:szCs w:val="20"/>
        </w:rPr>
        <w:t>National Grid proposes</w:t>
      </w:r>
      <w:r w:rsidRPr="00207F10">
        <w:rPr>
          <w:rFonts w:eastAsia="Cambria" w:cs="Arial"/>
          <w:szCs w:val="20"/>
        </w:rPr>
        <w:t xml:space="preserve"> an approach that ensures FCC is reviewed annually and updates considered, and updated in </w:t>
      </w:r>
      <w:r>
        <w:rPr>
          <w:rFonts w:eastAsia="Cambria" w:cs="Arial"/>
          <w:szCs w:val="20"/>
        </w:rPr>
        <w:t xml:space="preserve">the </w:t>
      </w:r>
      <w:r w:rsidRPr="00207F10">
        <w:rPr>
          <w:rFonts w:eastAsia="Cambria" w:cs="Arial"/>
          <w:szCs w:val="20"/>
        </w:rPr>
        <w:t>appropriate</w:t>
      </w:r>
      <w:r>
        <w:rPr>
          <w:rFonts w:eastAsia="Cambria" w:cs="Arial"/>
          <w:szCs w:val="20"/>
        </w:rPr>
        <w:t xml:space="preserve"> transportation</w:t>
      </w:r>
      <w:r w:rsidRPr="00207F10">
        <w:rPr>
          <w:rFonts w:eastAsia="Cambria" w:cs="Arial"/>
          <w:szCs w:val="20"/>
        </w:rPr>
        <w:t xml:space="preserve"> charging statement</w:t>
      </w:r>
      <w:r w:rsidR="005C54AD">
        <w:rPr>
          <w:rFonts w:eastAsia="Cambria" w:cs="Arial"/>
          <w:szCs w:val="20"/>
        </w:rPr>
        <w:t xml:space="preserve"> and charging models</w:t>
      </w:r>
      <w:r>
        <w:rPr>
          <w:rFonts w:eastAsia="Cambria" w:cs="Arial"/>
          <w:szCs w:val="20"/>
        </w:rPr>
        <w:t xml:space="preserve">. This review of </w:t>
      </w:r>
      <w:r w:rsidRPr="003A2592">
        <w:rPr>
          <w:rFonts w:eastAsia="Cambria" w:cs="Arial"/>
          <w:szCs w:val="20"/>
        </w:rPr>
        <w:t xml:space="preserve">FCC </w:t>
      </w:r>
      <w:r>
        <w:rPr>
          <w:rFonts w:eastAsia="Cambria" w:cs="Arial"/>
          <w:szCs w:val="20"/>
        </w:rPr>
        <w:t xml:space="preserve">values </w:t>
      </w:r>
      <w:r w:rsidRPr="003A2592">
        <w:rPr>
          <w:rFonts w:eastAsia="Cambria" w:cs="Arial"/>
          <w:szCs w:val="20"/>
        </w:rPr>
        <w:t>will</w:t>
      </w:r>
      <w:r>
        <w:rPr>
          <w:rFonts w:eastAsia="Cambria" w:cs="Arial"/>
          <w:szCs w:val="20"/>
        </w:rPr>
        <w:t>, at an appropriate point, take account of any</w:t>
      </w:r>
      <w:r w:rsidRPr="003A2592">
        <w:rPr>
          <w:rFonts w:eastAsia="Cambria" w:cs="Arial"/>
          <w:szCs w:val="20"/>
        </w:rPr>
        <w:t xml:space="preserve"> behavioural changes </w:t>
      </w:r>
      <w:r>
        <w:rPr>
          <w:rFonts w:eastAsia="Cambria" w:cs="Arial"/>
          <w:szCs w:val="20"/>
        </w:rPr>
        <w:t xml:space="preserve">in capacity procurement observed </w:t>
      </w:r>
      <w:r w:rsidRPr="003A2592">
        <w:rPr>
          <w:rFonts w:eastAsia="Cambria" w:cs="Arial"/>
          <w:szCs w:val="20"/>
        </w:rPr>
        <w:t xml:space="preserve">under the </w:t>
      </w:r>
      <w:r>
        <w:rPr>
          <w:rFonts w:eastAsia="Cambria" w:cs="Arial"/>
          <w:szCs w:val="20"/>
        </w:rPr>
        <w:t xml:space="preserve">revised </w:t>
      </w:r>
      <w:r w:rsidRPr="003A2592">
        <w:rPr>
          <w:rFonts w:eastAsia="Cambria" w:cs="Arial"/>
          <w:szCs w:val="20"/>
        </w:rPr>
        <w:t xml:space="preserve">charging regime </w:t>
      </w:r>
      <w:r>
        <w:rPr>
          <w:rFonts w:eastAsia="Cambria" w:cs="Arial"/>
          <w:szCs w:val="20"/>
        </w:rPr>
        <w:t xml:space="preserve">with the aim of aligning </w:t>
      </w:r>
      <w:r w:rsidRPr="003A2592">
        <w:rPr>
          <w:rFonts w:eastAsia="Cambria" w:cs="Arial"/>
          <w:szCs w:val="20"/>
        </w:rPr>
        <w:t xml:space="preserve">the FCC closer to </w:t>
      </w:r>
      <w:r>
        <w:rPr>
          <w:rFonts w:eastAsia="Cambria" w:cs="Arial"/>
          <w:szCs w:val="20"/>
        </w:rPr>
        <w:t xml:space="preserve">actual </w:t>
      </w:r>
      <w:r w:rsidRPr="003A2592">
        <w:rPr>
          <w:rFonts w:eastAsia="Cambria" w:cs="Arial"/>
          <w:szCs w:val="20"/>
        </w:rPr>
        <w:t>bookings.</w:t>
      </w:r>
      <w:r w:rsidR="00A32ABD">
        <w:rPr>
          <w:rFonts w:eastAsia="Cambria" w:cs="Arial"/>
          <w:szCs w:val="20"/>
        </w:rPr>
        <w:t xml:space="preserve"> At the same time the FCC is reviewed and updated, beyond 30 September 2021, there will be an additional adjustment to the reserve prices in order to account for the anticipated under collection driven by the application of any discounts (e.g. interruptible and specific capacity discounts). </w:t>
      </w:r>
    </w:p>
    <w:p w14:paraId="5C8294A5" w14:textId="77777777" w:rsidR="00B60DC2" w:rsidRPr="006D031E" w:rsidRDefault="00B60DC2" w:rsidP="00B60DC2">
      <w:pPr>
        <w:tabs>
          <w:tab w:val="left" w:pos="851"/>
        </w:tabs>
        <w:autoSpaceDE w:val="0"/>
        <w:autoSpaceDN w:val="0"/>
        <w:adjustRightInd w:val="0"/>
        <w:rPr>
          <w:rFonts w:eastAsia="Cambria" w:cs="Arial"/>
          <w:b/>
          <w:szCs w:val="20"/>
        </w:rPr>
      </w:pPr>
      <w:r>
        <w:rPr>
          <w:rFonts w:eastAsia="Cambria" w:cs="Arial"/>
          <w:b/>
          <w:szCs w:val="20"/>
        </w:rPr>
        <w:t>Multipliers</w:t>
      </w:r>
      <w:r w:rsidRPr="006D031E">
        <w:rPr>
          <w:rFonts w:eastAsia="Cambria" w:cs="Arial"/>
          <w:b/>
          <w:szCs w:val="20"/>
        </w:rPr>
        <w:t xml:space="preserve"> </w:t>
      </w:r>
    </w:p>
    <w:p w14:paraId="188D6E30" w14:textId="77777777" w:rsidR="00B60DC2" w:rsidRDefault="00B60DC2" w:rsidP="00BD3FB5">
      <w:pPr>
        <w:pStyle w:val="ListParagraph"/>
        <w:numPr>
          <w:ilvl w:val="1"/>
          <w:numId w:val="20"/>
        </w:numPr>
        <w:tabs>
          <w:tab w:val="left" w:pos="993"/>
        </w:tabs>
        <w:autoSpaceDE w:val="0"/>
        <w:autoSpaceDN w:val="0"/>
        <w:adjustRightInd w:val="0"/>
        <w:ind w:left="993" w:hanging="567"/>
        <w:rPr>
          <w:rFonts w:eastAsia="Cambria" w:cs="Arial"/>
          <w:szCs w:val="20"/>
        </w:rPr>
      </w:pPr>
      <w:r>
        <w:rPr>
          <w:rFonts w:eastAsia="Cambria" w:cs="Arial"/>
          <w:szCs w:val="20"/>
        </w:rPr>
        <w:t xml:space="preserve">Adjustments </w:t>
      </w:r>
      <w:r w:rsidRPr="000717D9">
        <w:rPr>
          <w:rFonts w:eastAsia="Cambria" w:cs="Arial"/>
          <w:szCs w:val="20"/>
        </w:rPr>
        <w:t xml:space="preserve">or separate charges can be applied in the calculation of the Entry and Exit Capacity Reserve Prices. These can serve a number of functions such as to acknowledge any potential risk associated </w:t>
      </w:r>
      <w:r>
        <w:rPr>
          <w:rFonts w:eastAsia="Cambria" w:cs="Arial"/>
          <w:szCs w:val="20"/>
        </w:rPr>
        <w:t>with</w:t>
      </w:r>
      <w:r w:rsidRPr="000717D9">
        <w:rPr>
          <w:rFonts w:eastAsia="Cambria" w:cs="Arial"/>
          <w:szCs w:val="20"/>
        </w:rPr>
        <w:t xml:space="preserve"> the type of Entry or Exit Capacity, to facilitate the recovery of revenues where relevant or beneficial to do so</w:t>
      </w:r>
      <w:r>
        <w:rPr>
          <w:rFonts w:eastAsia="Cambria" w:cs="Arial"/>
          <w:szCs w:val="20"/>
        </w:rPr>
        <w:t>, and</w:t>
      </w:r>
      <w:r w:rsidRPr="000717D9">
        <w:rPr>
          <w:rFonts w:eastAsia="Cambria" w:cs="Arial"/>
          <w:szCs w:val="20"/>
        </w:rPr>
        <w:t xml:space="preserve"> to encourage behaviours along with ensuring National Grid fulfils </w:t>
      </w:r>
      <w:r>
        <w:rPr>
          <w:rFonts w:eastAsia="Cambria" w:cs="Arial"/>
          <w:szCs w:val="20"/>
        </w:rPr>
        <w:t xml:space="preserve">any </w:t>
      </w:r>
      <w:r w:rsidRPr="000717D9">
        <w:rPr>
          <w:rFonts w:eastAsia="Cambria" w:cs="Arial"/>
          <w:szCs w:val="20"/>
        </w:rPr>
        <w:t>relevant obligations.</w:t>
      </w:r>
    </w:p>
    <w:p w14:paraId="04C8DEAA" w14:textId="77777777" w:rsidR="00B60DC2" w:rsidRDefault="00B60DC2" w:rsidP="00B60DC2">
      <w:pPr>
        <w:pStyle w:val="ListParagraph"/>
        <w:tabs>
          <w:tab w:val="left" w:pos="993"/>
        </w:tabs>
        <w:autoSpaceDE w:val="0"/>
        <w:autoSpaceDN w:val="0"/>
        <w:adjustRightInd w:val="0"/>
        <w:ind w:left="792"/>
        <w:rPr>
          <w:rFonts w:eastAsia="Cambria" w:cs="Arial"/>
          <w:szCs w:val="20"/>
        </w:rPr>
      </w:pPr>
    </w:p>
    <w:p w14:paraId="2912CE37" w14:textId="77777777" w:rsidR="00B60DC2" w:rsidRDefault="00B60DC2" w:rsidP="00BD3FB5">
      <w:pPr>
        <w:pStyle w:val="ListParagraph"/>
        <w:numPr>
          <w:ilvl w:val="1"/>
          <w:numId w:val="20"/>
        </w:numPr>
        <w:tabs>
          <w:tab w:val="left" w:pos="993"/>
        </w:tabs>
        <w:autoSpaceDE w:val="0"/>
        <w:autoSpaceDN w:val="0"/>
        <w:adjustRightInd w:val="0"/>
        <w:ind w:left="993" w:hanging="567"/>
        <w:rPr>
          <w:rFonts w:eastAsia="Cambria" w:cs="Arial"/>
          <w:szCs w:val="20"/>
        </w:rPr>
      </w:pPr>
      <w:r w:rsidRPr="00762BEC">
        <w:rPr>
          <w:rFonts w:eastAsia="Cambria" w:cs="Arial"/>
          <w:szCs w:val="20"/>
        </w:rPr>
        <w:t>Multipliers are applied to the Reference Price to produce the Reserve Price</w:t>
      </w:r>
      <w:r>
        <w:rPr>
          <w:rFonts w:eastAsia="Cambria" w:cs="Arial"/>
          <w:szCs w:val="20"/>
        </w:rPr>
        <w:t>. U</w:t>
      </w:r>
      <w:r w:rsidRPr="007341C6">
        <w:rPr>
          <w:rFonts w:eastAsia="Cambria" w:cs="Arial"/>
          <w:szCs w:val="20"/>
        </w:rPr>
        <w:t>nder the EU Tariff code (Article 13)</w:t>
      </w:r>
      <w:r>
        <w:rPr>
          <w:rFonts w:eastAsia="Cambria" w:cs="Arial"/>
          <w:szCs w:val="20"/>
        </w:rPr>
        <w:t>,</w:t>
      </w:r>
      <w:r w:rsidRPr="007341C6">
        <w:rPr>
          <w:rFonts w:eastAsia="Cambria" w:cs="Arial"/>
          <w:szCs w:val="20"/>
        </w:rPr>
        <w:t xml:space="preserve"> </w:t>
      </w:r>
      <w:r>
        <w:rPr>
          <w:rFonts w:eastAsia="Cambria" w:cs="Arial"/>
          <w:szCs w:val="20"/>
        </w:rPr>
        <w:t xml:space="preserve">the Multipliers </w:t>
      </w:r>
      <w:r w:rsidRPr="007341C6">
        <w:rPr>
          <w:rFonts w:eastAsia="Cambria" w:cs="Arial"/>
          <w:szCs w:val="20"/>
        </w:rPr>
        <w:t xml:space="preserve">for Interconnection Point (IP) quarterly standard capacity products and for IP monthly standard capacity products </w:t>
      </w:r>
      <w:r>
        <w:rPr>
          <w:rFonts w:eastAsia="Cambria" w:cs="Arial"/>
          <w:szCs w:val="20"/>
        </w:rPr>
        <w:t xml:space="preserve">should be </w:t>
      </w:r>
      <w:r w:rsidRPr="007341C6">
        <w:rPr>
          <w:rFonts w:eastAsia="Cambria" w:cs="Arial"/>
          <w:szCs w:val="20"/>
        </w:rPr>
        <w:t>no less than 1 and no more than 1.5</w:t>
      </w:r>
      <w:r>
        <w:rPr>
          <w:rFonts w:eastAsia="Cambria" w:cs="Arial"/>
          <w:szCs w:val="20"/>
        </w:rPr>
        <w:t>. F</w:t>
      </w:r>
      <w:r w:rsidRPr="007341C6">
        <w:rPr>
          <w:rFonts w:eastAsia="Cambria" w:cs="Arial"/>
          <w:szCs w:val="20"/>
        </w:rPr>
        <w:t>or IP daily standard capacity products and IP within-day standard capacity products</w:t>
      </w:r>
      <w:r>
        <w:rPr>
          <w:rFonts w:eastAsia="Cambria" w:cs="Arial"/>
          <w:szCs w:val="20"/>
        </w:rPr>
        <w:t>, the Multipliers should be</w:t>
      </w:r>
      <w:r w:rsidRPr="007341C6">
        <w:rPr>
          <w:rFonts w:eastAsia="Cambria" w:cs="Arial"/>
          <w:szCs w:val="20"/>
        </w:rPr>
        <w:t xml:space="preserve"> no less than 1 and no more than 3. For the IP daily </w:t>
      </w:r>
      <w:r w:rsidRPr="007341C6">
        <w:rPr>
          <w:rFonts w:eastAsia="Cambria" w:cs="Arial"/>
          <w:szCs w:val="20"/>
        </w:rPr>
        <w:lastRenderedPageBreak/>
        <w:t>standard capacity products and IP within-day standard capacity products</w:t>
      </w:r>
      <w:r>
        <w:rPr>
          <w:rFonts w:eastAsia="Cambria" w:cs="Arial"/>
          <w:szCs w:val="20"/>
        </w:rPr>
        <w:t>,</w:t>
      </w:r>
      <w:r w:rsidRPr="007341C6">
        <w:rPr>
          <w:rFonts w:eastAsia="Cambria" w:cs="Arial"/>
          <w:szCs w:val="20"/>
        </w:rPr>
        <w:t xml:space="preserve"> the multipliers may be less than 1 but higher than 0 or higher than 3, where duly justified.</w:t>
      </w:r>
    </w:p>
    <w:p w14:paraId="517DDF22" w14:textId="77777777" w:rsidR="00B60DC2" w:rsidRDefault="00B60DC2" w:rsidP="00B60DC2">
      <w:pPr>
        <w:pStyle w:val="ListParagraph"/>
        <w:tabs>
          <w:tab w:val="left" w:pos="993"/>
        </w:tabs>
        <w:autoSpaceDE w:val="0"/>
        <w:autoSpaceDN w:val="0"/>
        <w:adjustRightInd w:val="0"/>
        <w:ind w:left="993"/>
        <w:rPr>
          <w:rFonts w:eastAsia="Cambria" w:cs="Arial"/>
          <w:szCs w:val="20"/>
        </w:rPr>
      </w:pPr>
    </w:p>
    <w:p w14:paraId="64E5FC4F" w14:textId="7DB1353F" w:rsidR="00B60DC2" w:rsidRDefault="00B60DC2" w:rsidP="00BD3FB5">
      <w:pPr>
        <w:pStyle w:val="ListParagraph"/>
        <w:numPr>
          <w:ilvl w:val="1"/>
          <w:numId w:val="20"/>
        </w:numPr>
        <w:tabs>
          <w:tab w:val="left" w:pos="851"/>
        </w:tabs>
        <w:autoSpaceDE w:val="0"/>
        <w:autoSpaceDN w:val="0"/>
        <w:adjustRightInd w:val="0"/>
        <w:ind w:left="993" w:hanging="567"/>
        <w:rPr>
          <w:rFonts w:eastAsia="Cambria" w:cs="Arial"/>
          <w:szCs w:val="20"/>
        </w:rPr>
      </w:pPr>
      <w:r w:rsidRPr="00BC37E9">
        <w:rPr>
          <w:rFonts w:eastAsia="Cambria" w:cs="Arial"/>
          <w:szCs w:val="20"/>
        </w:rPr>
        <w:t>Beyond 30 September 2020</w:t>
      </w:r>
      <w:r>
        <w:rPr>
          <w:rFonts w:eastAsia="Cambria" w:cs="Arial"/>
          <w:szCs w:val="20"/>
        </w:rPr>
        <w:t xml:space="preserve">, </w:t>
      </w:r>
      <w:r w:rsidRPr="003A2592">
        <w:rPr>
          <w:rFonts w:eastAsia="Cambria" w:cs="Arial"/>
          <w:szCs w:val="20"/>
        </w:rPr>
        <w:t>Multipliers for IPs need to be consulted on each year (</w:t>
      </w:r>
      <w:r>
        <w:rPr>
          <w:rFonts w:eastAsia="Cambria" w:cs="Arial"/>
          <w:szCs w:val="20"/>
        </w:rPr>
        <w:t xml:space="preserve">as per </w:t>
      </w:r>
      <w:r w:rsidRPr="003A2592">
        <w:rPr>
          <w:rFonts w:eastAsia="Cambria" w:cs="Arial"/>
          <w:szCs w:val="20"/>
        </w:rPr>
        <w:t>Article 28 of the EU Tariff code).</w:t>
      </w:r>
      <w:r w:rsidRPr="00207F10">
        <w:rPr>
          <w:rFonts w:eastAsia="Cambria" w:cs="Arial"/>
          <w:szCs w:val="20"/>
        </w:rPr>
        <w:t xml:space="preserve"> </w:t>
      </w:r>
    </w:p>
    <w:p w14:paraId="5E147A36" w14:textId="77777777" w:rsidR="0097576F" w:rsidRDefault="0097576F" w:rsidP="0097576F">
      <w:pPr>
        <w:tabs>
          <w:tab w:val="left" w:pos="851"/>
        </w:tabs>
        <w:autoSpaceDE w:val="0"/>
        <w:autoSpaceDN w:val="0"/>
        <w:adjustRightInd w:val="0"/>
        <w:jc w:val="both"/>
        <w:rPr>
          <w:rFonts w:eastAsia="Cambria" w:cs="Arial"/>
          <w:b/>
          <w:szCs w:val="20"/>
        </w:rPr>
      </w:pPr>
    </w:p>
    <w:p w14:paraId="660D3E2F" w14:textId="77777777" w:rsidR="00B60DC2" w:rsidRPr="006A4545" w:rsidRDefault="00B60DC2" w:rsidP="0097576F">
      <w:pPr>
        <w:tabs>
          <w:tab w:val="left" w:pos="851"/>
        </w:tabs>
        <w:autoSpaceDE w:val="0"/>
        <w:autoSpaceDN w:val="0"/>
        <w:adjustRightInd w:val="0"/>
        <w:jc w:val="both"/>
        <w:rPr>
          <w:rFonts w:eastAsia="Cambria" w:cs="Arial"/>
          <w:b/>
          <w:szCs w:val="20"/>
        </w:rPr>
      </w:pPr>
      <w:r w:rsidRPr="006D031E">
        <w:rPr>
          <w:rFonts w:eastAsia="Cambria" w:cs="Arial"/>
          <w:b/>
          <w:szCs w:val="20"/>
        </w:rPr>
        <w:t>Discounts</w:t>
      </w:r>
    </w:p>
    <w:p w14:paraId="251788F6" w14:textId="3586C76C" w:rsidR="00B60DC2" w:rsidRDefault="00B60DC2" w:rsidP="00BD3FB5">
      <w:pPr>
        <w:pStyle w:val="ListParagraph"/>
        <w:numPr>
          <w:ilvl w:val="1"/>
          <w:numId w:val="20"/>
        </w:numPr>
        <w:tabs>
          <w:tab w:val="left" w:pos="993"/>
        </w:tabs>
        <w:autoSpaceDE w:val="0"/>
        <w:autoSpaceDN w:val="0"/>
        <w:adjustRightInd w:val="0"/>
        <w:ind w:left="993" w:hanging="567"/>
        <w:rPr>
          <w:rFonts w:eastAsia="Cambria" w:cs="Arial"/>
          <w:szCs w:val="20"/>
        </w:rPr>
      </w:pPr>
      <w:r w:rsidRPr="00664520">
        <w:rPr>
          <w:rFonts w:eastAsia="Cambria" w:cs="Arial"/>
          <w:szCs w:val="20"/>
        </w:rPr>
        <w:t>The pricing of Interruptible</w:t>
      </w:r>
      <w:r w:rsidR="006D6155">
        <w:rPr>
          <w:rFonts w:eastAsia="Cambria" w:cs="Arial"/>
          <w:szCs w:val="20"/>
        </w:rPr>
        <w:t xml:space="preserve"> (Entry)</w:t>
      </w:r>
      <w:r>
        <w:rPr>
          <w:rFonts w:eastAsia="Cambria" w:cs="Arial"/>
          <w:szCs w:val="20"/>
        </w:rPr>
        <w:t xml:space="preserve"> / off-peak</w:t>
      </w:r>
      <w:r w:rsidRPr="00664520">
        <w:rPr>
          <w:rFonts w:eastAsia="Cambria" w:cs="Arial"/>
          <w:szCs w:val="20"/>
        </w:rPr>
        <w:t xml:space="preserve"> </w:t>
      </w:r>
      <w:r w:rsidR="006D6155">
        <w:rPr>
          <w:rFonts w:eastAsia="Cambria" w:cs="Arial"/>
          <w:szCs w:val="20"/>
        </w:rPr>
        <w:t xml:space="preserve">(Exit) </w:t>
      </w:r>
      <w:r w:rsidRPr="00664520">
        <w:rPr>
          <w:rFonts w:eastAsia="Cambria" w:cs="Arial"/>
          <w:szCs w:val="20"/>
        </w:rPr>
        <w:t>capacity</w:t>
      </w:r>
      <w:r>
        <w:rPr>
          <w:rFonts w:eastAsia="Cambria" w:cs="Arial"/>
          <w:szCs w:val="20"/>
        </w:rPr>
        <w:t xml:space="preserve"> </w:t>
      </w:r>
      <w:r w:rsidRPr="00664520">
        <w:rPr>
          <w:rFonts w:eastAsia="Cambria" w:cs="Arial"/>
          <w:szCs w:val="20"/>
        </w:rPr>
        <w:t>will change from the current pricing approach</w:t>
      </w:r>
      <w:r>
        <w:rPr>
          <w:rFonts w:eastAsia="Cambria" w:cs="Arial"/>
          <w:szCs w:val="20"/>
        </w:rPr>
        <w:t xml:space="preserve">. </w:t>
      </w:r>
    </w:p>
    <w:p w14:paraId="12EE10D3" w14:textId="77777777" w:rsidR="00B60DC2" w:rsidRDefault="00B60DC2" w:rsidP="00B60DC2">
      <w:pPr>
        <w:pStyle w:val="ListParagraph"/>
        <w:tabs>
          <w:tab w:val="left" w:pos="993"/>
        </w:tabs>
        <w:autoSpaceDE w:val="0"/>
        <w:autoSpaceDN w:val="0"/>
        <w:adjustRightInd w:val="0"/>
        <w:ind w:left="993"/>
        <w:rPr>
          <w:rFonts w:eastAsia="Cambria" w:cs="Arial"/>
          <w:szCs w:val="20"/>
        </w:rPr>
      </w:pPr>
      <w:r>
        <w:rPr>
          <w:rFonts w:eastAsia="Cambria" w:cs="Arial"/>
          <w:szCs w:val="20"/>
        </w:rPr>
        <w:t xml:space="preserve">It </w:t>
      </w:r>
      <w:r w:rsidRPr="007341C6">
        <w:rPr>
          <w:rFonts w:eastAsia="Cambria" w:cs="Arial"/>
          <w:szCs w:val="20"/>
        </w:rPr>
        <w:t>will be consistent with the EU Tariff Code Article 16 and applied to all points.</w:t>
      </w:r>
      <w:r>
        <w:rPr>
          <w:rFonts w:eastAsia="Cambria" w:cs="Arial"/>
          <w:szCs w:val="20"/>
        </w:rPr>
        <w:t xml:space="preserve"> </w:t>
      </w:r>
      <w:r w:rsidRPr="00664520">
        <w:rPr>
          <w:rFonts w:eastAsia="Cambria" w:cs="Arial"/>
          <w:szCs w:val="20"/>
        </w:rPr>
        <w:t xml:space="preserve">The changes proposed permit an adjustment to the relevant firm entry or exit </w:t>
      </w:r>
      <w:r>
        <w:rPr>
          <w:rFonts w:eastAsia="Cambria" w:cs="Arial"/>
          <w:szCs w:val="20"/>
        </w:rPr>
        <w:t>R</w:t>
      </w:r>
      <w:r w:rsidRPr="00664520">
        <w:rPr>
          <w:rFonts w:eastAsia="Cambria" w:cs="Arial"/>
          <w:szCs w:val="20"/>
        </w:rPr>
        <w:t xml:space="preserve">eserve </w:t>
      </w:r>
      <w:r>
        <w:rPr>
          <w:rFonts w:eastAsia="Cambria" w:cs="Arial"/>
          <w:szCs w:val="20"/>
        </w:rPr>
        <w:t>P</w:t>
      </w:r>
      <w:r w:rsidRPr="00664520">
        <w:rPr>
          <w:rFonts w:eastAsia="Cambria" w:cs="Arial"/>
          <w:szCs w:val="20"/>
        </w:rPr>
        <w:t xml:space="preserve">rice in the calculation of a non-zero </w:t>
      </w:r>
      <w:r>
        <w:rPr>
          <w:rFonts w:eastAsia="Cambria" w:cs="Arial"/>
          <w:szCs w:val="20"/>
        </w:rPr>
        <w:t>R</w:t>
      </w:r>
      <w:r w:rsidRPr="00664520">
        <w:rPr>
          <w:rFonts w:eastAsia="Cambria" w:cs="Arial"/>
          <w:szCs w:val="20"/>
        </w:rPr>
        <w:t xml:space="preserve">eserve </w:t>
      </w:r>
      <w:r>
        <w:rPr>
          <w:rFonts w:eastAsia="Cambria" w:cs="Arial"/>
          <w:szCs w:val="20"/>
        </w:rPr>
        <w:t>P</w:t>
      </w:r>
      <w:r w:rsidRPr="00664520">
        <w:rPr>
          <w:rFonts w:eastAsia="Cambria" w:cs="Arial"/>
          <w:szCs w:val="20"/>
        </w:rPr>
        <w:t xml:space="preserve">rice and the calculation of that </w:t>
      </w:r>
      <w:r>
        <w:rPr>
          <w:rFonts w:eastAsia="Cambria" w:cs="Arial"/>
          <w:szCs w:val="20"/>
        </w:rPr>
        <w:t>R</w:t>
      </w:r>
      <w:r w:rsidRPr="00664520">
        <w:rPr>
          <w:rFonts w:eastAsia="Cambria" w:cs="Arial"/>
          <w:szCs w:val="20"/>
        </w:rPr>
        <w:t xml:space="preserve">eserve </w:t>
      </w:r>
      <w:r>
        <w:rPr>
          <w:rFonts w:eastAsia="Cambria" w:cs="Arial"/>
          <w:szCs w:val="20"/>
        </w:rPr>
        <w:t>P</w:t>
      </w:r>
      <w:r w:rsidRPr="00664520">
        <w:rPr>
          <w:rFonts w:eastAsia="Cambria" w:cs="Arial"/>
          <w:szCs w:val="20"/>
        </w:rPr>
        <w:t>rice for interruptible products</w:t>
      </w:r>
      <w:r>
        <w:rPr>
          <w:rFonts w:eastAsia="Cambria" w:cs="Arial"/>
          <w:szCs w:val="20"/>
        </w:rPr>
        <w:t>.</w:t>
      </w:r>
    </w:p>
    <w:p w14:paraId="52081EC1" w14:textId="77777777" w:rsidR="00B60DC2" w:rsidRPr="003A2592" w:rsidRDefault="00B60DC2" w:rsidP="00B60DC2">
      <w:pPr>
        <w:pStyle w:val="ListParagraph"/>
        <w:rPr>
          <w:rFonts w:eastAsia="Cambria" w:cs="Arial"/>
          <w:szCs w:val="20"/>
        </w:rPr>
      </w:pPr>
    </w:p>
    <w:p w14:paraId="1C90C37B" w14:textId="77777777" w:rsidR="00B60DC2" w:rsidRDefault="00B60DC2" w:rsidP="00BD3FB5">
      <w:pPr>
        <w:pStyle w:val="ListParagraph"/>
        <w:numPr>
          <w:ilvl w:val="1"/>
          <w:numId w:val="20"/>
        </w:numPr>
        <w:tabs>
          <w:tab w:val="left" w:pos="993"/>
        </w:tabs>
        <w:autoSpaceDE w:val="0"/>
        <w:autoSpaceDN w:val="0"/>
        <w:adjustRightInd w:val="0"/>
        <w:ind w:left="993" w:hanging="567"/>
        <w:rPr>
          <w:rFonts w:eastAsia="Cambria" w:cs="Arial"/>
          <w:szCs w:val="20"/>
        </w:rPr>
      </w:pPr>
      <w:r w:rsidRPr="00664520">
        <w:rPr>
          <w:rFonts w:eastAsia="Cambria" w:cs="Arial"/>
          <w:szCs w:val="20"/>
        </w:rPr>
        <w:t>The adjustment applied will be proportional to the probability of interruption and will be forward looking based upon an expectation of interruption over the coming year. An adjustment factor (</w:t>
      </w:r>
      <w:r>
        <w:rPr>
          <w:rFonts w:eastAsia="Cambria" w:cs="Arial"/>
          <w:szCs w:val="20"/>
        </w:rPr>
        <w:t>‘</w:t>
      </w:r>
      <w:r w:rsidRPr="00664520">
        <w:rPr>
          <w:rFonts w:eastAsia="Cambria" w:cs="Arial"/>
          <w:szCs w:val="20"/>
        </w:rPr>
        <w:t>A</w:t>
      </w:r>
      <w:r>
        <w:rPr>
          <w:rFonts w:eastAsia="Cambria" w:cs="Arial"/>
          <w:szCs w:val="20"/>
        </w:rPr>
        <w:t>’</w:t>
      </w:r>
      <w:r w:rsidRPr="00664520">
        <w:rPr>
          <w:rFonts w:eastAsia="Cambria" w:cs="Arial"/>
          <w:szCs w:val="20"/>
        </w:rPr>
        <w:t xml:space="preserve"> factor) may also be applied to reflect the estimated economic value of the product which will be </w:t>
      </w:r>
      <w:r>
        <w:rPr>
          <w:rFonts w:eastAsia="Cambria" w:cs="Arial"/>
          <w:szCs w:val="20"/>
        </w:rPr>
        <w:t>factored into the assessment</w:t>
      </w:r>
      <w:r w:rsidRPr="00664520">
        <w:rPr>
          <w:rFonts w:eastAsia="Cambria" w:cs="Arial"/>
          <w:szCs w:val="20"/>
        </w:rPr>
        <w:t>. Together</w:t>
      </w:r>
      <w:r>
        <w:rPr>
          <w:rFonts w:eastAsia="Cambria" w:cs="Arial"/>
          <w:szCs w:val="20"/>
        </w:rPr>
        <w:t>,</w:t>
      </w:r>
      <w:r w:rsidRPr="00664520">
        <w:rPr>
          <w:rFonts w:eastAsia="Cambria" w:cs="Arial"/>
          <w:szCs w:val="20"/>
        </w:rPr>
        <w:t xml:space="preserve"> the probability of interruption and the </w:t>
      </w:r>
      <w:r>
        <w:rPr>
          <w:rFonts w:eastAsia="Cambria" w:cs="Arial"/>
          <w:szCs w:val="20"/>
        </w:rPr>
        <w:t>‘A’</w:t>
      </w:r>
      <w:r w:rsidRPr="00664520">
        <w:rPr>
          <w:rFonts w:eastAsia="Cambria" w:cs="Arial"/>
          <w:szCs w:val="20"/>
        </w:rPr>
        <w:t xml:space="preserve"> factor make up the adjustment to be applied to the</w:t>
      </w:r>
      <w:r>
        <w:rPr>
          <w:rFonts w:eastAsia="Cambria" w:cs="Arial"/>
          <w:szCs w:val="20"/>
        </w:rPr>
        <w:t xml:space="preserve"> Reserve</w:t>
      </w:r>
      <w:r w:rsidRPr="00664520">
        <w:rPr>
          <w:rFonts w:eastAsia="Cambria" w:cs="Arial"/>
          <w:szCs w:val="20"/>
        </w:rPr>
        <w:t xml:space="preserve"> </w:t>
      </w:r>
      <w:r>
        <w:rPr>
          <w:rFonts w:eastAsia="Cambria" w:cs="Arial"/>
          <w:szCs w:val="20"/>
        </w:rPr>
        <w:t>P</w:t>
      </w:r>
      <w:r w:rsidRPr="00664520">
        <w:rPr>
          <w:rFonts w:eastAsia="Cambria" w:cs="Arial"/>
          <w:szCs w:val="20"/>
        </w:rPr>
        <w:t xml:space="preserve">rice of the equivalent standard firm capacity product. </w:t>
      </w:r>
    </w:p>
    <w:p w14:paraId="78A818B3" w14:textId="77777777" w:rsidR="00B60DC2" w:rsidRPr="00F03BFA" w:rsidRDefault="00B60DC2" w:rsidP="00B60DC2">
      <w:pPr>
        <w:pStyle w:val="ListParagraph"/>
        <w:rPr>
          <w:rFonts w:eastAsia="Cambria" w:cs="Arial"/>
          <w:szCs w:val="20"/>
        </w:rPr>
      </w:pPr>
    </w:p>
    <w:p w14:paraId="63C8951E" w14:textId="77777777" w:rsidR="00B60DC2" w:rsidRPr="0014449A" w:rsidRDefault="00B60DC2" w:rsidP="00BD3FB5">
      <w:pPr>
        <w:pStyle w:val="ListParagraph"/>
        <w:numPr>
          <w:ilvl w:val="1"/>
          <w:numId w:val="20"/>
        </w:numPr>
        <w:tabs>
          <w:tab w:val="left" w:pos="851"/>
          <w:tab w:val="left" w:pos="993"/>
        </w:tabs>
        <w:autoSpaceDE w:val="0"/>
        <w:autoSpaceDN w:val="0"/>
        <w:adjustRightInd w:val="0"/>
        <w:ind w:left="993" w:hanging="567"/>
        <w:rPr>
          <w:rFonts w:eastAsia="Cambria" w:cs="Arial"/>
          <w:szCs w:val="20"/>
        </w:rPr>
      </w:pPr>
      <w:r w:rsidRPr="0014449A">
        <w:rPr>
          <w:rFonts w:eastAsia="Cambria" w:cs="Arial"/>
          <w:szCs w:val="20"/>
        </w:rPr>
        <w:t>Within the EU Tariff Code there are requirements to apply f</w:t>
      </w:r>
      <w:r w:rsidRPr="00615627">
        <w:rPr>
          <w:rFonts w:eastAsia="Cambria" w:cs="Arial"/>
          <w:szCs w:val="20"/>
        </w:rPr>
        <w:t>urther discounts for storage capacity, where that discount must be at least 50%. This minimum discount is specific to storage in order to avoid double charging and in recognition of the general contribution to system flexibility and security of supply of such infrastructure.</w:t>
      </w:r>
      <w:r>
        <w:rPr>
          <w:rFonts w:eastAsia="Cambria" w:cs="Arial"/>
          <w:szCs w:val="20"/>
        </w:rPr>
        <w:t xml:space="preserve"> National Grid proposes an enduring storage discount value but recognises that EU Tafiff Code requirements for the charging regime to be reviewed, as a whole, at least every 5 years. </w:t>
      </w:r>
    </w:p>
    <w:p w14:paraId="210D971D" w14:textId="77777777" w:rsidR="00B60DC2" w:rsidRDefault="00B60DC2" w:rsidP="00B60DC2">
      <w:pPr>
        <w:pStyle w:val="ListParagraph"/>
        <w:tabs>
          <w:tab w:val="left" w:pos="993"/>
        </w:tabs>
        <w:autoSpaceDE w:val="0"/>
        <w:autoSpaceDN w:val="0"/>
        <w:adjustRightInd w:val="0"/>
        <w:ind w:left="993"/>
        <w:rPr>
          <w:rFonts w:eastAsia="Cambria" w:cs="Arial"/>
          <w:szCs w:val="20"/>
        </w:rPr>
      </w:pPr>
    </w:p>
    <w:p w14:paraId="216AE6A3" w14:textId="77777777" w:rsidR="00B60DC2" w:rsidRDefault="00B60DC2" w:rsidP="00BD3FB5">
      <w:pPr>
        <w:pStyle w:val="ListParagraph"/>
        <w:numPr>
          <w:ilvl w:val="1"/>
          <w:numId w:val="20"/>
        </w:numPr>
        <w:tabs>
          <w:tab w:val="left" w:pos="993"/>
        </w:tabs>
        <w:autoSpaceDE w:val="0"/>
        <w:autoSpaceDN w:val="0"/>
        <w:adjustRightInd w:val="0"/>
        <w:ind w:left="993" w:hanging="567"/>
        <w:rPr>
          <w:rFonts w:eastAsia="Cambria" w:cs="Arial"/>
          <w:szCs w:val="20"/>
        </w:rPr>
      </w:pPr>
      <w:r>
        <w:rPr>
          <w:rFonts w:eastAsia="Cambria" w:cs="Arial"/>
          <w:szCs w:val="20"/>
        </w:rPr>
        <w:t xml:space="preserve">Any specific ‘site type’ discounts contemplated by the EU Tariff Code (Article 9) are </w:t>
      </w:r>
      <w:r w:rsidRPr="00207F10">
        <w:rPr>
          <w:rFonts w:eastAsia="Cambria" w:cs="Arial"/>
          <w:szCs w:val="20"/>
        </w:rPr>
        <w:t>applied to</w:t>
      </w:r>
      <w:r>
        <w:rPr>
          <w:rFonts w:eastAsia="Cambria" w:cs="Arial"/>
          <w:szCs w:val="20"/>
        </w:rPr>
        <w:t xml:space="preserve"> the Reserve Price to </w:t>
      </w:r>
      <w:r w:rsidRPr="00207F10">
        <w:rPr>
          <w:rFonts w:eastAsia="Cambria" w:cs="Arial"/>
          <w:szCs w:val="20"/>
        </w:rPr>
        <w:t xml:space="preserve">produce </w:t>
      </w:r>
      <w:r>
        <w:rPr>
          <w:rFonts w:eastAsia="Cambria" w:cs="Arial"/>
          <w:szCs w:val="20"/>
        </w:rPr>
        <w:t xml:space="preserve">a final </w:t>
      </w:r>
      <w:r w:rsidRPr="00207F10">
        <w:rPr>
          <w:rFonts w:eastAsia="Cambria" w:cs="Arial"/>
          <w:szCs w:val="20"/>
        </w:rPr>
        <w:t xml:space="preserve">Reserve Price for the particular </w:t>
      </w:r>
      <w:r>
        <w:rPr>
          <w:rFonts w:eastAsia="Cambria" w:cs="Arial"/>
          <w:szCs w:val="20"/>
        </w:rPr>
        <w:t xml:space="preserve">Firm </w:t>
      </w:r>
      <w:r w:rsidRPr="00207F10">
        <w:rPr>
          <w:rFonts w:eastAsia="Cambria" w:cs="Arial"/>
          <w:szCs w:val="20"/>
        </w:rPr>
        <w:t>Entry or Exit Capacity</w:t>
      </w:r>
      <w:r>
        <w:rPr>
          <w:rFonts w:eastAsia="Cambria" w:cs="Arial"/>
          <w:szCs w:val="20"/>
        </w:rPr>
        <w:t xml:space="preserve"> product at that particular point. </w:t>
      </w:r>
      <w:r w:rsidRPr="00207F10">
        <w:rPr>
          <w:rFonts w:eastAsia="Cambria" w:cs="Arial"/>
          <w:szCs w:val="20"/>
        </w:rPr>
        <w:t xml:space="preserve"> </w:t>
      </w:r>
      <w:r w:rsidRPr="00664520">
        <w:rPr>
          <w:rFonts w:eastAsia="Cambria" w:cs="Arial"/>
          <w:szCs w:val="20"/>
        </w:rPr>
        <w:t>The adjustment for Entry Points and Exit Points will be based on the value</w:t>
      </w:r>
      <w:r>
        <w:rPr>
          <w:rFonts w:eastAsia="Cambria" w:cs="Arial"/>
          <w:szCs w:val="20"/>
        </w:rPr>
        <w:t>s</w:t>
      </w:r>
      <w:r w:rsidRPr="00664520">
        <w:rPr>
          <w:rFonts w:eastAsia="Cambria" w:cs="Arial"/>
          <w:szCs w:val="20"/>
        </w:rPr>
        <w:t xml:space="preserve"> </w:t>
      </w:r>
      <w:r>
        <w:rPr>
          <w:rFonts w:eastAsia="Cambria" w:cs="Arial"/>
          <w:szCs w:val="20"/>
        </w:rPr>
        <w:t xml:space="preserve">specified </w:t>
      </w:r>
      <w:r w:rsidRPr="00664520">
        <w:rPr>
          <w:rFonts w:eastAsia="Cambria" w:cs="Arial"/>
          <w:szCs w:val="20"/>
        </w:rPr>
        <w:t xml:space="preserve">in the </w:t>
      </w:r>
      <w:r>
        <w:rPr>
          <w:rFonts w:eastAsia="Cambria" w:cs="Arial"/>
          <w:szCs w:val="20"/>
        </w:rPr>
        <w:t xml:space="preserve">Transportation </w:t>
      </w:r>
      <w:r w:rsidRPr="00664520">
        <w:rPr>
          <w:rFonts w:eastAsia="Cambria" w:cs="Arial"/>
          <w:szCs w:val="20"/>
        </w:rPr>
        <w:t>Statement</w:t>
      </w:r>
      <w:r>
        <w:rPr>
          <w:rFonts w:eastAsia="Cambria" w:cs="Arial"/>
          <w:szCs w:val="20"/>
        </w:rPr>
        <w:t xml:space="preserve"> and</w:t>
      </w:r>
      <w:r w:rsidRPr="00664520">
        <w:rPr>
          <w:rFonts w:eastAsia="Cambria" w:cs="Arial"/>
          <w:szCs w:val="20"/>
        </w:rPr>
        <w:t xml:space="preserve"> will be subject to the required </w:t>
      </w:r>
      <w:r>
        <w:rPr>
          <w:rFonts w:eastAsia="Cambria" w:cs="Arial"/>
          <w:szCs w:val="20"/>
        </w:rPr>
        <w:t xml:space="preserve">annual </w:t>
      </w:r>
      <w:r w:rsidRPr="00664520">
        <w:rPr>
          <w:rFonts w:eastAsia="Cambria" w:cs="Arial"/>
          <w:szCs w:val="20"/>
        </w:rPr>
        <w:t>consultation.</w:t>
      </w:r>
    </w:p>
    <w:p w14:paraId="1D1ED069" w14:textId="77777777" w:rsidR="00B60DC2" w:rsidRPr="00636F80" w:rsidRDefault="00B60DC2" w:rsidP="00B60DC2">
      <w:pPr>
        <w:tabs>
          <w:tab w:val="left" w:pos="851"/>
        </w:tabs>
        <w:autoSpaceDE w:val="0"/>
        <w:autoSpaceDN w:val="0"/>
        <w:adjustRightInd w:val="0"/>
        <w:rPr>
          <w:rFonts w:eastAsia="Cambria" w:cs="Arial"/>
          <w:b/>
          <w:szCs w:val="20"/>
        </w:rPr>
      </w:pPr>
      <w:r w:rsidRPr="00636F80">
        <w:rPr>
          <w:rFonts w:eastAsia="Cambria" w:cs="Arial"/>
          <w:b/>
          <w:szCs w:val="20"/>
        </w:rPr>
        <w:t>Revenue Recovery</w:t>
      </w:r>
      <w:r>
        <w:rPr>
          <w:rFonts w:eastAsia="Cambria" w:cs="Arial"/>
          <w:b/>
          <w:szCs w:val="20"/>
        </w:rPr>
        <w:t xml:space="preserve"> </w:t>
      </w:r>
    </w:p>
    <w:p w14:paraId="422E13C7" w14:textId="20FFF84D" w:rsidR="00B60DC2" w:rsidRDefault="00B60DC2" w:rsidP="00BD3FB5">
      <w:pPr>
        <w:pStyle w:val="ListParagraph"/>
        <w:numPr>
          <w:ilvl w:val="1"/>
          <w:numId w:val="20"/>
        </w:numPr>
        <w:tabs>
          <w:tab w:val="left" w:pos="993"/>
        </w:tabs>
        <w:autoSpaceDE w:val="0"/>
        <w:autoSpaceDN w:val="0"/>
        <w:adjustRightInd w:val="0"/>
        <w:ind w:left="993" w:hanging="567"/>
        <w:rPr>
          <w:rFonts w:eastAsia="Cambria" w:cs="Arial"/>
          <w:szCs w:val="20"/>
        </w:rPr>
      </w:pPr>
      <w:r>
        <w:rPr>
          <w:rFonts w:eastAsia="Cambria" w:cs="Arial"/>
          <w:szCs w:val="20"/>
        </w:rPr>
        <w:t>National Grid’s</w:t>
      </w:r>
      <w:r w:rsidRPr="00A234D7">
        <w:rPr>
          <w:rFonts w:eastAsia="Cambria" w:cs="Arial"/>
          <w:szCs w:val="20"/>
        </w:rPr>
        <w:t xml:space="preserve"> proposals</w:t>
      </w:r>
      <w:r w:rsidRPr="00DA2476">
        <w:rPr>
          <w:rFonts w:eastAsia="Cambria" w:cs="Arial"/>
          <w:szCs w:val="20"/>
        </w:rPr>
        <w:t xml:space="preserve"> incorporate a mechanism to manage the consequence of under or over recovery of revenues from Transmission Services Capacity Charges. </w:t>
      </w:r>
      <w:r>
        <w:rPr>
          <w:rFonts w:eastAsia="Cambria" w:cs="Arial"/>
          <w:szCs w:val="20"/>
        </w:rPr>
        <w:t>The approach advocated is an initial period where these Revenue Recovery charges are applied as a flow based (</w:t>
      </w:r>
      <w:r w:rsidRPr="00A234D7">
        <w:rPr>
          <w:rFonts w:eastAsia="Cambria" w:cs="Arial"/>
          <w:szCs w:val="20"/>
        </w:rPr>
        <w:t>commodity</w:t>
      </w:r>
      <w:r>
        <w:rPr>
          <w:rFonts w:eastAsia="Cambria" w:cs="Arial"/>
          <w:szCs w:val="20"/>
        </w:rPr>
        <w:t xml:space="preserve">) </w:t>
      </w:r>
      <w:r w:rsidRPr="00A234D7">
        <w:rPr>
          <w:rFonts w:eastAsia="Cambria" w:cs="Arial"/>
          <w:szCs w:val="20"/>
        </w:rPr>
        <w:t xml:space="preserve">charge </w:t>
      </w:r>
      <w:r>
        <w:rPr>
          <w:rFonts w:eastAsia="Cambria" w:cs="Arial"/>
          <w:szCs w:val="20"/>
        </w:rPr>
        <w:t>which then transitions to a capacity based charge on an enduring basis.</w:t>
      </w:r>
    </w:p>
    <w:p w14:paraId="7CB985A4" w14:textId="77777777" w:rsidR="00B60DC2" w:rsidRDefault="00B60DC2" w:rsidP="00B60DC2">
      <w:pPr>
        <w:pStyle w:val="ListParagraph"/>
        <w:tabs>
          <w:tab w:val="left" w:pos="993"/>
        </w:tabs>
        <w:autoSpaceDE w:val="0"/>
        <w:autoSpaceDN w:val="0"/>
        <w:adjustRightInd w:val="0"/>
        <w:ind w:left="993"/>
        <w:rPr>
          <w:rFonts w:eastAsia="Cambria" w:cs="Arial"/>
          <w:szCs w:val="20"/>
        </w:rPr>
      </w:pPr>
    </w:p>
    <w:p w14:paraId="7448E84D" w14:textId="77777777" w:rsidR="00B60DC2" w:rsidRPr="00DA2476" w:rsidRDefault="00B60DC2" w:rsidP="00BD3FB5">
      <w:pPr>
        <w:pStyle w:val="ListParagraph"/>
        <w:numPr>
          <w:ilvl w:val="1"/>
          <w:numId w:val="20"/>
        </w:numPr>
        <w:tabs>
          <w:tab w:val="left" w:pos="993"/>
        </w:tabs>
        <w:autoSpaceDE w:val="0"/>
        <w:autoSpaceDN w:val="0"/>
        <w:adjustRightInd w:val="0"/>
        <w:ind w:left="993" w:hanging="567"/>
        <w:rPr>
          <w:rFonts w:eastAsia="Cambria" w:cs="Arial"/>
          <w:szCs w:val="20"/>
        </w:rPr>
      </w:pPr>
      <w:r>
        <w:rPr>
          <w:rFonts w:eastAsia="Cambria" w:cs="Arial"/>
          <w:szCs w:val="20"/>
        </w:rPr>
        <w:t xml:space="preserve">Whilst National Grid recognises that use of commodity (as opposed to capacity) charges </w:t>
      </w:r>
      <w:r w:rsidRPr="00A234D7">
        <w:rPr>
          <w:rFonts w:eastAsia="Cambria" w:cs="Arial"/>
          <w:szCs w:val="20"/>
        </w:rPr>
        <w:t xml:space="preserve">must be </w:t>
      </w:r>
      <w:r>
        <w:rPr>
          <w:rFonts w:eastAsia="Cambria" w:cs="Arial"/>
          <w:szCs w:val="20"/>
        </w:rPr>
        <w:t>the</w:t>
      </w:r>
      <w:r w:rsidRPr="00A234D7">
        <w:rPr>
          <w:rFonts w:eastAsia="Cambria" w:cs="Arial"/>
          <w:szCs w:val="20"/>
        </w:rPr>
        <w:t xml:space="preserve"> exception within the overall charging</w:t>
      </w:r>
      <w:r w:rsidRPr="00DA2476">
        <w:rPr>
          <w:rFonts w:eastAsia="Cambria" w:cs="Arial"/>
          <w:szCs w:val="20"/>
        </w:rPr>
        <w:t xml:space="preserve"> proposals to be compliant with </w:t>
      </w:r>
      <w:r>
        <w:rPr>
          <w:rFonts w:eastAsia="Cambria" w:cs="Arial"/>
          <w:szCs w:val="20"/>
        </w:rPr>
        <w:t xml:space="preserve">the </w:t>
      </w:r>
      <w:r w:rsidRPr="0065262A">
        <w:rPr>
          <w:rFonts w:eastAsia="Cambria" w:cs="Arial"/>
          <w:szCs w:val="20"/>
        </w:rPr>
        <w:t>EU Tariff Code</w:t>
      </w:r>
      <w:r>
        <w:rPr>
          <w:rFonts w:eastAsia="Cambria" w:cs="Arial"/>
          <w:szCs w:val="20"/>
        </w:rPr>
        <w:t>, National Grid</w:t>
      </w:r>
      <w:r w:rsidRPr="00A234D7">
        <w:rPr>
          <w:rFonts w:eastAsia="Cambria" w:cs="Arial"/>
          <w:szCs w:val="20"/>
        </w:rPr>
        <w:t xml:space="preserve"> believe</w:t>
      </w:r>
      <w:r>
        <w:rPr>
          <w:rFonts w:eastAsia="Cambria" w:cs="Arial"/>
          <w:szCs w:val="20"/>
        </w:rPr>
        <w:t>s</w:t>
      </w:r>
      <w:r w:rsidRPr="00A234D7">
        <w:rPr>
          <w:rFonts w:eastAsia="Cambria" w:cs="Arial"/>
          <w:szCs w:val="20"/>
        </w:rPr>
        <w:t xml:space="preserve"> </w:t>
      </w:r>
      <w:r w:rsidRPr="00DA2476">
        <w:rPr>
          <w:rFonts w:eastAsia="Cambria" w:cs="Arial"/>
          <w:szCs w:val="20"/>
        </w:rPr>
        <w:t xml:space="preserve">this approach is </w:t>
      </w:r>
      <w:r>
        <w:rPr>
          <w:rFonts w:eastAsia="Cambria" w:cs="Arial"/>
          <w:szCs w:val="20"/>
        </w:rPr>
        <w:t xml:space="preserve">appropriate in this case. This is on the basis that it is </w:t>
      </w:r>
      <w:r w:rsidRPr="00A234D7">
        <w:rPr>
          <w:rFonts w:eastAsia="Cambria" w:cs="Arial"/>
          <w:szCs w:val="20"/>
        </w:rPr>
        <w:t xml:space="preserve">beneficial to managing the under or over recovery of </w:t>
      </w:r>
      <w:r>
        <w:rPr>
          <w:rFonts w:eastAsia="Cambria" w:cs="Arial"/>
          <w:szCs w:val="20"/>
        </w:rPr>
        <w:t>T</w:t>
      </w:r>
      <w:r w:rsidRPr="00A234D7">
        <w:rPr>
          <w:rFonts w:eastAsia="Cambria" w:cs="Arial"/>
          <w:szCs w:val="20"/>
        </w:rPr>
        <w:t xml:space="preserve">ransmission </w:t>
      </w:r>
      <w:r>
        <w:rPr>
          <w:rFonts w:eastAsia="Cambria" w:cs="Arial"/>
          <w:szCs w:val="20"/>
        </w:rPr>
        <w:t>S</w:t>
      </w:r>
      <w:r w:rsidRPr="00A234D7">
        <w:rPr>
          <w:rFonts w:eastAsia="Cambria" w:cs="Arial"/>
          <w:szCs w:val="20"/>
        </w:rPr>
        <w:t xml:space="preserve">ervices revenue until such time as </w:t>
      </w:r>
      <w:r>
        <w:rPr>
          <w:rFonts w:eastAsia="Cambria" w:cs="Arial"/>
          <w:szCs w:val="20"/>
        </w:rPr>
        <w:t>National Grid</w:t>
      </w:r>
      <w:r w:rsidRPr="00A234D7">
        <w:rPr>
          <w:rFonts w:eastAsia="Cambria" w:cs="Arial"/>
          <w:szCs w:val="20"/>
        </w:rPr>
        <w:t xml:space="preserve">, and industry, can have confidence in the production and use of a </w:t>
      </w:r>
      <w:r w:rsidRPr="00A234D7">
        <w:rPr>
          <w:rFonts w:eastAsia="Cambria" w:cs="Arial"/>
          <w:szCs w:val="20"/>
        </w:rPr>
        <w:lastRenderedPageBreak/>
        <w:t xml:space="preserve">capacity forecast that can be used both for the purposes of setting </w:t>
      </w:r>
      <w:r w:rsidRPr="00DA2476">
        <w:rPr>
          <w:rFonts w:eastAsia="Cambria" w:cs="Arial"/>
          <w:szCs w:val="20"/>
        </w:rPr>
        <w:t xml:space="preserve">capacity reserve prices and for managing revenue recovery, where needed. </w:t>
      </w:r>
    </w:p>
    <w:p w14:paraId="2C04B867" w14:textId="77777777" w:rsidR="00B60DC2" w:rsidRPr="0061763F" w:rsidRDefault="00B60DC2" w:rsidP="00B60DC2">
      <w:pPr>
        <w:pStyle w:val="ListParagraph"/>
        <w:tabs>
          <w:tab w:val="left" w:pos="993"/>
        </w:tabs>
        <w:autoSpaceDE w:val="0"/>
        <w:autoSpaceDN w:val="0"/>
        <w:adjustRightInd w:val="0"/>
        <w:ind w:left="993"/>
        <w:rPr>
          <w:rFonts w:eastAsia="Cambria" w:cs="Arial"/>
          <w:szCs w:val="20"/>
        </w:rPr>
      </w:pPr>
    </w:p>
    <w:p w14:paraId="4C230695" w14:textId="16E55D65" w:rsidR="00B60DC2" w:rsidRDefault="00B60DC2" w:rsidP="00BD3FB5">
      <w:pPr>
        <w:pStyle w:val="ListParagraph"/>
        <w:numPr>
          <w:ilvl w:val="1"/>
          <w:numId w:val="20"/>
        </w:numPr>
        <w:tabs>
          <w:tab w:val="left" w:pos="993"/>
        </w:tabs>
        <w:autoSpaceDE w:val="0"/>
        <w:autoSpaceDN w:val="0"/>
        <w:adjustRightInd w:val="0"/>
        <w:ind w:left="993" w:hanging="567"/>
        <w:rPr>
          <w:rFonts w:eastAsia="Cambria" w:cs="Arial"/>
          <w:szCs w:val="20"/>
        </w:rPr>
      </w:pPr>
      <w:r>
        <w:rPr>
          <w:rFonts w:eastAsia="Cambria" w:cs="Arial"/>
          <w:szCs w:val="20"/>
        </w:rPr>
        <w:t>National Grid believes that t</w:t>
      </w:r>
      <w:r w:rsidRPr="0061763F">
        <w:rPr>
          <w:rFonts w:eastAsia="Cambria" w:cs="Arial"/>
          <w:szCs w:val="20"/>
        </w:rPr>
        <w:t xml:space="preserve">he proposed transition is as short as practicable and provides a means to mitigate the risks associated with </w:t>
      </w:r>
      <w:r>
        <w:rPr>
          <w:rFonts w:eastAsia="Cambria" w:cs="Arial"/>
          <w:szCs w:val="20"/>
        </w:rPr>
        <w:t>T</w:t>
      </w:r>
      <w:r w:rsidRPr="0061763F">
        <w:rPr>
          <w:rFonts w:eastAsia="Cambria" w:cs="Arial"/>
          <w:szCs w:val="20"/>
        </w:rPr>
        <w:t xml:space="preserve">ransmission </w:t>
      </w:r>
      <w:r>
        <w:rPr>
          <w:rFonts w:eastAsia="Cambria" w:cs="Arial"/>
          <w:szCs w:val="20"/>
        </w:rPr>
        <w:t>S</w:t>
      </w:r>
      <w:r w:rsidRPr="0061763F">
        <w:rPr>
          <w:rFonts w:eastAsia="Cambria" w:cs="Arial"/>
          <w:szCs w:val="20"/>
        </w:rPr>
        <w:t xml:space="preserve">ervices revenue being wholly capacity based from </w:t>
      </w:r>
      <w:r>
        <w:rPr>
          <w:rFonts w:eastAsia="Cambria" w:cs="Arial"/>
          <w:szCs w:val="20"/>
        </w:rPr>
        <w:t xml:space="preserve">October </w:t>
      </w:r>
      <w:r w:rsidRPr="0061763F">
        <w:rPr>
          <w:rFonts w:eastAsia="Cambria" w:cs="Arial"/>
          <w:szCs w:val="20"/>
        </w:rPr>
        <w:t xml:space="preserve">2019. Without evidence of the change in behaviours for capacity bookings under the new regime, and given </w:t>
      </w:r>
      <w:r>
        <w:rPr>
          <w:rFonts w:eastAsia="Cambria" w:cs="Arial"/>
          <w:szCs w:val="20"/>
        </w:rPr>
        <w:t>National Grid’s</w:t>
      </w:r>
      <w:r w:rsidRPr="0061763F">
        <w:rPr>
          <w:rFonts w:eastAsia="Cambria" w:cs="Arial"/>
          <w:szCs w:val="20"/>
        </w:rPr>
        <w:t xml:space="preserve"> experience </w:t>
      </w:r>
      <w:r>
        <w:rPr>
          <w:rFonts w:eastAsia="Cambria" w:cs="Arial"/>
          <w:szCs w:val="20"/>
        </w:rPr>
        <w:t xml:space="preserve">to date </w:t>
      </w:r>
      <w:r w:rsidRPr="0061763F">
        <w:rPr>
          <w:rFonts w:eastAsia="Cambria" w:cs="Arial"/>
          <w:szCs w:val="20"/>
        </w:rPr>
        <w:t>in the use of commodity to manage revenue recovery, the temporary use of commodity as revenue recovery charge will be an effective way to manage the revenue under / over recovery in compliance with Article 17(1)</w:t>
      </w:r>
      <w:r>
        <w:rPr>
          <w:rFonts w:eastAsia="Cambria" w:cs="Arial"/>
          <w:szCs w:val="20"/>
        </w:rPr>
        <w:t xml:space="preserve"> of the </w:t>
      </w:r>
      <w:r w:rsidRPr="0065262A">
        <w:rPr>
          <w:rFonts w:eastAsia="Cambria" w:cs="Arial"/>
          <w:szCs w:val="20"/>
        </w:rPr>
        <w:t>EU Tariff Code</w:t>
      </w:r>
      <w:r>
        <w:rPr>
          <w:rFonts w:eastAsia="Cambria" w:cs="Arial"/>
          <w:szCs w:val="20"/>
        </w:rPr>
        <w:t xml:space="preserve">. It will also afford National Grid </w:t>
      </w:r>
      <w:r w:rsidRPr="00A14F26">
        <w:rPr>
          <w:rFonts w:eastAsia="Cambria" w:cs="Arial"/>
          <w:szCs w:val="20"/>
        </w:rPr>
        <w:t xml:space="preserve">time to develop a capacity booking forecast </w:t>
      </w:r>
      <w:r>
        <w:rPr>
          <w:rFonts w:eastAsia="Cambria" w:cs="Arial"/>
          <w:szCs w:val="20"/>
        </w:rPr>
        <w:t xml:space="preserve">capability </w:t>
      </w:r>
      <w:r w:rsidRPr="00A14F26">
        <w:rPr>
          <w:rFonts w:eastAsia="Cambria" w:cs="Arial"/>
          <w:szCs w:val="20"/>
        </w:rPr>
        <w:t xml:space="preserve">learning from </w:t>
      </w:r>
      <w:r>
        <w:rPr>
          <w:rFonts w:eastAsia="Cambria" w:cs="Arial"/>
          <w:szCs w:val="20"/>
        </w:rPr>
        <w:t>any changing capacity booking</w:t>
      </w:r>
      <w:r w:rsidRPr="00A14F26">
        <w:rPr>
          <w:rFonts w:eastAsia="Cambria" w:cs="Arial"/>
          <w:szCs w:val="20"/>
        </w:rPr>
        <w:t xml:space="preserve"> behaviours in the market.</w:t>
      </w:r>
      <w:r w:rsidRPr="0061763F">
        <w:rPr>
          <w:rFonts w:eastAsia="Cambria" w:cs="Arial"/>
          <w:szCs w:val="20"/>
        </w:rPr>
        <w:t xml:space="preserve"> </w:t>
      </w:r>
    </w:p>
    <w:p w14:paraId="76C060AF" w14:textId="77777777" w:rsidR="00B60DC2" w:rsidRPr="00A234D7" w:rsidRDefault="00B60DC2" w:rsidP="00B60DC2">
      <w:pPr>
        <w:pStyle w:val="ListParagraph"/>
        <w:rPr>
          <w:rFonts w:eastAsia="Cambria" w:cs="Arial"/>
          <w:szCs w:val="20"/>
        </w:rPr>
      </w:pPr>
    </w:p>
    <w:p w14:paraId="4D4A229E" w14:textId="77777777" w:rsidR="00B60DC2" w:rsidRDefault="00B60DC2" w:rsidP="00BD3FB5">
      <w:pPr>
        <w:pStyle w:val="ListParagraph"/>
        <w:numPr>
          <w:ilvl w:val="1"/>
          <w:numId w:val="20"/>
        </w:numPr>
        <w:tabs>
          <w:tab w:val="left" w:pos="993"/>
        </w:tabs>
        <w:autoSpaceDE w:val="0"/>
        <w:autoSpaceDN w:val="0"/>
        <w:adjustRightInd w:val="0"/>
        <w:ind w:left="993" w:hanging="567"/>
        <w:rPr>
          <w:rFonts w:eastAsia="Cambria" w:cs="Arial"/>
          <w:szCs w:val="20"/>
        </w:rPr>
      </w:pPr>
      <w:r w:rsidRPr="00A14F26">
        <w:rPr>
          <w:rFonts w:eastAsia="Cambria" w:cs="Arial"/>
          <w:szCs w:val="20"/>
        </w:rPr>
        <w:t xml:space="preserve">From </w:t>
      </w:r>
      <w:r>
        <w:rPr>
          <w:rFonts w:eastAsia="Cambria" w:cs="Arial"/>
          <w:szCs w:val="20"/>
        </w:rPr>
        <w:t xml:space="preserve">October </w:t>
      </w:r>
      <w:r w:rsidRPr="00A14F26">
        <w:rPr>
          <w:rFonts w:eastAsia="Cambria" w:cs="Arial"/>
          <w:szCs w:val="20"/>
        </w:rPr>
        <w:t xml:space="preserve">2021, the charging framework moves away from the commodity charge to a greater dependency on a capacity forecast and a significantly reduced revenue recovery charge that would be capacity based achieving 100% capacity </w:t>
      </w:r>
      <w:r>
        <w:rPr>
          <w:rFonts w:eastAsia="Cambria" w:cs="Arial"/>
          <w:szCs w:val="20"/>
        </w:rPr>
        <w:t xml:space="preserve">basis </w:t>
      </w:r>
      <w:r w:rsidRPr="00A14F26">
        <w:rPr>
          <w:rFonts w:eastAsia="Cambria" w:cs="Arial"/>
          <w:szCs w:val="20"/>
        </w:rPr>
        <w:t xml:space="preserve">for </w:t>
      </w:r>
      <w:r>
        <w:rPr>
          <w:rFonts w:eastAsia="Cambria" w:cs="Arial"/>
          <w:szCs w:val="20"/>
        </w:rPr>
        <w:t xml:space="preserve">recovery of </w:t>
      </w:r>
      <w:r w:rsidRPr="00A14F26">
        <w:rPr>
          <w:rFonts w:eastAsia="Cambria" w:cs="Arial"/>
          <w:szCs w:val="20"/>
        </w:rPr>
        <w:t>Transmission Services</w:t>
      </w:r>
      <w:r>
        <w:rPr>
          <w:rFonts w:eastAsia="Cambria" w:cs="Arial"/>
          <w:szCs w:val="20"/>
        </w:rPr>
        <w:t xml:space="preserve"> revenue.</w:t>
      </w:r>
    </w:p>
    <w:p w14:paraId="4D8A3F57" w14:textId="77777777" w:rsidR="007B791F" w:rsidRPr="007B791F" w:rsidRDefault="007B791F" w:rsidP="00AE32BC">
      <w:pPr>
        <w:pStyle w:val="ListParagraph"/>
        <w:rPr>
          <w:rFonts w:eastAsia="Cambria" w:cs="Arial"/>
          <w:szCs w:val="20"/>
        </w:rPr>
      </w:pPr>
    </w:p>
    <w:p w14:paraId="626EBE5F" w14:textId="5F65C0D3" w:rsidR="007B791F" w:rsidRDefault="007B791F" w:rsidP="00BD3FB5">
      <w:pPr>
        <w:pStyle w:val="ListParagraph"/>
        <w:numPr>
          <w:ilvl w:val="2"/>
          <w:numId w:val="20"/>
        </w:numPr>
        <w:tabs>
          <w:tab w:val="left" w:pos="993"/>
        </w:tabs>
        <w:autoSpaceDE w:val="0"/>
        <w:autoSpaceDN w:val="0"/>
        <w:adjustRightInd w:val="0"/>
        <w:rPr>
          <w:rFonts w:eastAsia="Cambria" w:cs="Arial"/>
          <w:szCs w:val="20"/>
        </w:rPr>
      </w:pPr>
      <w:r>
        <w:rPr>
          <w:rFonts w:eastAsia="Cambria" w:cs="Arial"/>
          <w:szCs w:val="20"/>
        </w:rPr>
        <w:t>From October 2021, the calculation of the capacity prices will, at the time of calculation, take into account the revenue shortfall from any discounts referred to in paragraphs 3.17 to 3.20</w:t>
      </w:r>
      <w:r w:rsidR="00AB0412">
        <w:rPr>
          <w:rFonts w:eastAsia="Cambria" w:cs="Arial"/>
          <w:szCs w:val="20"/>
        </w:rPr>
        <w:t xml:space="preserve"> of Section 3</w:t>
      </w:r>
      <w:r>
        <w:rPr>
          <w:rFonts w:eastAsia="Cambria" w:cs="Arial"/>
          <w:szCs w:val="20"/>
        </w:rPr>
        <w:t xml:space="preserve">) in order to adjust the reserve prices such that the amount forecast to be under collected as a result of these discounts is reduced. </w:t>
      </w:r>
      <w:r w:rsidR="00AE32BC">
        <w:rPr>
          <w:rFonts w:eastAsia="Cambria" w:cs="Arial"/>
          <w:szCs w:val="20"/>
        </w:rPr>
        <w:t xml:space="preserve">For the avoidance of doubt the calculation of capacity charges from </w:t>
      </w:r>
      <w:r w:rsidR="001B4701">
        <w:rPr>
          <w:rFonts w:eastAsia="Cambria" w:cs="Arial"/>
          <w:szCs w:val="20"/>
        </w:rPr>
        <w:t xml:space="preserve">1 October </w:t>
      </w:r>
      <w:r w:rsidR="00AE32BC">
        <w:rPr>
          <w:rFonts w:eastAsia="Cambria" w:cs="Arial"/>
          <w:szCs w:val="20"/>
        </w:rPr>
        <w:t xml:space="preserve">2019 </w:t>
      </w:r>
      <w:r w:rsidR="001B4701">
        <w:rPr>
          <w:rFonts w:eastAsia="Cambria" w:cs="Arial"/>
          <w:szCs w:val="20"/>
        </w:rPr>
        <w:t xml:space="preserve">to 30 September 2021 </w:t>
      </w:r>
      <w:r w:rsidR="00AE32BC">
        <w:rPr>
          <w:rFonts w:eastAsia="Cambria" w:cs="Arial"/>
          <w:szCs w:val="20"/>
        </w:rPr>
        <w:t xml:space="preserve">will not have this additional step. </w:t>
      </w:r>
    </w:p>
    <w:p w14:paraId="72FBC6EC" w14:textId="1C61AB35" w:rsidR="007B791F" w:rsidRDefault="007B791F" w:rsidP="00BD3FB5">
      <w:pPr>
        <w:pStyle w:val="ListParagraph"/>
        <w:numPr>
          <w:ilvl w:val="2"/>
          <w:numId w:val="20"/>
        </w:numPr>
        <w:tabs>
          <w:tab w:val="left" w:pos="993"/>
        </w:tabs>
        <w:autoSpaceDE w:val="0"/>
        <w:autoSpaceDN w:val="0"/>
        <w:adjustRightInd w:val="0"/>
        <w:rPr>
          <w:rFonts w:eastAsia="Cambria" w:cs="Arial"/>
          <w:szCs w:val="20"/>
        </w:rPr>
      </w:pPr>
      <w:r>
        <w:rPr>
          <w:rFonts w:eastAsia="Cambria" w:cs="Arial"/>
          <w:szCs w:val="20"/>
        </w:rPr>
        <w:t>The approach in 3.24.1</w:t>
      </w:r>
      <w:r w:rsidR="00A56D74">
        <w:rPr>
          <w:rFonts w:eastAsia="Cambria" w:cs="Arial"/>
          <w:szCs w:val="20"/>
        </w:rPr>
        <w:t>, applicable from October 2021,</w:t>
      </w:r>
      <w:r>
        <w:rPr>
          <w:rFonts w:eastAsia="Cambria" w:cs="Arial"/>
          <w:szCs w:val="20"/>
        </w:rPr>
        <w:t xml:space="preserve"> less revenue </w:t>
      </w:r>
      <w:r w:rsidR="005B4BF2">
        <w:rPr>
          <w:rFonts w:eastAsia="Cambria" w:cs="Arial"/>
          <w:szCs w:val="20"/>
        </w:rPr>
        <w:t xml:space="preserve">will be </w:t>
      </w:r>
      <w:r>
        <w:rPr>
          <w:rFonts w:eastAsia="Cambria" w:cs="Arial"/>
          <w:szCs w:val="20"/>
        </w:rPr>
        <w:t>required to be collected from the Transmission Services Revenue Recovery charges</w:t>
      </w:r>
      <w:r w:rsidR="005B4BF2">
        <w:rPr>
          <w:rFonts w:eastAsia="Cambria" w:cs="Arial"/>
          <w:szCs w:val="20"/>
        </w:rPr>
        <w:t xml:space="preserve"> than if it were not carried out</w:t>
      </w:r>
      <w:r>
        <w:rPr>
          <w:rFonts w:eastAsia="Cambria" w:cs="Arial"/>
          <w:szCs w:val="20"/>
        </w:rPr>
        <w:t xml:space="preserve">. </w:t>
      </w:r>
      <w:r w:rsidR="005B4BF2">
        <w:rPr>
          <w:rFonts w:eastAsia="Cambria" w:cs="Arial"/>
          <w:szCs w:val="20"/>
        </w:rPr>
        <w:t xml:space="preserve">It is most relevant to do this step from October 2021 at the same time as the FCC is updated. </w:t>
      </w:r>
    </w:p>
    <w:p w14:paraId="301EE9C8" w14:textId="77777777" w:rsidR="00B60DC2" w:rsidRPr="006A4545" w:rsidRDefault="00B60DC2" w:rsidP="00B60DC2">
      <w:pPr>
        <w:tabs>
          <w:tab w:val="left" w:pos="851"/>
        </w:tabs>
        <w:autoSpaceDE w:val="0"/>
        <w:autoSpaceDN w:val="0"/>
        <w:adjustRightInd w:val="0"/>
        <w:rPr>
          <w:rFonts w:eastAsia="Cambria" w:cs="Arial"/>
          <w:b/>
          <w:szCs w:val="20"/>
        </w:rPr>
      </w:pPr>
      <w:r>
        <w:rPr>
          <w:rFonts w:eastAsia="Cambria" w:cs="Arial"/>
          <w:b/>
          <w:szCs w:val="20"/>
        </w:rPr>
        <w:t>NTS Optional Charge</w:t>
      </w:r>
    </w:p>
    <w:p w14:paraId="6DAD90AD" w14:textId="29A7103F" w:rsidR="00022F95" w:rsidRDefault="00762315" w:rsidP="00BD3FB5">
      <w:pPr>
        <w:pStyle w:val="ListParagraph"/>
        <w:numPr>
          <w:ilvl w:val="1"/>
          <w:numId w:val="20"/>
        </w:numPr>
        <w:tabs>
          <w:tab w:val="left" w:pos="993"/>
        </w:tabs>
        <w:autoSpaceDE w:val="0"/>
        <w:autoSpaceDN w:val="0"/>
        <w:adjustRightInd w:val="0"/>
        <w:ind w:left="993" w:hanging="567"/>
        <w:rPr>
          <w:rFonts w:eastAsia="Cambria" w:cs="Arial"/>
          <w:szCs w:val="20"/>
        </w:rPr>
      </w:pPr>
      <w:r>
        <w:rPr>
          <w:rFonts w:eastAsia="Cambria" w:cs="Arial"/>
          <w:szCs w:val="20"/>
        </w:rPr>
        <w:t xml:space="preserve">National Grid proposes to retain a charge that discourages inefficient bypass of the NTS. The general principle is to retain an incentive to utilise the NTS rather than construct a dedicated pipeline to exit points that are sufficiently close to </w:t>
      </w:r>
      <w:r w:rsidR="000444E8">
        <w:rPr>
          <w:rFonts w:eastAsia="Cambria" w:cs="Arial"/>
          <w:szCs w:val="20"/>
        </w:rPr>
        <w:t xml:space="preserve">an entry </w:t>
      </w:r>
      <w:r>
        <w:rPr>
          <w:rFonts w:eastAsia="Cambria" w:cs="Arial"/>
          <w:szCs w:val="20"/>
        </w:rPr>
        <w:t xml:space="preserve">point. </w:t>
      </w:r>
      <w:r w:rsidR="002A1EE2">
        <w:rPr>
          <w:rFonts w:eastAsia="Cambria" w:cs="Arial"/>
          <w:szCs w:val="20"/>
        </w:rPr>
        <w:t xml:space="preserve">Such a product should consider </w:t>
      </w:r>
      <w:r w:rsidR="000147E2">
        <w:rPr>
          <w:rFonts w:eastAsia="Cambria" w:cs="Arial"/>
          <w:szCs w:val="20"/>
        </w:rPr>
        <w:t xml:space="preserve">the most appropriate method of applying such a charge and in its derivation should consider such elements as </w:t>
      </w:r>
      <w:r w:rsidR="002A1EE2">
        <w:rPr>
          <w:rFonts w:eastAsia="Cambria" w:cs="Arial"/>
          <w:szCs w:val="20"/>
        </w:rPr>
        <w:t>the cost</w:t>
      </w:r>
      <w:r w:rsidR="00826C32">
        <w:rPr>
          <w:rFonts w:eastAsia="Cambria" w:cs="Arial"/>
          <w:szCs w:val="20"/>
        </w:rPr>
        <w:t>s</w:t>
      </w:r>
      <w:r w:rsidR="002A1EE2">
        <w:rPr>
          <w:rFonts w:eastAsia="Cambria" w:cs="Arial"/>
          <w:szCs w:val="20"/>
        </w:rPr>
        <w:t xml:space="preserve"> of building an alternative pipeline and a reasonable limit over which this may be considered economic to construct</w:t>
      </w:r>
      <w:r w:rsidR="00D75231">
        <w:rPr>
          <w:rFonts w:eastAsia="Cambria" w:cs="Arial"/>
          <w:szCs w:val="20"/>
        </w:rPr>
        <w:t xml:space="preserve"> and how the charge functions with the rest of the charging framework</w:t>
      </w:r>
      <w:r w:rsidR="000147E2">
        <w:rPr>
          <w:rFonts w:eastAsia="Cambria" w:cs="Arial"/>
          <w:szCs w:val="20"/>
        </w:rPr>
        <w:t xml:space="preserve"> to be in keeping with the general principle of the NTS Optional Charge</w:t>
      </w:r>
      <w:r w:rsidR="002A1EE2">
        <w:rPr>
          <w:rFonts w:eastAsia="Cambria" w:cs="Arial"/>
          <w:szCs w:val="20"/>
        </w:rPr>
        <w:t xml:space="preserve">. </w:t>
      </w:r>
    </w:p>
    <w:p w14:paraId="6B7C00FE" w14:textId="1E1C568B" w:rsidR="00022F95" w:rsidRDefault="00B60DC2" w:rsidP="00BD3FB5">
      <w:pPr>
        <w:pStyle w:val="ListParagraph"/>
        <w:numPr>
          <w:ilvl w:val="2"/>
          <w:numId w:val="20"/>
        </w:numPr>
        <w:tabs>
          <w:tab w:val="left" w:pos="993"/>
        </w:tabs>
        <w:autoSpaceDE w:val="0"/>
        <w:autoSpaceDN w:val="0"/>
        <w:adjustRightInd w:val="0"/>
        <w:rPr>
          <w:rFonts w:eastAsia="Cambria" w:cs="Arial"/>
          <w:szCs w:val="20"/>
        </w:rPr>
      </w:pPr>
      <w:r>
        <w:rPr>
          <w:rFonts w:eastAsia="Cambria" w:cs="Arial"/>
          <w:szCs w:val="20"/>
        </w:rPr>
        <w:t>Within the transition period, National Grid proposes to effectively retain</w:t>
      </w:r>
      <w:r w:rsidR="00762315">
        <w:rPr>
          <w:rFonts w:eastAsia="Cambria" w:cs="Arial"/>
          <w:szCs w:val="20"/>
        </w:rPr>
        <w:t xml:space="preserve"> this through the use of</w:t>
      </w:r>
      <w:r>
        <w:rPr>
          <w:rFonts w:eastAsia="Cambria" w:cs="Arial"/>
          <w:szCs w:val="20"/>
        </w:rPr>
        <w:t xml:space="preserve">, in principle, the existing NTS Optional Commodity (‘NTS shorthaul’) charge as an alternative charge to the transitional flow based </w:t>
      </w:r>
      <w:r w:rsidR="003802A0">
        <w:rPr>
          <w:rFonts w:eastAsia="Cambria" w:cs="Arial"/>
          <w:szCs w:val="20"/>
        </w:rPr>
        <w:t xml:space="preserve">Transmission Services </w:t>
      </w:r>
      <w:r>
        <w:rPr>
          <w:rFonts w:eastAsia="Cambria" w:cs="Arial"/>
          <w:szCs w:val="20"/>
        </w:rPr>
        <w:t>entry and exit Revenue Recovery charges</w:t>
      </w:r>
      <w:r w:rsidR="00762315">
        <w:rPr>
          <w:rFonts w:eastAsia="Cambria" w:cs="Arial"/>
          <w:szCs w:val="20"/>
        </w:rPr>
        <w:t>.</w:t>
      </w:r>
    </w:p>
    <w:p w14:paraId="2CFB6417" w14:textId="5F6074D2" w:rsidR="00B60DC2" w:rsidRDefault="00762315" w:rsidP="00BD3FB5">
      <w:pPr>
        <w:pStyle w:val="ListParagraph"/>
        <w:numPr>
          <w:ilvl w:val="2"/>
          <w:numId w:val="20"/>
        </w:numPr>
        <w:tabs>
          <w:tab w:val="left" w:pos="993"/>
        </w:tabs>
        <w:autoSpaceDE w:val="0"/>
        <w:autoSpaceDN w:val="0"/>
        <w:adjustRightInd w:val="0"/>
        <w:rPr>
          <w:rFonts w:eastAsia="Cambria" w:cs="Arial"/>
          <w:szCs w:val="20"/>
        </w:rPr>
      </w:pPr>
      <w:r>
        <w:rPr>
          <w:rFonts w:eastAsia="Cambria" w:cs="Arial"/>
          <w:szCs w:val="20"/>
        </w:rPr>
        <w:t>W</w:t>
      </w:r>
      <w:r w:rsidR="00B60DC2">
        <w:rPr>
          <w:rFonts w:eastAsia="Cambria" w:cs="Arial"/>
          <w:szCs w:val="20"/>
        </w:rPr>
        <w:t>e continue to believe it is appropriate to dis-incentivise the construction of dedicated pipelines to exit points which are sufficiently close to an entry point.</w:t>
      </w:r>
      <w:r>
        <w:rPr>
          <w:rFonts w:eastAsia="Cambria" w:cs="Arial"/>
          <w:szCs w:val="20"/>
        </w:rPr>
        <w:t xml:space="preserve"> </w:t>
      </w:r>
    </w:p>
    <w:p w14:paraId="433B964E" w14:textId="77777777" w:rsidR="00B60DC2" w:rsidRPr="00A234D7" w:rsidRDefault="00B60DC2" w:rsidP="00B60DC2">
      <w:pPr>
        <w:pStyle w:val="ListParagraph"/>
        <w:rPr>
          <w:rFonts w:eastAsia="Cambria" w:cs="Arial"/>
          <w:szCs w:val="20"/>
        </w:rPr>
      </w:pPr>
    </w:p>
    <w:p w14:paraId="600200E8" w14:textId="29FD2C3B" w:rsidR="00B60DC2" w:rsidRDefault="00B60DC2" w:rsidP="00BD3FB5">
      <w:pPr>
        <w:pStyle w:val="ListParagraph"/>
        <w:numPr>
          <w:ilvl w:val="1"/>
          <w:numId w:val="20"/>
        </w:numPr>
        <w:tabs>
          <w:tab w:val="left" w:pos="993"/>
        </w:tabs>
        <w:autoSpaceDE w:val="0"/>
        <w:autoSpaceDN w:val="0"/>
        <w:adjustRightInd w:val="0"/>
        <w:ind w:left="993" w:hanging="567"/>
        <w:rPr>
          <w:rFonts w:eastAsia="Cambria" w:cs="Arial"/>
          <w:szCs w:val="20"/>
        </w:rPr>
      </w:pPr>
      <w:r>
        <w:rPr>
          <w:rFonts w:eastAsia="Cambria" w:cs="Arial"/>
          <w:szCs w:val="20"/>
        </w:rPr>
        <w:t>Recognising the proposed transition to an entirely capacity based Transmission Services charges in October 2021</w:t>
      </w:r>
      <w:r w:rsidR="000414BA">
        <w:rPr>
          <w:rFonts w:eastAsia="Cambria" w:cs="Arial"/>
          <w:szCs w:val="20"/>
        </w:rPr>
        <w:t xml:space="preserve"> (after the end of the transition period)</w:t>
      </w:r>
      <w:r>
        <w:rPr>
          <w:rFonts w:eastAsia="Cambria" w:cs="Arial"/>
          <w:szCs w:val="20"/>
        </w:rPr>
        <w:t xml:space="preserve">, National Grid proposes that </w:t>
      </w:r>
      <w:r w:rsidR="000414BA">
        <w:rPr>
          <w:rFonts w:eastAsia="Cambria" w:cs="Arial"/>
          <w:szCs w:val="20"/>
        </w:rPr>
        <w:t xml:space="preserve">the application of </w:t>
      </w:r>
      <w:r>
        <w:rPr>
          <w:rFonts w:eastAsia="Cambria" w:cs="Arial"/>
          <w:szCs w:val="20"/>
        </w:rPr>
        <w:t xml:space="preserve">the NTS Optional Charge </w:t>
      </w:r>
      <w:r w:rsidR="000414BA">
        <w:rPr>
          <w:rFonts w:eastAsia="Cambria" w:cs="Arial"/>
          <w:szCs w:val="20"/>
        </w:rPr>
        <w:t xml:space="preserve">as an alternative to the transition period flow </w:t>
      </w:r>
      <w:r w:rsidR="000414BA">
        <w:rPr>
          <w:rFonts w:eastAsia="Cambria" w:cs="Arial"/>
          <w:szCs w:val="20"/>
        </w:rPr>
        <w:lastRenderedPageBreak/>
        <w:t>based Transmission Services charge</w:t>
      </w:r>
      <w:r w:rsidR="00446039">
        <w:rPr>
          <w:rFonts w:eastAsia="Cambria" w:cs="Arial"/>
          <w:szCs w:val="20"/>
        </w:rPr>
        <w:t>s</w:t>
      </w:r>
      <w:r w:rsidR="000414BA">
        <w:rPr>
          <w:rFonts w:eastAsia="Cambria" w:cs="Arial"/>
          <w:szCs w:val="20"/>
        </w:rPr>
        <w:t xml:space="preserve"> </w:t>
      </w:r>
      <w:r>
        <w:rPr>
          <w:rFonts w:eastAsia="Cambria" w:cs="Arial"/>
          <w:szCs w:val="20"/>
        </w:rPr>
        <w:t xml:space="preserve">expires </w:t>
      </w:r>
      <w:r w:rsidR="00022F95">
        <w:rPr>
          <w:rFonts w:eastAsia="Cambria" w:cs="Arial"/>
          <w:szCs w:val="20"/>
        </w:rPr>
        <w:t>at the end of the transition period</w:t>
      </w:r>
      <w:r>
        <w:rPr>
          <w:rFonts w:eastAsia="Cambria" w:cs="Arial"/>
          <w:szCs w:val="20"/>
        </w:rPr>
        <w:t xml:space="preserve">. </w:t>
      </w:r>
      <w:r w:rsidR="000414BA">
        <w:rPr>
          <w:rFonts w:eastAsia="Cambria" w:cs="Arial"/>
          <w:szCs w:val="20"/>
        </w:rPr>
        <w:t xml:space="preserve">For the calculation and application of an equivalent charge on an </w:t>
      </w:r>
      <w:r>
        <w:rPr>
          <w:rFonts w:eastAsia="Cambria" w:cs="Arial"/>
          <w:szCs w:val="20"/>
        </w:rPr>
        <w:t>enduring basis</w:t>
      </w:r>
      <w:r w:rsidR="000414BA">
        <w:rPr>
          <w:rFonts w:eastAsia="Cambria" w:cs="Arial"/>
          <w:szCs w:val="20"/>
        </w:rPr>
        <w:t xml:space="preserve"> after the transition period</w:t>
      </w:r>
      <w:r w:rsidR="00462C69">
        <w:rPr>
          <w:rFonts w:eastAsia="Cambria" w:cs="Arial"/>
          <w:szCs w:val="20"/>
        </w:rPr>
        <w:t xml:space="preserve"> (i.e. from 01 October 2021)</w:t>
      </w:r>
      <w:r>
        <w:rPr>
          <w:rFonts w:eastAsia="Cambria" w:cs="Arial"/>
          <w:szCs w:val="20"/>
        </w:rPr>
        <w:t>, we anticipate a future change proposal to be raised to achieve this.</w:t>
      </w:r>
    </w:p>
    <w:p w14:paraId="47E9A490" w14:textId="77777777" w:rsidR="00B60DC2" w:rsidRPr="00A234D7" w:rsidRDefault="00B60DC2" w:rsidP="00B60DC2">
      <w:pPr>
        <w:pStyle w:val="ListParagraph"/>
        <w:rPr>
          <w:rFonts w:eastAsia="Cambria" w:cs="Arial"/>
          <w:szCs w:val="20"/>
        </w:rPr>
      </w:pPr>
    </w:p>
    <w:p w14:paraId="695B11CF" w14:textId="6329BE84" w:rsidR="00B60DC2" w:rsidRDefault="000C1A04" w:rsidP="00BD3FB5">
      <w:pPr>
        <w:pStyle w:val="ListParagraph"/>
        <w:numPr>
          <w:ilvl w:val="1"/>
          <w:numId w:val="20"/>
        </w:numPr>
        <w:tabs>
          <w:tab w:val="left" w:pos="993"/>
        </w:tabs>
        <w:autoSpaceDE w:val="0"/>
        <w:autoSpaceDN w:val="0"/>
        <w:adjustRightInd w:val="0"/>
        <w:ind w:left="993" w:hanging="567"/>
        <w:rPr>
          <w:rFonts w:eastAsia="Cambria" w:cs="Arial"/>
          <w:szCs w:val="20"/>
        </w:rPr>
      </w:pPr>
      <w:r>
        <w:rPr>
          <w:rFonts w:eastAsia="Cambria" w:cs="Arial"/>
          <w:szCs w:val="20"/>
        </w:rPr>
        <w:t>A</w:t>
      </w:r>
      <w:r w:rsidR="006F684E">
        <w:rPr>
          <w:rFonts w:eastAsia="Cambria" w:cs="Arial"/>
          <w:szCs w:val="20"/>
        </w:rPr>
        <w:t>s a means of applying the NTS Optional charge in the transition period</w:t>
      </w:r>
      <w:r w:rsidR="00B60DC2">
        <w:rPr>
          <w:rFonts w:eastAsia="Cambria" w:cs="Arial"/>
          <w:szCs w:val="20"/>
        </w:rPr>
        <w:t>, there are two key differences</w:t>
      </w:r>
      <w:r w:rsidR="000414BA">
        <w:rPr>
          <w:rFonts w:eastAsia="Cambria" w:cs="Arial"/>
          <w:szCs w:val="20"/>
        </w:rPr>
        <w:t xml:space="preserve"> that will apply in the transition period</w:t>
      </w:r>
      <w:r w:rsidR="00B60DC2">
        <w:rPr>
          <w:rFonts w:eastAsia="Cambria" w:cs="Arial"/>
          <w:szCs w:val="20"/>
        </w:rPr>
        <w:t>:</w:t>
      </w:r>
    </w:p>
    <w:p w14:paraId="65C728CF" w14:textId="77777777" w:rsidR="00B60DC2" w:rsidRPr="00A234D7" w:rsidRDefault="00B60DC2" w:rsidP="00B60DC2">
      <w:pPr>
        <w:pStyle w:val="ListParagraph"/>
        <w:rPr>
          <w:rFonts w:eastAsia="Cambria" w:cs="Arial"/>
          <w:szCs w:val="20"/>
        </w:rPr>
      </w:pPr>
    </w:p>
    <w:p w14:paraId="24757BA5" w14:textId="77777777" w:rsidR="00B60DC2" w:rsidRDefault="00B60DC2" w:rsidP="00BD3FB5">
      <w:pPr>
        <w:pStyle w:val="ListParagraph"/>
        <w:numPr>
          <w:ilvl w:val="2"/>
          <w:numId w:val="20"/>
        </w:numPr>
        <w:tabs>
          <w:tab w:val="left" w:pos="851"/>
        </w:tabs>
        <w:autoSpaceDE w:val="0"/>
        <w:autoSpaceDN w:val="0"/>
        <w:adjustRightInd w:val="0"/>
        <w:ind w:left="1701" w:hanging="708"/>
        <w:rPr>
          <w:rFonts w:eastAsia="Cambria" w:cs="Arial"/>
          <w:szCs w:val="20"/>
        </w:rPr>
      </w:pPr>
      <w:r>
        <w:rPr>
          <w:rFonts w:eastAsia="Cambria" w:cs="Arial"/>
          <w:i/>
          <w:szCs w:val="20"/>
        </w:rPr>
        <w:t>I</w:t>
      </w:r>
      <w:r w:rsidRPr="00636F80">
        <w:rPr>
          <w:rFonts w:eastAsia="Cambria" w:cs="Arial"/>
          <w:i/>
          <w:szCs w:val="20"/>
        </w:rPr>
        <w:t>nclusion of a 60km distance cap</w:t>
      </w:r>
      <w:r>
        <w:rPr>
          <w:rFonts w:eastAsia="Cambria" w:cs="Arial"/>
          <w:szCs w:val="20"/>
        </w:rPr>
        <w:t xml:space="preserve">. </w:t>
      </w:r>
    </w:p>
    <w:p w14:paraId="4A1538BD" w14:textId="77777777" w:rsidR="00B60DC2" w:rsidRDefault="00B60DC2" w:rsidP="00B60DC2">
      <w:pPr>
        <w:pStyle w:val="ListParagraph"/>
        <w:tabs>
          <w:tab w:val="left" w:pos="851"/>
        </w:tabs>
        <w:autoSpaceDE w:val="0"/>
        <w:autoSpaceDN w:val="0"/>
        <w:adjustRightInd w:val="0"/>
        <w:ind w:left="1701"/>
        <w:rPr>
          <w:rFonts w:eastAsia="Cambria" w:cs="Arial"/>
          <w:szCs w:val="20"/>
        </w:rPr>
      </w:pPr>
    </w:p>
    <w:p w14:paraId="2B2E95A9" w14:textId="77777777" w:rsidR="00B60DC2" w:rsidRDefault="00B60DC2" w:rsidP="00B60DC2">
      <w:pPr>
        <w:pStyle w:val="ListParagraph"/>
        <w:tabs>
          <w:tab w:val="left" w:pos="851"/>
        </w:tabs>
        <w:autoSpaceDE w:val="0"/>
        <w:autoSpaceDN w:val="0"/>
        <w:adjustRightInd w:val="0"/>
        <w:ind w:left="1701"/>
        <w:rPr>
          <w:rFonts w:eastAsia="Cambria" w:cs="Arial"/>
          <w:szCs w:val="20"/>
        </w:rPr>
      </w:pPr>
      <w:r>
        <w:rPr>
          <w:rFonts w:eastAsia="Cambria" w:cs="Arial"/>
          <w:szCs w:val="20"/>
        </w:rPr>
        <w:t xml:space="preserve">As the existing charge is based on a fixed formula (as opposed to a percentage discount for example), the number of exit points for which the optional charge is less than the standard change is far in excess of the numbers initially intended. Consequently, the entry to exit point distances within scope are also far in excess of the distances initially envisaged. </w:t>
      </w:r>
    </w:p>
    <w:p w14:paraId="3530368F" w14:textId="77777777" w:rsidR="00B60DC2" w:rsidRDefault="00B60DC2" w:rsidP="00B60DC2">
      <w:pPr>
        <w:pStyle w:val="ListParagraph"/>
        <w:tabs>
          <w:tab w:val="left" w:pos="851"/>
        </w:tabs>
        <w:autoSpaceDE w:val="0"/>
        <w:autoSpaceDN w:val="0"/>
        <w:adjustRightInd w:val="0"/>
        <w:ind w:left="1701"/>
        <w:rPr>
          <w:rFonts w:eastAsia="Cambria" w:cs="Arial"/>
          <w:szCs w:val="20"/>
        </w:rPr>
      </w:pPr>
    </w:p>
    <w:p w14:paraId="15A9CE57" w14:textId="77777777" w:rsidR="00B60DC2" w:rsidRDefault="00B60DC2" w:rsidP="00B60DC2">
      <w:pPr>
        <w:pStyle w:val="ListParagraph"/>
        <w:tabs>
          <w:tab w:val="left" w:pos="851"/>
        </w:tabs>
        <w:autoSpaceDE w:val="0"/>
        <w:autoSpaceDN w:val="0"/>
        <w:adjustRightInd w:val="0"/>
        <w:ind w:left="1701"/>
        <w:rPr>
          <w:rFonts w:eastAsia="Cambria" w:cs="Arial"/>
          <w:szCs w:val="20"/>
        </w:rPr>
      </w:pPr>
      <w:r>
        <w:rPr>
          <w:rFonts w:eastAsia="Cambria" w:cs="Arial"/>
          <w:szCs w:val="20"/>
        </w:rPr>
        <w:t>National Grid believes that the distance cap proposed constrains the availability of the incentive to those exit points sufficiently close to entry points (to genuinely consider construction of a dedicated pipeline) in line with the original aims of the optional charge.</w:t>
      </w:r>
    </w:p>
    <w:p w14:paraId="2E5D9089" w14:textId="77777777" w:rsidR="00B60DC2" w:rsidRDefault="00B60DC2" w:rsidP="00B60DC2">
      <w:pPr>
        <w:pStyle w:val="ListParagraph"/>
        <w:tabs>
          <w:tab w:val="left" w:pos="851"/>
        </w:tabs>
        <w:autoSpaceDE w:val="0"/>
        <w:autoSpaceDN w:val="0"/>
        <w:adjustRightInd w:val="0"/>
        <w:ind w:left="1701"/>
        <w:rPr>
          <w:rFonts w:eastAsia="Cambria" w:cs="Arial"/>
          <w:szCs w:val="20"/>
        </w:rPr>
      </w:pPr>
      <w:r>
        <w:rPr>
          <w:rFonts w:eastAsia="Cambria" w:cs="Arial"/>
          <w:szCs w:val="20"/>
        </w:rPr>
        <w:t xml:space="preserve">   </w:t>
      </w:r>
    </w:p>
    <w:p w14:paraId="567EA2B2" w14:textId="77777777" w:rsidR="00B60DC2" w:rsidRDefault="00B60DC2" w:rsidP="00BD3FB5">
      <w:pPr>
        <w:pStyle w:val="ListParagraph"/>
        <w:numPr>
          <w:ilvl w:val="2"/>
          <w:numId w:val="20"/>
        </w:numPr>
        <w:tabs>
          <w:tab w:val="left" w:pos="851"/>
        </w:tabs>
        <w:autoSpaceDE w:val="0"/>
        <w:autoSpaceDN w:val="0"/>
        <w:adjustRightInd w:val="0"/>
        <w:ind w:left="1701" w:hanging="708"/>
        <w:rPr>
          <w:rFonts w:eastAsia="Cambria" w:cs="Arial"/>
          <w:szCs w:val="20"/>
        </w:rPr>
      </w:pPr>
      <w:r>
        <w:rPr>
          <w:rFonts w:eastAsia="Cambria" w:cs="Arial"/>
          <w:i/>
          <w:szCs w:val="20"/>
        </w:rPr>
        <w:t>I</w:t>
      </w:r>
      <w:r w:rsidRPr="00636F80">
        <w:rPr>
          <w:rFonts w:eastAsia="Cambria" w:cs="Arial"/>
          <w:i/>
          <w:szCs w:val="20"/>
        </w:rPr>
        <w:t>ndexation of the costs incorporated into the charge formula.</w:t>
      </w:r>
      <w:r w:rsidRPr="00A234D7">
        <w:rPr>
          <w:rFonts w:eastAsia="Cambria" w:cs="Arial"/>
          <w:szCs w:val="20"/>
        </w:rPr>
        <w:t xml:space="preserve"> </w:t>
      </w:r>
    </w:p>
    <w:p w14:paraId="53347914" w14:textId="77777777" w:rsidR="00B60DC2" w:rsidRDefault="00B60DC2" w:rsidP="00B60DC2">
      <w:pPr>
        <w:pStyle w:val="ListParagraph"/>
        <w:tabs>
          <w:tab w:val="left" w:pos="851"/>
        </w:tabs>
        <w:autoSpaceDE w:val="0"/>
        <w:autoSpaceDN w:val="0"/>
        <w:adjustRightInd w:val="0"/>
        <w:ind w:left="1701"/>
        <w:rPr>
          <w:rFonts w:eastAsia="Cambria" w:cs="Arial"/>
          <w:szCs w:val="20"/>
        </w:rPr>
      </w:pPr>
    </w:p>
    <w:p w14:paraId="1F15DC1E" w14:textId="11FC73A6" w:rsidR="00B60DC2" w:rsidRDefault="00B60DC2" w:rsidP="00B60DC2">
      <w:pPr>
        <w:pStyle w:val="ListParagraph"/>
        <w:tabs>
          <w:tab w:val="left" w:pos="851"/>
        </w:tabs>
        <w:autoSpaceDE w:val="0"/>
        <w:autoSpaceDN w:val="0"/>
        <w:adjustRightInd w:val="0"/>
        <w:ind w:left="1701"/>
        <w:rPr>
          <w:rFonts w:eastAsia="Cambria" w:cs="Arial"/>
          <w:szCs w:val="20"/>
        </w:rPr>
      </w:pPr>
      <w:r w:rsidRPr="00A234D7">
        <w:rPr>
          <w:rFonts w:eastAsia="Cambria" w:cs="Arial"/>
          <w:szCs w:val="20"/>
        </w:rPr>
        <w:t>The existing formula incorporates four numeric values which are driven b</w:t>
      </w:r>
      <w:r>
        <w:rPr>
          <w:rFonts w:eastAsia="Cambria" w:cs="Arial"/>
          <w:szCs w:val="20"/>
        </w:rPr>
        <w:t>y</w:t>
      </w:r>
      <w:r w:rsidRPr="00A234D7">
        <w:rPr>
          <w:rFonts w:eastAsia="Cambria" w:cs="Arial"/>
          <w:szCs w:val="20"/>
        </w:rPr>
        <w:t xml:space="preserve"> the estimated cost of laying and operating a dedicated pipeline of NTS specification</w:t>
      </w:r>
      <w:r>
        <w:rPr>
          <w:rFonts w:eastAsia="Cambria" w:cs="Arial"/>
          <w:szCs w:val="20"/>
        </w:rPr>
        <w:t xml:space="preserve"> in 1997</w:t>
      </w:r>
      <w:r w:rsidRPr="00A234D7">
        <w:rPr>
          <w:rFonts w:eastAsia="Cambria" w:cs="Arial"/>
          <w:szCs w:val="20"/>
        </w:rPr>
        <w:t>.</w:t>
      </w:r>
      <w:r>
        <w:rPr>
          <w:rFonts w:eastAsia="Cambria" w:cs="Arial"/>
          <w:szCs w:val="20"/>
        </w:rPr>
        <w:t xml:space="preserve"> National Grid proposes that these cost inputs are updated to October 2017 values via indexation using the Retail Prices Index. Prospectively, National Grid believes it is appropriate to update these costs (via indexation) for the relevant charging period and proposes to use the Retail Prices Index for this purpose</w:t>
      </w:r>
      <w:r w:rsidR="00696E6A">
        <w:rPr>
          <w:rFonts w:eastAsia="Cambria" w:cs="Arial"/>
          <w:szCs w:val="20"/>
        </w:rPr>
        <w:t xml:space="preserve"> (i.e</w:t>
      </w:r>
      <w:r w:rsidR="00085550">
        <w:rPr>
          <w:rFonts w:eastAsia="Cambria" w:cs="Arial"/>
          <w:szCs w:val="20"/>
        </w:rPr>
        <w:t>.</w:t>
      </w:r>
      <w:r w:rsidR="00696E6A">
        <w:rPr>
          <w:rFonts w:eastAsia="Cambria" w:cs="Arial"/>
          <w:szCs w:val="20"/>
        </w:rPr>
        <w:t xml:space="preserve"> for October 2019 the cost inputs will be updated using RPI to October 2019</w:t>
      </w:r>
      <w:r w:rsidR="00293474">
        <w:rPr>
          <w:rFonts w:eastAsia="Cambria" w:cs="Arial"/>
          <w:szCs w:val="20"/>
        </w:rPr>
        <w:t xml:space="preserve"> and for October 2020 updated using RPI to October 2020</w:t>
      </w:r>
      <w:r w:rsidR="00696E6A">
        <w:rPr>
          <w:rFonts w:eastAsia="Cambria" w:cs="Arial"/>
          <w:szCs w:val="20"/>
        </w:rPr>
        <w:t>)</w:t>
      </w:r>
      <w:r>
        <w:rPr>
          <w:rFonts w:eastAsia="Cambria" w:cs="Arial"/>
          <w:szCs w:val="20"/>
        </w:rPr>
        <w:t xml:space="preserve">. </w:t>
      </w:r>
    </w:p>
    <w:p w14:paraId="24AA3B4C" w14:textId="77777777" w:rsidR="00B60DC2" w:rsidRDefault="00B60DC2" w:rsidP="00B60DC2">
      <w:pPr>
        <w:pStyle w:val="ListParagraph"/>
        <w:tabs>
          <w:tab w:val="left" w:pos="851"/>
        </w:tabs>
        <w:autoSpaceDE w:val="0"/>
        <w:autoSpaceDN w:val="0"/>
        <w:adjustRightInd w:val="0"/>
        <w:ind w:left="1701"/>
        <w:rPr>
          <w:rFonts w:eastAsia="Cambria" w:cs="Arial"/>
          <w:szCs w:val="20"/>
        </w:rPr>
      </w:pPr>
    </w:p>
    <w:p w14:paraId="31B1A8A1" w14:textId="77777777" w:rsidR="00B60DC2" w:rsidRDefault="00B60DC2" w:rsidP="00BD3FB5">
      <w:pPr>
        <w:pStyle w:val="ListParagraph"/>
        <w:numPr>
          <w:ilvl w:val="1"/>
          <w:numId w:val="20"/>
        </w:numPr>
        <w:tabs>
          <w:tab w:val="left" w:pos="993"/>
        </w:tabs>
        <w:autoSpaceDE w:val="0"/>
        <w:autoSpaceDN w:val="0"/>
        <w:adjustRightInd w:val="0"/>
        <w:ind w:left="993" w:hanging="567"/>
        <w:rPr>
          <w:rFonts w:eastAsia="Cambria" w:cs="Arial"/>
          <w:szCs w:val="20"/>
        </w:rPr>
      </w:pPr>
      <w:r>
        <w:rPr>
          <w:rFonts w:eastAsia="Cambria" w:cs="Arial"/>
          <w:szCs w:val="20"/>
        </w:rPr>
        <w:t>Other aspects of the existing NTS Optional Commodity charge derivation are proposed to be retained within the new NTS Optional Charge:</w:t>
      </w:r>
    </w:p>
    <w:p w14:paraId="079EF00C" w14:textId="77777777" w:rsidR="00B60DC2" w:rsidRDefault="00B60DC2" w:rsidP="00B60DC2">
      <w:pPr>
        <w:pStyle w:val="ListParagraph"/>
        <w:tabs>
          <w:tab w:val="left" w:pos="851"/>
        </w:tabs>
        <w:autoSpaceDE w:val="0"/>
        <w:autoSpaceDN w:val="0"/>
        <w:adjustRightInd w:val="0"/>
        <w:ind w:left="1701"/>
        <w:rPr>
          <w:rFonts w:eastAsia="Cambria" w:cs="Arial"/>
          <w:i/>
          <w:szCs w:val="20"/>
        </w:rPr>
      </w:pPr>
    </w:p>
    <w:p w14:paraId="776BC1BD" w14:textId="77777777" w:rsidR="00B60DC2" w:rsidRPr="00A234D7" w:rsidRDefault="00B60DC2" w:rsidP="00BD3FB5">
      <w:pPr>
        <w:pStyle w:val="ListParagraph"/>
        <w:numPr>
          <w:ilvl w:val="2"/>
          <w:numId w:val="20"/>
        </w:numPr>
        <w:tabs>
          <w:tab w:val="left" w:pos="851"/>
        </w:tabs>
        <w:autoSpaceDE w:val="0"/>
        <w:autoSpaceDN w:val="0"/>
        <w:adjustRightInd w:val="0"/>
        <w:ind w:left="1701" w:hanging="708"/>
        <w:rPr>
          <w:rFonts w:eastAsia="Cambria" w:cs="Arial"/>
          <w:szCs w:val="20"/>
        </w:rPr>
      </w:pPr>
      <w:r w:rsidRPr="00636F80">
        <w:rPr>
          <w:rFonts w:eastAsia="Cambria" w:cs="Arial"/>
          <w:szCs w:val="20"/>
        </w:rPr>
        <w:t>The existing range of p</w:t>
      </w:r>
      <w:r w:rsidRPr="00A234D7">
        <w:rPr>
          <w:rFonts w:eastAsia="Cambria" w:cs="Arial"/>
          <w:szCs w:val="20"/>
        </w:rPr>
        <w:t>ipe sizes</w:t>
      </w:r>
      <w:r w:rsidRPr="00636F80">
        <w:rPr>
          <w:rFonts w:eastAsia="Cambria" w:cs="Arial"/>
          <w:szCs w:val="20"/>
        </w:rPr>
        <w:t xml:space="preserve"> taken into account</w:t>
      </w:r>
      <w:r>
        <w:rPr>
          <w:rFonts w:eastAsia="Cambria" w:cs="Arial"/>
          <w:szCs w:val="20"/>
        </w:rPr>
        <w:t>;</w:t>
      </w:r>
    </w:p>
    <w:p w14:paraId="7BF47780" w14:textId="77777777" w:rsidR="00B60DC2" w:rsidRPr="00636F80" w:rsidRDefault="00B60DC2" w:rsidP="00B60DC2">
      <w:pPr>
        <w:pStyle w:val="ListParagraph"/>
        <w:tabs>
          <w:tab w:val="left" w:pos="851"/>
        </w:tabs>
        <w:autoSpaceDE w:val="0"/>
        <w:autoSpaceDN w:val="0"/>
        <w:adjustRightInd w:val="0"/>
        <w:ind w:left="1701"/>
        <w:rPr>
          <w:rFonts w:eastAsia="Cambria" w:cs="Arial"/>
          <w:szCs w:val="20"/>
        </w:rPr>
      </w:pPr>
    </w:p>
    <w:p w14:paraId="6C9975D7" w14:textId="77777777" w:rsidR="00B60DC2" w:rsidRPr="00636F80" w:rsidRDefault="00B60DC2" w:rsidP="00BD3FB5">
      <w:pPr>
        <w:pStyle w:val="ListParagraph"/>
        <w:numPr>
          <w:ilvl w:val="2"/>
          <w:numId w:val="20"/>
        </w:numPr>
        <w:tabs>
          <w:tab w:val="left" w:pos="851"/>
        </w:tabs>
        <w:autoSpaceDE w:val="0"/>
        <w:autoSpaceDN w:val="0"/>
        <w:adjustRightInd w:val="0"/>
        <w:ind w:left="1701" w:hanging="708"/>
        <w:rPr>
          <w:rFonts w:eastAsia="Cambria" w:cs="Arial"/>
          <w:szCs w:val="20"/>
        </w:rPr>
      </w:pPr>
      <w:r w:rsidRPr="00636F80">
        <w:rPr>
          <w:rFonts w:eastAsia="Cambria" w:cs="Arial"/>
          <w:szCs w:val="20"/>
        </w:rPr>
        <w:t>The maximum daily capacity</w:t>
      </w:r>
      <w:r>
        <w:rPr>
          <w:rFonts w:eastAsia="Cambria" w:cs="Arial"/>
          <w:szCs w:val="20"/>
        </w:rPr>
        <w:t xml:space="preserve">, as derived from the maximum hourly volume </w:t>
      </w:r>
      <w:r w:rsidRPr="00636F80">
        <w:rPr>
          <w:rFonts w:eastAsia="Cambria" w:cs="Arial"/>
          <w:szCs w:val="20"/>
        </w:rPr>
        <w:t>as specified in the Network Exit Agreement</w:t>
      </w:r>
      <w:r>
        <w:rPr>
          <w:rFonts w:eastAsia="Cambria" w:cs="Arial"/>
          <w:szCs w:val="20"/>
        </w:rPr>
        <w:t>,</w:t>
      </w:r>
      <w:r w:rsidRPr="00636F80">
        <w:rPr>
          <w:rFonts w:eastAsia="Cambria" w:cs="Arial"/>
          <w:szCs w:val="20"/>
        </w:rPr>
        <w:t xml:space="preserve"> as an input to the formula</w:t>
      </w:r>
      <w:r>
        <w:rPr>
          <w:rFonts w:eastAsia="Cambria" w:cs="Arial"/>
          <w:szCs w:val="20"/>
        </w:rPr>
        <w:t>; and</w:t>
      </w:r>
    </w:p>
    <w:p w14:paraId="564A9B30" w14:textId="77777777" w:rsidR="00B60DC2" w:rsidRPr="00A234D7" w:rsidRDefault="00B60DC2" w:rsidP="00B60DC2">
      <w:pPr>
        <w:pStyle w:val="ListParagraph"/>
        <w:rPr>
          <w:rFonts w:eastAsia="Cambria" w:cs="Arial"/>
          <w:szCs w:val="20"/>
        </w:rPr>
      </w:pPr>
    </w:p>
    <w:p w14:paraId="07305170" w14:textId="77777777" w:rsidR="00B60DC2" w:rsidRPr="00636F80" w:rsidRDefault="00B60DC2" w:rsidP="00BD3FB5">
      <w:pPr>
        <w:pStyle w:val="ListParagraph"/>
        <w:numPr>
          <w:ilvl w:val="2"/>
          <w:numId w:val="20"/>
        </w:numPr>
        <w:tabs>
          <w:tab w:val="left" w:pos="851"/>
        </w:tabs>
        <w:autoSpaceDE w:val="0"/>
        <w:autoSpaceDN w:val="0"/>
        <w:adjustRightInd w:val="0"/>
        <w:ind w:left="1701" w:hanging="708"/>
        <w:rPr>
          <w:rFonts w:eastAsia="Cambria" w:cs="Arial"/>
          <w:szCs w:val="20"/>
        </w:rPr>
      </w:pPr>
      <w:r w:rsidRPr="00636F80">
        <w:rPr>
          <w:rFonts w:eastAsia="Cambria" w:cs="Arial"/>
          <w:szCs w:val="20"/>
        </w:rPr>
        <w:t>The maximum daily capacity load being subject to a 75% load factor adjustment</w:t>
      </w:r>
    </w:p>
    <w:p w14:paraId="63B0F6B9" w14:textId="77777777" w:rsidR="00B60DC2" w:rsidRDefault="00B60DC2" w:rsidP="00B60DC2">
      <w:pPr>
        <w:pStyle w:val="ListParagraph"/>
        <w:rPr>
          <w:rFonts w:eastAsia="Cambria" w:cs="Arial"/>
          <w:szCs w:val="20"/>
        </w:rPr>
      </w:pPr>
    </w:p>
    <w:p w14:paraId="34531311" w14:textId="3EF6A489" w:rsidR="00B60DC2" w:rsidRPr="006D031E" w:rsidRDefault="00B60DC2" w:rsidP="00B60DC2">
      <w:pPr>
        <w:tabs>
          <w:tab w:val="left" w:pos="851"/>
        </w:tabs>
        <w:autoSpaceDE w:val="0"/>
        <w:autoSpaceDN w:val="0"/>
        <w:adjustRightInd w:val="0"/>
        <w:rPr>
          <w:rFonts w:eastAsia="Cambria" w:cs="Arial"/>
          <w:b/>
          <w:szCs w:val="20"/>
        </w:rPr>
      </w:pPr>
      <w:r w:rsidRPr="006D031E">
        <w:rPr>
          <w:rFonts w:eastAsia="Cambria" w:cs="Arial"/>
          <w:b/>
          <w:szCs w:val="20"/>
        </w:rPr>
        <w:t>Existing Contracts</w:t>
      </w:r>
      <w:r>
        <w:rPr>
          <w:rFonts w:eastAsia="Cambria" w:cs="Arial"/>
          <w:b/>
          <w:szCs w:val="20"/>
        </w:rPr>
        <w:t xml:space="preserve"> and Interim Contracts</w:t>
      </w:r>
      <w:r w:rsidR="00A72927">
        <w:rPr>
          <w:rFonts w:eastAsia="Cambria" w:cs="Arial"/>
          <w:b/>
          <w:szCs w:val="20"/>
        </w:rPr>
        <w:t xml:space="preserve"> (Collectively referred to as Historical Contracts)</w:t>
      </w:r>
    </w:p>
    <w:p w14:paraId="720F4106" w14:textId="77777777" w:rsidR="00B60DC2" w:rsidRDefault="00B60DC2" w:rsidP="00BD3FB5">
      <w:pPr>
        <w:pStyle w:val="ListParagraph"/>
        <w:numPr>
          <w:ilvl w:val="1"/>
          <w:numId w:val="20"/>
        </w:numPr>
        <w:tabs>
          <w:tab w:val="left" w:pos="851"/>
        </w:tabs>
        <w:autoSpaceDE w:val="0"/>
        <w:autoSpaceDN w:val="0"/>
        <w:adjustRightInd w:val="0"/>
        <w:ind w:left="993" w:hanging="567"/>
        <w:rPr>
          <w:rFonts w:eastAsia="Cambria" w:cs="Arial"/>
          <w:szCs w:val="20"/>
        </w:rPr>
      </w:pPr>
      <w:r>
        <w:rPr>
          <w:rFonts w:eastAsia="Cambria" w:cs="Arial"/>
          <w:szCs w:val="20"/>
        </w:rPr>
        <w:t xml:space="preserve">National Grid proposes provisions to apply for Entry Capacity allocated before the date of the Ofgem direction to implement this Proposal that will have been booked for 01 October 2019 or beyond. </w:t>
      </w:r>
    </w:p>
    <w:p w14:paraId="4E3E78D1" w14:textId="77777777" w:rsidR="00B60DC2" w:rsidRDefault="00B60DC2" w:rsidP="00B60DC2">
      <w:pPr>
        <w:pStyle w:val="ListParagraph"/>
        <w:ind w:left="1701"/>
        <w:rPr>
          <w:rFonts w:eastAsia="Cambria" w:cs="Arial"/>
          <w:szCs w:val="20"/>
        </w:rPr>
      </w:pPr>
    </w:p>
    <w:p w14:paraId="4DADCAA8" w14:textId="77777777" w:rsidR="00B60DC2" w:rsidRDefault="00B60DC2" w:rsidP="00BD3FB5">
      <w:pPr>
        <w:pStyle w:val="ListParagraph"/>
        <w:numPr>
          <w:ilvl w:val="2"/>
          <w:numId w:val="20"/>
        </w:numPr>
        <w:ind w:left="1701" w:hanging="708"/>
        <w:rPr>
          <w:rFonts w:eastAsia="Cambria" w:cs="Arial"/>
          <w:szCs w:val="20"/>
        </w:rPr>
      </w:pPr>
      <w:r>
        <w:rPr>
          <w:rFonts w:eastAsia="Cambria" w:cs="Arial"/>
          <w:szCs w:val="20"/>
        </w:rPr>
        <w:lastRenderedPageBreak/>
        <w:t>This will include Existing C</w:t>
      </w:r>
      <w:r w:rsidRPr="007341C6">
        <w:rPr>
          <w:rFonts w:eastAsia="Cambria" w:cs="Arial"/>
          <w:szCs w:val="20"/>
        </w:rPr>
        <w:t>ontract</w:t>
      </w:r>
      <w:r>
        <w:rPr>
          <w:rFonts w:eastAsia="Cambria" w:cs="Arial"/>
          <w:szCs w:val="20"/>
        </w:rPr>
        <w:t>s, as outlined in Article 35 in EU Tariff Code where</w:t>
      </w:r>
      <w:r w:rsidRPr="007341C6">
        <w:rPr>
          <w:rFonts w:eastAsia="Cambria" w:cs="Arial"/>
          <w:szCs w:val="20"/>
        </w:rPr>
        <w:t xml:space="preserve"> the “</w:t>
      </w:r>
      <w:r w:rsidRPr="006A4545">
        <w:rPr>
          <w:rFonts w:eastAsia="Cambria" w:cs="Arial"/>
          <w:i/>
          <w:szCs w:val="20"/>
        </w:rPr>
        <w:t>contract or capacity booking concluded before the entry into force of the EU Tariff Code – 6 April 2017, such contracts or capacity bookings foresee no change in the levels of capacity and/or commodity based transmission tariffs except for indexation, if any</w:t>
      </w:r>
      <w:r w:rsidRPr="007341C6">
        <w:rPr>
          <w:rFonts w:eastAsia="Cambria" w:cs="Arial"/>
          <w:szCs w:val="20"/>
        </w:rPr>
        <w:t>”.</w:t>
      </w:r>
      <w:r w:rsidRPr="006D031E">
        <w:rPr>
          <w:rFonts w:eastAsia="Cambria" w:cs="Arial"/>
          <w:szCs w:val="20"/>
        </w:rPr>
        <w:t xml:space="preserve"> </w:t>
      </w:r>
    </w:p>
    <w:p w14:paraId="1F447BFB" w14:textId="77777777" w:rsidR="00B60DC2" w:rsidRDefault="00B60DC2" w:rsidP="00B60DC2">
      <w:pPr>
        <w:pStyle w:val="ListParagraph"/>
        <w:ind w:left="1701"/>
        <w:rPr>
          <w:rFonts w:eastAsia="Cambria" w:cs="Arial"/>
          <w:szCs w:val="20"/>
        </w:rPr>
      </w:pPr>
    </w:p>
    <w:p w14:paraId="215503B5" w14:textId="77777777" w:rsidR="00B60DC2" w:rsidRPr="00A914DC" w:rsidRDefault="00B60DC2" w:rsidP="00BD3FB5">
      <w:pPr>
        <w:pStyle w:val="ListParagraph"/>
        <w:numPr>
          <w:ilvl w:val="2"/>
          <w:numId w:val="20"/>
        </w:numPr>
        <w:ind w:left="1701" w:hanging="708"/>
        <w:rPr>
          <w:rFonts w:eastAsia="Cambria" w:cs="Arial"/>
          <w:szCs w:val="20"/>
        </w:rPr>
      </w:pPr>
      <w:r>
        <w:rPr>
          <w:rFonts w:eastAsia="Cambria" w:cs="Arial"/>
          <w:szCs w:val="20"/>
        </w:rPr>
        <w:t xml:space="preserve">This will also include Interim Contracts, as defined in this Proposal the contract or capacity booking concluded subsequent to entry into force of the EU Tariff Code (06 April 2017) but </w:t>
      </w:r>
      <w:r w:rsidRPr="00E847D3">
        <w:rPr>
          <w:rFonts w:eastAsia="Cambria" w:cs="Arial"/>
          <w:szCs w:val="20"/>
        </w:rPr>
        <w:t>before the date of the Ofgem direction to implement this Proposal</w:t>
      </w:r>
      <w:r>
        <w:rPr>
          <w:rFonts w:eastAsia="Cambria" w:cs="Arial"/>
          <w:szCs w:val="20"/>
        </w:rPr>
        <w:t xml:space="preserve">. Beyond this date, sufficient clarity of the charging regime to apply from 01 October 2019 is apparent and therefore no specific treatment (for capacity subsequently booked) is proposed.    </w:t>
      </w:r>
    </w:p>
    <w:p w14:paraId="557C0115" w14:textId="77777777" w:rsidR="00B60DC2" w:rsidRDefault="00B60DC2" w:rsidP="00B60DC2">
      <w:pPr>
        <w:pStyle w:val="ListParagraph"/>
        <w:ind w:left="1701"/>
        <w:rPr>
          <w:rFonts w:eastAsia="Cambria" w:cs="Arial"/>
          <w:szCs w:val="20"/>
        </w:rPr>
      </w:pPr>
    </w:p>
    <w:p w14:paraId="114263AA" w14:textId="77777777" w:rsidR="00B60DC2" w:rsidRDefault="00B60DC2" w:rsidP="00BD3FB5">
      <w:pPr>
        <w:pStyle w:val="ListParagraph"/>
        <w:numPr>
          <w:ilvl w:val="2"/>
          <w:numId w:val="20"/>
        </w:numPr>
        <w:ind w:left="1701" w:hanging="708"/>
        <w:rPr>
          <w:rFonts w:eastAsia="Cambria" w:cs="Arial"/>
          <w:szCs w:val="20"/>
        </w:rPr>
      </w:pPr>
      <w:r w:rsidRPr="006D031E">
        <w:rPr>
          <w:rFonts w:eastAsia="Cambria" w:cs="Arial"/>
          <w:szCs w:val="20"/>
        </w:rPr>
        <w:t xml:space="preserve">The capacity procured under these </w:t>
      </w:r>
      <w:r>
        <w:rPr>
          <w:rFonts w:eastAsia="Cambria" w:cs="Arial"/>
          <w:szCs w:val="20"/>
        </w:rPr>
        <w:t>contracts impact the application of the CWD charging model (specifically when determining Reference Prices at Entry Points) [and calculation of Transmission Services Revenue Recovery Charges].</w:t>
      </w:r>
    </w:p>
    <w:p w14:paraId="3AF62CDA" w14:textId="77777777" w:rsidR="00B60DC2" w:rsidRPr="004144ED" w:rsidRDefault="00B60DC2" w:rsidP="00B60DC2">
      <w:pPr>
        <w:tabs>
          <w:tab w:val="left" w:pos="851"/>
        </w:tabs>
        <w:autoSpaceDE w:val="0"/>
        <w:autoSpaceDN w:val="0"/>
        <w:adjustRightInd w:val="0"/>
        <w:rPr>
          <w:rFonts w:eastAsia="Cambria" w:cs="Arial"/>
          <w:b/>
          <w:szCs w:val="20"/>
        </w:rPr>
      </w:pPr>
      <w:r>
        <w:rPr>
          <w:rFonts w:eastAsia="Cambria" w:cs="Arial"/>
          <w:b/>
          <w:szCs w:val="20"/>
        </w:rPr>
        <w:t>Periodic Consultation Processes</w:t>
      </w:r>
    </w:p>
    <w:p w14:paraId="11237499" w14:textId="77777777" w:rsidR="00B60DC2" w:rsidRDefault="00B60DC2" w:rsidP="00BD3FB5">
      <w:pPr>
        <w:pStyle w:val="ListParagraph"/>
        <w:numPr>
          <w:ilvl w:val="1"/>
          <w:numId w:val="20"/>
        </w:numPr>
        <w:tabs>
          <w:tab w:val="left" w:pos="851"/>
        </w:tabs>
        <w:autoSpaceDE w:val="0"/>
        <w:autoSpaceDN w:val="0"/>
        <w:adjustRightInd w:val="0"/>
        <w:ind w:left="993" w:hanging="567"/>
        <w:rPr>
          <w:rFonts w:eastAsia="Cambria" w:cs="Arial"/>
          <w:szCs w:val="20"/>
        </w:rPr>
      </w:pPr>
      <w:r>
        <w:rPr>
          <w:rFonts w:eastAsia="Cambria" w:cs="Arial"/>
          <w:szCs w:val="20"/>
        </w:rPr>
        <w:t xml:space="preserve">This Proposal advocates determination of a number of pricing related values on a periodic basis following consultation with stakeholders. Where National Grid believes it is efficient to do, consultation on more than one pricing related value may, in practice, be incorporated into a single consultation document and process. </w:t>
      </w:r>
      <w:r w:rsidRPr="006D031E">
        <w:rPr>
          <w:rFonts w:eastAsia="Cambria" w:cs="Arial"/>
          <w:szCs w:val="20"/>
        </w:rPr>
        <w:t xml:space="preserve"> </w:t>
      </w:r>
    </w:p>
    <w:p w14:paraId="183CDD6A" w14:textId="77777777" w:rsidR="00B60DC2" w:rsidRDefault="00B60DC2" w:rsidP="00B60DC2">
      <w:pPr>
        <w:pStyle w:val="ListParagraph"/>
        <w:tabs>
          <w:tab w:val="left" w:pos="851"/>
        </w:tabs>
        <w:autoSpaceDE w:val="0"/>
        <w:autoSpaceDN w:val="0"/>
        <w:adjustRightInd w:val="0"/>
        <w:ind w:left="993"/>
        <w:rPr>
          <w:rFonts w:eastAsia="Cambria" w:cs="Arial"/>
          <w:szCs w:val="20"/>
        </w:rPr>
      </w:pPr>
    </w:p>
    <w:p w14:paraId="7206D816" w14:textId="77777777" w:rsidR="00B60DC2" w:rsidRPr="00A914DC" w:rsidRDefault="00B60DC2" w:rsidP="00B60DC2">
      <w:pPr>
        <w:keepNext/>
        <w:spacing w:before="240"/>
        <w:outlineLvl w:val="3"/>
        <w:rPr>
          <w:rFonts w:cs="Arial"/>
          <w:b/>
          <w:bCs/>
          <w:color w:val="008576"/>
          <w:sz w:val="24"/>
          <w:szCs w:val="28"/>
        </w:rPr>
      </w:pPr>
      <w:r w:rsidRPr="00A914DC">
        <w:rPr>
          <w:rFonts w:cs="Arial"/>
          <w:b/>
          <w:bCs/>
          <w:color w:val="008576"/>
          <w:sz w:val="24"/>
          <w:szCs w:val="28"/>
        </w:rPr>
        <w:t>Aspects of the GB Charging Regime where there are no proposals for change:</w:t>
      </w:r>
    </w:p>
    <w:p w14:paraId="0B9CC71F" w14:textId="77777777" w:rsidR="00B60DC2" w:rsidRPr="005424A9" w:rsidRDefault="00B60DC2" w:rsidP="00B60DC2">
      <w:pPr>
        <w:tabs>
          <w:tab w:val="left" w:pos="851"/>
        </w:tabs>
        <w:autoSpaceDE w:val="0"/>
        <w:autoSpaceDN w:val="0"/>
        <w:adjustRightInd w:val="0"/>
        <w:rPr>
          <w:rFonts w:eastAsia="Cambria" w:cs="Arial"/>
          <w:szCs w:val="20"/>
        </w:rPr>
      </w:pPr>
      <w:r w:rsidRPr="005424A9">
        <w:rPr>
          <w:rFonts w:eastAsia="Cambria" w:cs="Arial"/>
          <w:szCs w:val="20"/>
        </w:rPr>
        <w:t xml:space="preserve">The following is a list of items for which changes are not being proposed at this time but </w:t>
      </w:r>
      <w:r>
        <w:rPr>
          <w:rFonts w:eastAsia="Cambria" w:cs="Arial"/>
          <w:szCs w:val="20"/>
        </w:rPr>
        <w:t>could be</w:t>
      </w:r>
      <w:r w:rsidRPr="005424A9">
        <w:rPr>
          <w:rFonts w:eastAsia="Cambria" w:cs="Arial"/>
          <w:szCs w:val="20"/>
        </w:rPr>
        <w:t xml:space="preserve"> the next steps in the evolution of the GB charging regime. </w:t>
      </w:r>
    </w:p>
    <w:p w14:paraId="188F9EF2" w14:textId="77777777" w:rsidR="00B60DC2" w:rsidRPr="009F677A" w:rsidRDefault="00B60DC2" w:rsidP="00BD3FB5">
      <w:pPr>
        <w:pStyle w:val="ListParagraph"/>
        <w:numPr>
          <w:ilvl w:val="0"/>
          <w:numId w:val="19"/>
        </w:numPr>
        <w:tabs>
          <w:tab w:val="left" w:pos="851"/>
        </w:tabs>
        <w:autoSpaceDE w:val="0"/>
        <w:autoSpaceDN w:val="0"/>
        <w:adjustRightInd w:val="0"/>
        <w:rPr>
          <w:rFonts w:eastAsia="Cambria" w:cs="Arial"/>
          <w:szCs w:val="20"/>
        </w:rPr>
      </w:pPr>
      <w:r w:rsidRPr="005424A9">
        <w:rPr>
          <w:rFonts w:eastAsia="Cambria" w:cs="Arial"/>
          <w:szCs w:val="20"/>
        </w:rPr>
        <w:t xml:space="preserve">Auction Structure – All timings for auctions will be as per </w:t>
      </w:r>
      <w:r>
        <w:rPr>
          <w:rFonts w:eastAsia="Cambria" w:cs="Arial"/>
          <w:szCs w:val="20"/>
        </w:rPr>
        <w:t xml:space="preserve">prevailing terms </w:t>
      </w:r>
      <w:r w:rsidRPr="00221A56">
        <w:rPr>
          <w:rFonts w:eastAsia="Cambria" w:cs="Arial"/>
          <w:szCs w:val="20"/>
        </w:rPr>
        <w:t>(including any changes implemented to comply with</w:t>
      </w:r>
      <w:r w:rsidRPr="00221A56" w:rsidDel="00221A56">
        <w:rPr>
          <w:rFonts w:eastAsia="Cambria" w:cs="Arial"/>
          <w:szCs w:val="20"/>
        </w:rPr>
        <w:t xml:space="preserve"> </w:t>
      </w:r>
      <w:r w:rsidRPr="005424A9">
        <w:rPr>
          <w:rFonts w:eastAsia="Cambria" w:cs="Arial"/>
          <w:szCs w:val="20"/>
        </w:rPr>
        <w:t>CAM</w:t>
      </w:r>
      <w:r>
        <w:rPr>
          <w:rFonts w:eastAsia="Cambria" w:cs="Arial"/>
          <w:szCs w:val="20"/>
        </w:rPr>
        <w:t>)</w:t>
      </w:r>
      <w:r w:rsidRPr="005424A9">
        <w:rPr>
          <w:rFonts w:eastAsia="Cambria" w:cs="Arial"/>
          <w:szCs w:val="20"/>
        </w:rPr>
        <w:t>.</w:t>
      </w:r>
    </w:p>
    <w:p w14:paraId="58D1639C" w14:textId="77777777" w:rsidR="00B60DC2" w:rsidRPr="00B529DF" w:rsidRDefault="00B60DC2" w:rsidP="00BD3FB5">
      <w:pPr>
        <w:pStyle w:val="ListParagraph"/>
        <w:numPr>
          <w:ilvl w:val="0"/>
          <w:numId w:val="19"/>
        </w:numPr>
        <w:tabs>
          <w:tab w:val="left" w:pos="851"/>
        </w:tabs>
        <w:autoSpaceDE w:val="0"/>
        <w:autoSpaceDN w:val="0"/>
        <w:adjustRightInd w:val="0"/>
        <w:rPr>
          <w:rFonts w:eastAsia="Cambria" w:cs="Arial"/>
          <w:szCs w:val="20"/>
        </w:rPr>
      </w:pPr>
      <w:r w:rsidRPr="00E724FD">
        <w:rPr>
          <w:rFonts w:eastAsia="Cambria" w:cs="Arial"/>
          <w:szCs w:val="20"/>
        </w:rPr>
        <w:t xml:space="preserve">Entry/Exit Split – </w:t>
      </w:r>
      <w:r>
        <w:rPr>
          <w:rFonts w:eastAsia="Cambria" w:cs="Arial"/>
          <w:szCs w:val="20"/>
        </w:rPr>
        <w:t xml:space="preserve">No change is proposed to the current </w:t>
      </w:r>
      <w:r w:rsidRPr="00E724FD">
        <w:rPr>
          <w:rFonts w:eastAsia="Cambria" w:cs="Arial"/>
          <w:szCs w:val="20"/>
        </w:rPr>
        <w:t>50:50 split.</w:t>
      </w:r>
    </w:p>
    <w:p w14:paraId="73E72C43" w14:textId="77777777" w:rsidR="00B60DC2" w:rsidRPr="00DA778F" w:rsidRDefault="00B60DC2" w:rsidP="00BD3FB5">
      <w:pPr>
        <w:pStyle w:val="ListParagraph"/>
        <w:numPr>
          <w:ilvl w:val="0"/>
          <w:numId w:val="19"/>
        </w:numPr>
        <w:tabs>
          <w:tab w:val="left" w:pos="851"/>
        </w:tabs>
        <w:autoSpaceDE w:val="0"/>
        <w:autoSpaceDN w:val="0"/>
        <w:adjustRightInd w:val="0"/>
        <w:rPr>
          <w:rFonts w:eastAsia="Cambria" w:cs="Arial"/>
          <w:szCs w:val="20"/>
        </w:rPr>
      </w:pPr>
      <w:r w:rsidRPr="00B529DF">
        <w:rPr>
          <w:rFonts w:eastAsia="Cambria" w:cs="Arial"/>
          <w:szCs w:val="20"/>
        </w:rPr>
        <w:t xml:space="preserve">Gas Year/Formula Year – </w:t>
      </w:r>
      <w:r>
        <w:rPr>
          <w:rFonts w:eastAsia="Cambria" w:cs="Arial"/>
          <w:szCs w:val="20"/>
        </w:rPr>
        <w:t xml:space="preserve">the </w:t>
      </w:r>
      <w:r w:rsidRPr="00B529DF">
        <w:rPr>
          <w:rFonts w:eastAsia="Cambria" w:cs="Arial"/>
          <w:szCs w:val="20"/>
        </w:rPr>
        <w:t xml:space="preserve">Formula Year </w:t>
      </w:r>
      <w:r>
        <w:rPr>
          <w:rFonts w:eastAsia="Cambria" w:cs="Arial"/>
          <w:szCs w:val="20"/>
        </w:rPr>
        <w:t>(</w:t>
      </w:r>
      <w:r w:rsidRPr="00B529DF">
        <w:rPr>
          <w:rFonts w:eastAsia="Cambria" w:cs="Arial"/>
          <w:szCs w:val="20"/>
        </w:rPr>
        <w:t>April to March</w:t>
      </w:r>
      <w:r>
        <w:rPr>
          <w:rFonts w:eastAsia="Cambria" w:cs="Arial"/>
          <w:szCs w:val="20"/>
        </w:rPr>
        <w:t>)</w:t>
      </w:r>
      <w:r w:rsidRPr="00B529DF">
        <w:rPr>
          <w:rFonts w:eastAsia="Cambria" w:cs="Arial"/>
          <w:szCs w:val="20"/>
        </w:rPr>
        <w:t xml:space="preserve"> and Gas Year </w:t>
      </w:r>
      <w:r>
        <w:rPr>
          <w:rFonts w:eastAsia="Cambria" w:cs="Arial"/>
          <w:szCs w:val="20"/>
        </w:rPr>
        <w:t>(</w:t>
      </w:r>
      <w:r w:rsidRPr="00B529DF">
        <w:rPr>
          <w:rFonts w:eastAsia="Cambria" w:cs="Arial"/>
          <w:szCs w:val="20"/>
        </w:rPr>
        <w:t>October to September</w:t>
      </w:r>
      <w:r>
        <w:rPr>
          <w:rFonts w:eastAsia="Cambria" w:cs="Arial"/>
          <w:szCs w:val="20"/>
        </w:rPr>
        <w:t>)</w:t>
      </w:r>
      <w:r w:rsidRPr="00B529DF">
        <w:rPr>
          <w:rFonts w:eastAsia="Cambria" w:cs="Arial"/>
          <w:szCs w:val="20"/>
        </w:rPr>
        <w:t xml:space="preserve"> will </w:t>
      </w:r>
      <w:r>
        <w:rPr>
          <w:rFonts w:eastAsia="Cambria" w:cs="Arial"/>
          <w:szCs w:val="20"/>
        </w:rPr>
        <w:t>be retained</w:t>
      </w:r>
      <w:r w:rsidRPr="00B529DF">
        <w:rPr>
          <w:rFonts w:eastAsia="Cambria" w:cs="Arial"/>
          <w:szCs w:val="20"/>
        </w:rPr>
        <w:t>.</w:t>
      </w:r>
    </w:p>
    <w:p w14:paraId="069A0951" w14:textId="77777777" w:rsidR="00B60DC2" w:rsidRDefault="00B60DC2" w:rsidP="00BD3FB5">
      <w:pPr>
        <w:pStyle w:val="ListParagraph"/>
        <w:numPr>
          <w:ilvl w:val="0"/>
          <w:numId w:val="19"/>
        </w:numPr>
        <w:tabs>
          <w:tab w:val="left" w:pos="851"/>
        </w:tabs>
        <w:autoSpaceDE w:val="0"/>
        <w:autoSpaceDN w:val="0"/>
        <w:adjustRightInd w:val="0"/>
        <w:rPr>
          <w:rFonts w:eastAsia="Cambria" w:cs="Arial"/>
          <w:szCs w:val="20"/>
        </w:rPr>
      </w:pPr>
      <w:r w:rsidRPr="0020648E">
        <w:rPr>
          <w:rFonts w:eastAsia="Cambria" w:cs="Arial"/>
          <w:szCs w:val="20"/>
        </w:rPr>
        <w:t>DN Pensions Deficit Charge – No change to the calculation or the application of the charge.</w:t>
      </w:r>
    </w:p>
    <w:p w14:paraId="5E642F62" w14:textId="77777777" w:rsidR="00B60DC2" w:rsidRDefault="00B60DC2" w:rsidP="00BD3FB5">
      <w:pPr>
        <w:pStyle w:val="ListParagraph"/>
        <w:numPr>
          <w:ilvl w:val="0"/>
          <w:numId w:val="19"/>
        </w:numPr>
        <w:tabs>
          <w:tab w:val="left" w:pos="851"/>
        </w:tabs>
        <w:autoSpaceDE w:val="0"/>
        <w:autoSpaceDN w:val="0"/>
        <w:adjustRightInd w:val="0"/>
        <w:rPr>
          <w:rFonts w:eastAsia="Cambria" w:cs="Arial"/>
          <w:szCs w:val="20"/>
        </w:rPr>
      </w:pPr>
      <w:r w:rsidRPr="005424A9">
        <w:rPr>
          <w:rFonts w:eastAsia="Cambria" w:cs="Arial"/>
          <w:szCs w:val="20"/>
        </w:rPr>
        <w:t>St.</w:t>
      </w:r>
      <w:r>
        <w:rPr>
          <w:rFonts w:eastAsia="Cambria" w:cs="Arial"/>
          <w:szCs w:val="20"/>
        </w:rPr>
        <w:t xml:space="preserve"> </w:t>
      </w:r>
      <w:r w:rsidRPr="005424A9">
        <w:rPr>
          <w:rFonts w:eastAsia="Cambria" w:cs="Arial"/>
          <w:szCs w:val="20"/>
        </w:rPr>
        <w:t xml:space="preserve">Fergus Compression Charge – No change </w:t>
      </w:r>
      <w:r>
        <w:rPr>
          <w:rFonts w:eastAsia="Cambria" w:cs="Arial"/>
          <w:szCs w:val="20"/>
        </w:rPr>
        <w:t xml:space="preserve">is proposed </w:t>
      </w:r>
      <w:r w:rsidRPr="005424A9">
        <w:rPr>
          <w:rFonts w:eastAsia="Cambria" w:cs="Arial"/>
          <w:szCs w:val="20"/>
        </w:rPr>
        <w:t>to the calculation or the application of the charge.</w:t>
      </w:r>
    </w:p>
    <w:p w14:paraId="447A9CF7" w14:textId="77777777" w:rsidR="00B60DC2" w:rsidRDefault="00B60DC2" w:rsidP="00BD3FB5">
      <w:pPr>
        <w:pStyle w:val="ListParagraph"/>
        <w:numPr>
          <w:ilvl w:val="0"/>
          <w:numId w:val="19"/>
        </w:numPr>
        <w:tabs>
          <w:tab w:val="left" w:pos="851"/>
        </w:tabs>
        <w:autoSpaceDE w:val="0"/>
        <w:autoSpaceDN w:val="0"/>
        <w:adjustRightInd w:val="0"/>
        <w:rPr>
          <w:rFonts w:eastAsia="Cambria" w:cs="Arial"/>
          <w:szCs w:val="20"/>
        </w:rPr>
      </w:pPr>
      <w:r>
        <w:rPr>
          <w:rFonts w:eastAsia="Cambria" w:cs="Arial"/>
          <w:szCs w:val="20"/>
        </w:rPr>
        <w:t xml:space="preserve">NTS Metering Charge - </w:t>
      </w:r>
      <w:r w:rsidRPr="005424A9">
        <w:rPr>
          <w:rFonts w:eastAsia="Cambria" w:cs="Arial"/>
          <w:szCs w:val="20"/>
        </w:rPr>
        <w:t xml:space="preserve">No change </w:t>
      </w:r>
      <w:r>
        <w:rPr>
          <w:rFonts w:eastAsia="Cambria" w:cs="Arial"/>
          <w:szCs w:val="20"/>
        </w:rPr>
        <w:t xml:space="preserve">is proposed </w:t>
      </w:r>
      <w:r w:rsidRPr="005424A9">
        <w:rPr>
          <w:rFonts w:eastAsia="Cambria" w:cs="Arial"/>
          <w:szCs w:val="20"/>
        </w:rPr>
        <w:t>to the calculation or the application of the charge</w:t>
      </w:r>
    </w:p>
    <w:p w14:paraId="2EE48BD2" w14:textId="77777777" w:rsidR="00B60DC2" w:rsidRPr="005424A9" w:rsidRDefault="00B60DC2" w:rsidP="00BD3FB5">
      <w:pPr>
        <w:pStyle w:val="ListParagraph"/>
        <w:numPr>
          <w:ilvl w:val="0"/>
          <w:numId w:val="19"/>
        </w:numPr>
        <w:tabs>
          <w:tab w:val="left" w:pos="851"/>
        </w:tabs>
        <w:autoSpaceDE w:val="0"/>
        <w:autoSpaceDN w:val="0"/>
        <w:adjustRightInd w:val="0"/>
        <w:rPr>
          <w:rFonts w:eastAsia="Cambria" w:cs="Arial"/>
          <w:szCs w:val="20"/>
        </w:rPr>
      </w:pPr>
      <w:r w:rsidRPr="005424A9">
        <w:rPr>
          <w:rFonts w:eastAsia="Cambria" w:cs="Arial"/>
          <w:szCs w:val="20"/>
        </w:rPr>
        <w:t>Categorisation of Entry and Exit Points – Maintain the link to the Licence for categorisation.</w:t>
      </w:r>
    </w:p>
    <w:p w14:paraId="10D4B3D6" w14:textId="77777777" w:rsidR="00B60DC2" w:rsidRDefault="00B60DC2" w:rsidP="00BD3FB5">
      <w:pPr>
        <w:pStyle w:val="ListParagraph"/>
        <w:numPr>
          <w:ilvl w:val="0"/>
          <w:numId w:val="19"/>
        </w:numPr>
        <w:tabs>
          <w:tab w:val="left" w:pos="851"/>
        </w:tabs>
        <w:autoSpaceDE w:val="0"/>
        <w:autoSpaceDN w:val="0"/>
        <w:adjustRightInd w:val="0"/>
        <w:rPr>
          <w:rFonts w:eastAsia="Cambria" w:cs="Arial"/>
          <w:szCs w:val="20"/>
        </w:rPr>
      </w:pPr>
      <w:r w:rsidRPr="005424A9">
        <w:rPr>
          <w:rFonts w:eastAsia="Cambria" w:cs="Arial"/>
          <w:szCs w:val="20"/>
        </w:rPr>
        <w:t>Seasonal Factors – Not used in current methodolog</w:t>
      </w:r>
      <w:r w:rsidRPr="009F677A">
        <w:rPr>
          <w:rFonts w:eastAsia="Cambria" w:cs="Arial"/>
          <w:szCs w:val="20"/>
        </w:rPr>
        <w:t>y and propose not to introduce.</w:t>
      </w:r>
    </w:p>
    <w:p w14:paraId="4B03C33A" w14:textId="77777777" w:rsidR="00B60DC2" w:rsidRPr="009F677A" w:rsidRDefault="00B60DC2" w:rsidP="00BD3FB5">
      <w:pPr>
        <w:pStyle w:val="ListParagraph"/>
        <w:numPr>
          <w:ilvl w:val="0"/>
          <w:numId w:val="19"/>
        </w:numPr>
        <w:tabs>
          <w:tab w:val="left" w:pos="851"/>
        </w:tabs>
        <w:autoSpaceDE w:val="0"/>
        <w:autoSpaceDN w:val="0"/>
        <w:adjustRightInd w:val="0"/>
        <w:rPr>
          <w:rFonts w:eastAsia="Cambria" w:cs="Arial"/>
          <w:szCs w:val="20"/>
        </w:rPr>
      </w:pPr>
      <w:r w:rsidRPr="009F677A">
        <w:rPr>
          <w:rFonts w:eastAsia="Cambria" w:cs="Arial"/>
          <w:szCs w:val="20"/>
        </w:rPr>
        <w:t>Fixed Pricing – As per M</w:t>
      </w:r>
      <w:r>
        <w:rPr>
          <w:rFonts w:eastAsia="Cambria" w:cs="Arial"/>
          <w:szCs w:val="20"/>
        </w:rPr>
        <w:t>odification 0</w:t>
      </w:r>
      <w:r w:rsidRPr="009F677A">
        <w:rPr>
          <w:rFonts w:eastAsia="Cambria" w:cs="Arial"/>
          <w:szCs w:val="20"/>
        </w:rPr>
        <w:t>611</w:t>
      </w:r>
      <w:r>
        <w:rPr>
          <w:rFonts w:eastAsia="Cambria" w:cs="Arial"/>
          <w:szCs w:val="20"/>
        </w:rPr>
        <w:t>,</w:t>
      </w:r>
      <w:r w:rsidRPr="009F677A">
        <w:rPr>
          <w:rFonts w:eastAsia="Cambria" w:cs="Arial"/>
          <w:szCs w:val="20"/>
        </w:rPr>
        <w:t xml:space="preserve"> Amendments to the firm capacity payable price at IPs.</w:t>
      </w:r>
    </w:p>
    <w:p w14:paraId="6A656188" w14:textId="77777777" w:rsidR="00B60DC2" w:rsidRPr="009F677A" w:rsidRDefault="00B60DC2" w:rsidP="00BD3FB5">
      <w:pPr>
        <w:pStyle w:val="ListParagraph"/>
        <w:numPr>
          <w:ilvl w:val="0"/>
          <w:numId w:val="19"/>
        </w:numPr>
        <w:tabs>
          <w:tab w:val="left" w:pos="851"/>
        </w:tabs>
        <w:autoSpaceDE w:val="0"/>
        <w:autoSpaceDN w:val="0"/>
        <w:adjustRightInd w:val="0"/>
        <w:rPr>
          <w:rFonts w:eastAsia="Cambria" w:cs="Arial"/>
          <w:szCs w:val="20"/>
        </w:rPr>
      </w:pPr>
      <w:r w:rsidRPr="009F677A">
        <w:rPr>
          <w:rFonts w:eastAsia="Cambria" w:cs="Arial"/>
          <w:szCs w:val="20"/>
        </w:rPr>
        <w:t>Allowed Revenue – No change as per the Licence.</w:t>
      </w:r>
    </w:p>
    <w:p w14:paraId="4E5B99F6" w14:textId="77777777" w:rsidR="00B60DC2" w:rsidRPr="00A914DC" w:rsidRDefault="00B60DC2" w:rsidP="00BD3FB5">
      <w:pPr>
        <w:pStyle w:val="ListParagraph"/>
        <w:numPr>
          <w:ilvl w:val="0"/>
          <w:numId w:val="19"/>
        </w:numPr>
        <w:tabs>
          <w:tab w:val="left" w:pos="851"/>
        </w:tabs>
        <w:autoSpaceDE w:val="0"/>
        <w:autoSpaceDN w:val="0"/>
        <w:adjustRightInd w:val="0"/>
        <w:rPr>
          <w:rFonts w:eastAsia="Cambria" w:cs="Arial"/>
          <w:szCs w:val="20"/>
        </w:rPr>
      </w:pPr>
      <w:r w:rsidRPr="009F677A">
        <w:rPr>
          <w:rFonts w:eastAsia="Cambria" w:cs="Arial"/>
          <w:szCs w:val="20"/>
        </w:rPr>
        <w:t xml:space="preserve">Principles and application of Interruptible – As per </w:t>
      </w:r>
      <w:r w:rsidRPr="00221A56">
        <w:rPr>
          <w:rFonts w:eastAsia="Cambria" w:cs="Arial"/>
          <w:szCs w:val="20"/>
        </w:rPr>
        <w:t>prevailing terms</w:t>
      </w:r>
      <w:r>
        <w:rPr>
          <w:rFonts w:eastAsia="Cambria" w:cs="Arial"/>
          <w:szCs w:val="20"/>
        </w:rPr>
        <w:t xml:space="preserve">. In respect of IPs, the terms implemented pursuant to </w:t>
      </w:r>
      <w:r w:rsidRPr="009F677A">
        <w:rPr>
          <w:rFonts w:eastAsia="Cambria" w:cs="Arial"/>
          <w:szCs w:val="20"/>
        </w:rPr>
        <w:t>M</w:t>
      </w:r>
      <w:r>
        <w:rPr>
          <w:rFonts w:eastAsia="Cambria" w:cs="Arial"/>
          <w:szCs w:val="20"/>
        </w:rPr>
        <w:t>odification 0</w:t>
      </w:r>
      <w:r w:rsidRPr="009F677A">
        <w:rPr>
          <w:rFonts w:eastAsia="Cambria" w:cs="Arial"/>
          <w:szCs w:val="20"/>
        </w:rPr>
        <w:t>500</w:t>
      </w:r>
      <w:r>
        <w:rPr>
          <w:rFonts w:eastAsia="Cambria" w:cs="Arial"/>
          <w:szCs w:val="20"/>
        </w:rPr>
        <w:t>,</w:t>
      </w:r>
      <w:r w:rsidRPr="009F677A">
        <w:rPr>
          <w:rFonts w:eastAsia="Cambria" w:cs="Arial"/>
          <w:szCs w:val="20"/>
        </w:rPr>
        <w:t xml:space="preserve"> EU Capacity Regulations - Capacity Allocation Mechanisms with Congestion Management Procedures.</w:t>
      </w:r>
    </w:p>
    <w:p w14:paraId="1FC9F46B" w14:textId="77777777" w:rsidR="00B60DC2" w:rsidRPr="0065262A" w:rsidRDefault="00B60DC2" w:rsidP="00C15449">
      <w:pPr>
        <w:autoSpaceDE w:val="0"/>
        <w:autoSpaceDN w:val="0"/>
        <w:adjustRightInd w:val="0"/>
        <w:rPr>
          <w:rFonts w:cs="Arial"/>
        </w:rPr>
      </w:pPr>
    </w:p>
    <w:p w14:paraId="1C249C8F" w14:textId="77777777" w:rsidR="009A440A" w:rsidRPr="00897DA5" w:rsidRDefault="009A440A" w:rsidP="009A440A">
      <w:pPr>
        <w:rPr>
          <w:rFonts w:cs="Arial"/>
          <w:b/>
          <w:bCs/>
          <w:color w:val="008576"/>
          <w:sz w:val="24"/>
        </w:rPr>
      </w:pPr>
      <w:r w:rsidRPr="00897DA5">
        <w:rPr>
          <w:rFonts w:cs="Arial"/>
          <w:b/>
          <w:bCs/>
          <w:color w:val="008576"/>
          <w:sz w:val="24"/>
        </w:rPr>
        <w:t xml:space="preserve">For information only: </w:t>
      </w:r>
    </w:p>
    <w:p w14:paraId="29D780B2" w14:textId="77777777" w:rsidR="00B60DC2" w:rsidRDefault="00B60DC2" w:rsidP="00B60DC2">
      <w:pPr>
        <w:autoSpaceDE w:val="0"/>
        <w:autoSpaceDN w:val="0"/>
        <w:adjustRightInd w:val="0"/>
        <w:rPr>
          <w:rFonts w:cs="Arial"/>
        </w:rPr>
      </w:pPr>
      <w:r w:rsidRPr="0065262A">
        <w:rPr>
          <w:rFonts w:cs="Arial"/>
        </w:rPr>
        <w:t xml:space="preserve">As an overall package this </w:t>
      </w:r>
      <w:r>
        <w:rPr>
          <w:rFonts w:cs="Arial"/>
        </w:rPr>
        <w:t xml:space="preserve">updated draft </w:t>
      </w:r>
      <w:r w:rsidRPr="0065262A">
        <w:rPr>
          <w:rFonts w:cs="Arial"/>
        </w:rPr>
        <w:t xml:space="preserve">modification proposal </w:t>
      </w:r>
      <w:r>
        <w:rPr>
          <w:rFonts w:cs="Arial"/>
        </w:rPr>
        <w:t xml:space="preserve">is an update reflective of current views and following discussions at NTSCMF with industry stakeholders. This can be updated </w:t>
      </w:r>
      <w:r w:rsidRPr="0065262A">
        <w:rPr>
          <w:rFonts w:cs="Arial"/>
        </w:rPr>
        <w:t xml:space="preserve">within the UNC </w:t>
      </w:r>
      <w:r w:rsidRPr="0065262A">
        <w:rPr>
          <w:rFonts w:cs="Arial"/>
        </w:rPr>
        <w:lastRenderedPageBreak/>
        <w:t>modification process</w:t>
      </w:r>
      <w:r>
        <w:rPr>
          <w:rFonts w:cs="Arial"/>
        </w:rPr>
        <w:t xml:space="preserve"> where there are areas requiring additional detail or discussion. These are highlighted in the relevant parts of the solution</w:t>
      </w:r>
      <w:r w:rsidRPr="0065262A">
        <w:rPr>
          <w:rFonts w:cs="Arial"/>
        </w:rPr>
        <w:t>.</w:t>
      </w:r>
    </w:p>
    <w:p w14:paraId="0E759C31" w14:textId="77777777" w:rsidR="00F20FAB" w:rsidRPr="00D1570A" w:rsidRDefault="00F20FAB" w:rsidP="000F4631">
      <w:pPr>
        <w:pStyle w:val="Heading02"/>
      </w:pPr>
      <w:bookmarkStart w:id="6" w:name="_Toc504395611"/>
      <w:r w:rsidRPr="00D1570A">
        <w:t>Code Specific Matters</w:t>
      </w:r>
      <w:bookmarkEnd w:id="6"/>
    </w:p>
    <w:p w14:paraId="50F5B7F3" w14:textId="77777777" w:rsidR="00850F32" w:rsidRPr="00D1570A" w:rsidRDefault="00045F75" w:rsidP="00045F75">
      <w:pPr>
        <w:pStyle w:val="Heading4"/>
        <w:keepLines w:val="0"/>
        <w:numPr>
          <w:ilvl w:val="0"/>
          <w:numId w:val="0"/>
        </w:numPr>
        <w:spacing w:before="240"/>
        <w:rPr>
          <w:rFonts w:ascii="Arial" w:eastAsia="Times New Roman" w:hAnsi="Arial" w:cs="Arial"/>
          <w:i w:val="0"/>
          <w:iCs w:val="0"/>
          <w:color w:val="008576"/>
          <w:sz w:val="24"/>
        </w:rPr>
      </w:pPr>
      <w:r w:rsidRPr="00D1570A">
        <w:rPr>
          <w:rFonts w:ascii="Arial" w:eastAsia="Times New Roman" w:hAnsi="Arial" w:cs="Arial"/>
          <w:i w:val="0"/>
          <w:iCs w:val="0"/>
          <w:color w:val="008576"/>
          <w:sz w:val="24"/>
        </w:rPr>
        <w:t>Reference Documents</w:t>
      </w:r>
    </w:p>
    <w:p w14:paraId="7D9ECF4C" w14:textId="77777777" w:rsidR="003C1B2F" w:rsidRPr="00AC7AD6" w:rsidRDefault="003C1B2F" w:rsidP="003C1B2F">
      <w:pPr>
        <w:rPr>
          <w:highlight w:val="yellow"/>
        </w:rPr>
      </w:pPr>
      <w:r w:rsidRPr="00D1570A">
        <w:t xml:space="preserve">There are summary documents available on each of the topics (mentioned in the solution section of the modification proposal) which have been discussed at NTSCMF and sub-groups related to the gas charging review, which are available at: </w:t>
      </w:r>
      <w:hyperlink r:id="rId20" w:history="1">
        <w:r w:rsidRPr="00D1570A">
          <w:rPr>
            <w:rStyle w:val="Hyperlink"/>
          </w:rPr>
          <w:t>http://www.gasgovernance.co.uk/ntscmf/subg1page</w:t>
        </w:r>
      </w:hyperlink>
      <w:r w:rsidRPr="00D1570A">
        <w:t xml:space="preserve"> and </w:t>
      </w:r>
      <w:hyperlink r:id="rId21" w:history="1">
        <w:r w:rsidRPr="00D1570A">
          <w:rPr>
            <w:rStyle w:val="Hyperlink"/>
          </w:rPr>
          <w:t>http://www.gasgovernance.co.uk/ntscmf/subg1model</w:t>
        </w:r>
      </w:hyperlink>
      <w:r w:rsidRPr="00D1570A">
        <w:t xml:space="preserve">. </w:t>
      </w:r>
    </w:p>
    <w:p w14:paraId="6EB3A7ED" w14:textId="77777777" w:rsidR="00347227" w:rsidRDefault="00347227" w:rsidP="00347227">
      <w:pPr>
        <w:rPr>
          <w:rFonts w:cs="Arial"/>
        </w:rPr>
      </w:pPr>
      <w:r w:rsidRPr="00D1570A">
        <w:rPr>
          <w:rFonts w:cs="Arial"/>
        </w:rPr>
        <w:t xml:space="preserve">A CWD Model and User Guide have been produced which can be found at: </w:t>
      </w:r>
      <w:hyperlink r:id="rId22" w:history="1">
        <w:r w:rsidRPr="00D1570A">
          <w:rPr>
            <w:rStyle w:val="Hyperlink"/>
            <w:rFonts w:cs="Arial"/>
          </w:rPr>
          <w:t>http://www.gasgovernance.co.uk/ntscmf</w:t>
        </w:r>
      </w:hyperlink>
      <w:r w:rsidRPr="00D1570A">
        <w:rPr>
          <w:rFonts w:cs="Arial"/>
        </w:rPr>
        <w:t xml:space="preserve">. </w:t>
      </w:r>
    </w:p>
    <w:p w14:paraId="7D3E1E37" w14:textId="77777777" w:rsidR="00347227" w:rsidRPr="005B05E9" w:rsidRDefault="00347227" w:rsidP="00347227">
      <w:pPr>
        <w:rPr>
          <w:highlight w:val="yellow"/>
        </w:rPr>
      </w:pPr>
      <w:r w:rsidRPr="00D1570A">
        <w:rPr>
          <w:rFonts w:cs="Arial"/>
          <w:color w:val="000000"/>
        </w:rPr>
        <w:t>A Postage Stamp model is also available to be able to do a comparison of the prices in each of these models (found at the same location).</w:t>
      </w:r>
    </w:p>
    <w:p w14:paraId="508397A3" w14:textId="29531A35" w:rsidR="003C1B2F" w:rsidRDefault="00347227" w:rsidP="00BA0622">
      <w:pPr>
        <w:rPr>
          <w:rFonts w:eastAsia="Cambria"/>
        </w:rPr>
      </w:pPr>
      <w:r w:rsidRPr="00D1570A">
        <w:rPr>
          <w:rFonts w:cs="Arial"/>
        </w:rPr>
        <w:t xml:space="preserve">A Non-Transmission Services model has been produced which can be found at: </w:t>
      </w:r>
      <w:hyperlink r:id="rId23" w:history="1">
        <w:r w:rsidRPr="00D1570A">
          <w:rPr>
            <w:rStyle w:val="Hyperlink"/>
            <w:rFonts w:cs="Arial"/>
          </w:rPr>
          <w:t>http://www.gasgovernance.co.uk/ntscmf</w:t>
        </w:r>
      </w:hyperlink>
    </w:p>
    <w:p w14:paraId="635D19F6" w14:textId="77777777" w:rsidR="00BB7814" w:rsidRPr="00D1570A" w:rsidRDefault="00BB7814" w:rsidP="00BA0622">
      <w:pPr>
        <w:rPr>
          <w:rFonts w:eastAsia="Cambria"/>
        </w:rPr>
      </w:pPr>
      <w:r w:rsidRPr="00D1570A">
        <w:rPr>
          <w:rFonts w:eastAsia="Cambria"/>
        </w:rPr>
        <w:t xml:space="preserve">Uniform Network Code (UNC) Section Y: </w:t>
      </w:r>
    </w:p>
    <w:p w14:paraId="05B9D2BB" w14:textId="77777777" w:rsidR="00BB7814" w:rsidRPr="00D1570A" w:rsidRDefault="00CB6848" w:rsidP="00BA0622">
      <w:pPr>
        <w:rPr>
          <w:rFonts w:eastAsia="Cambria"/>
        </w:rPr>
      </w:pPr>
      <w:hyperlink r:id="rId24" w:history="1">
        <w:r w:rsidR="00BB7814" w:rsidRPr="00D1570A">
          <w:rPr>
            <w:rStyle w:val="Hyperlink"/>
            <w:rFonts w:eastAsia="Cambria"/>
          </w:rPr>
          <w:t>http://www.gasgovernance.co.uk/sites/default/files/TPD%20Section%20Y%20-%20Charging%20Methodologies_29.pdf</w:t>
        </w:r>
      </w:hyperlink>
    </w:p>
    <w:p w14:paraId="44D5F3AD" w14:textId="77777777" w:rsidR="00BB7814" w:rsidRPr="00D1570A" w:rsidRDefault="00BB7814" w:rsidP="00BA0622">
      <w:pPr>
        <w:pStyle w:val="Heading4"/>
        <w:keepLines w:val="0"/>
        <w:numPr>
          <w:ilvl w:val="0"/>
          <w:numId w:val="0"/>
        </w:numPr>
        <w:spacing w:before="120"/>
        <w:rPr>
          <w:rFonts w:ascii="Arial" w:eastAsia="Cambria" w:hAnsi="Arial"/>
          <w:b w:val="0"/>
          <w:bCs w:val="0"/>
          <w:i w:val="0"/>
          <w:iCs w:val="0"/>
          <w:color w:val="auto"/>
        </w:rPr>
      </w:pPr>
      <w:r w:rsidRPr="00D1570A">
        <w:rPr>
          <w:rFonts w:ascii="Arial" w:eastAsia="Cambria" w:hAnsi="Arial"/>
          <w:b w:val="0"/>
          <w:bCs w:val="0"/>
          <w:i w:val="0"/>
          <w:iCs w:val="0"/>
          <w:color w:val="auto"/>
        </w:rPr>
        <w:t xml:space="preserve">UNC European Interconnection Document (EID): </w:t>
      </w:r>
    </w:p>
    <w:p w14:paraId="5EF1FFF9" w14:textId="77777777" w:rsidR="00BB7814" w:rsidRPr="00D1570A" w:rsidRDefault="00CB6848" w:rsidP="00BA0622">
      <w:pPr>
        <w:pStyle w:val="Heading4"/>
        <w:keepLines w:val="0"/>
        <w:numPr>
          <w:ilvl w:val="0"/>
          <w:numId w:val="0"/>
        </w:numPr>
        <w:spacing w:before="120"/>
        <w:rPr>
          <w:rFonts w:ascii="Arial" w:eastAsia="Cambria" w:hAnsi="Arial"/>
          <w:b w:val="0"/>
          <w:bCs w:val="0"/>
          <w:i w:val="0"/>
          <w:iCs w:val="0"/>
          <w:color w:val="auto"/>
        </w:rPr>
      </w:pPr>
      <w:hyperlink r:id="rId25" w:history="1">
        <w:r w:rsidR="00BB7814" w:rsidRPr="00D1570A">
          <w:rPr>
            <w:rStyle w:val="Hyperlink"/>
            <w:rFonts w:ascii="Arial" w:eastAsia="Cambria" w:hAnsi="Arial"/>
            <w:b w:val="0"/>
            <w:bCs w:val="0"/>
            <w:i w:val="0"/>
            <w:iCs w:val="0"/>
          </w:rPr>
          <w:t>http://www.gasgovernance.co.uk/EID</w:t>
        </w:r>
      </w:hyperlink>
    </w:p>
    <w:p w14:paraId="04F5E248" w14:textId="77777777" w:rsidR="00C456FE" w:rsidRPr="00D1570A" w:rsidRDefault="00C456FE" w:rsidP="00BA0622">
      <w:pPr>
        <w:pStyle w:val="Heading4"/>
        <w:keepLines w:val="0"/>
        <w:numPr>
          <w:ilvl w:val="0"/>
          <w:numId w:val="0"/>
        </w:numPr>
        <w:spacing w:before="120"/>
        <w:rPr>
          <w:rFonts w:ascii="ArialMT" w:eastAsia="Cambria" w:hAnsi="ArialMT" w:cs="ArialMT"/>
          <w:b w:val="0"/>
          <w:color w:val="0000FF"/>
          <w:szCs w:val="20"/>
        </w:rPr>
      </w:pPr>
      <w:r w:rsidRPr="00D1570A">
        <w:rPr>
          <w:rFonts w:ascii="Arial" w:eastAsia="Cambria" w:hAnsi="Arial"/>
          <w:b w:val="0"/>
          <w:bCs w:val="0"/>
          <w:i w:val="0"/>
          <w:iCs w:val="0"/>
          <w:color w:val="auto"/>
        </w:rPr>
        <w:t>EU Tariff Code:</w:t>
      </w:r>
      <w:r w:rsidRPr="00D1570A">
        <w:rPr>
          <w:rFonts w:ascii="ArialMT" w:eastAsia="Cambria" w:hAnsi="ArialMT" w:cs="ArialMT"/>
          <w:b w:val="0"/>
          <w:color w:val="0000FF"/>
          <w:szCs w:val="20"/>
        </w:rPr>
        <w:t xml:space="preserve"> </w:t>
      </w:r>
    </w:p>
    <w:p w14:paraId="67F68A11" w14:textId="77777777" w:rsidR="00850F32" w:rsidRPr="00D1570A" w:rsidRDefault="00CB6848" w:rsidP="00BA0622">
      <w:pPr>
        <w:pStyle w:val="Heading4"/>
        <w:keepLines w:val="0"/>
        <w:numPr>
          <w:ilvl w:val="0"/>
          <w:numId w:val="0"/>
        </w:numPr>
        <w:spacing w:before="120"/>
        <w:rPr>
          <w:rFonts w:ascii="ArialMT" w:eastAsia="Cambria" w:hAnsi="ArialMT" w:cs="ArialMT"/>
          <w:b w:val="0"/>
          <w:color w:val="0000FF"/>
          <w:szCs w:val="20"/>
        </w:rPr>
      </w:pPr>
      <w:hyperlink r:id="rId26" w:history="1">
        <w:r w:rsidR="00850F32" w:rsidRPr="00D1570A">
          <w:rPr>
            <w:rStyle w:val="Hyperlink"/>
            <w:rFonts w:ascii="ArialMT" w:eastAsia="Cambria" w:hAnsi="ArialMT" w:cs="ArialMT"/>
            <w:b w:val="0"/>
            <w:szCs w:val="20"/>
          </w:rPr>
          <w:t>http://www.gasgovernance.co.uk/sites/default/files/EU%20Tariff%20Code%20-%20final%20clean.pdf</w:t>
        </w:r>
      </w:hyperlink>
    </w:p>
    <w:p w14:paraId="0CE40DB3" w14:textId="77777777" w:rsidR="00347227" w:rsidRDefault="00347227" w:rsidP="00347227">
      <w:pPr>
        <w:rPr>
          <w:rFonts w:eastAsia="Cambria"/>
        </w:rPr>
      </w:pPr>
      <w:r>
        <w:rPr>
          <w:rFonts w:eastAsia="Cambria"/>
        </w:rPr>
        <w:t>Implementation Document for the Network Code on Harmonised Transmission Tariff Structures for Gas (Second Edition)</w:t>
      </w:r>
    </w:p>
    <w:p w14:paraId="74212BA2" w14:textId="05888F3B" w:rsidR="00347227" w:rsidRDefault="00CB6848" w:rsidP="00E751DD">
      <w:pPr>
        <w:rPr>
          <w:rFonts w:eastAsia="Cambria"/>
        </w:rPr>
      </w:pPr>
      <w:hyperlink r:id="rId27" w:history="1">
        <w:r w:rsidR="00347227" w:rsidRPr="002D5CBB">
          <w:rPr>
            <w:rStyle w:val="Hyperlink"/>
            <w:rFonts w:eastAsia="Cambria"/>
          </w:rPr>
          <w:t>https://www.entsog.eu/public/uploads/files/publications/Tariffs/2017/TAR1000_170928_2nd%20Implementation%20Document_Low-Res.pdf</w:t>
        </w:r>
      </w:hyperlink>
      <w:r w:rsidR="00347227">
        <w:rPr>
          <w:rFonts w:eastAsia="Cambria"/>
        </w:rPr>
        <w:t xml:space="preserve"> </w:t>
      </w:r>
    </w:p>
    <w:p w14:paraId="781BAAEE" w14:textId="77777777" w:rsidR="00E751DD" w:rsidRPr="00D1570A" w:rsidRDefault="00E751DD" w:rsidP="00E751DD">
      <w:pPr>
        <w:rPr>
          <w:rFonts w:eastAsia="Cambria"/>
        </w:rPr>
      </w:pPr>
      <w:r w:rsidRPr="00D1570A">
        <w:rPr>
          <w:rFonts w:eastAsia="Cambria"/>
        </w:rPr>
        <w:t xml:space="preserve">Uniform Network Code (UNC) Section B: </w:t>
      </w:r>
    </w:p>
    <w:p w14:paraId="587956DC" w14:textId="77777777" w:rsidR="00E751DD" w:rsidRPr="00D1570A" w:rsidRDefault="00CB6848" w:rsidP="00E751DD">
      <w:pPr>
        <w:rPr>
          <w:rFonts w:eastAsia="Cambria"/>
        </w:rPr>
      </w:pPr>
      <w:hyperlink r:id="rId28" w:history="1">
        <w:r w:rsidR="00E751DD" w:rsidRPr="00D1570A">
          <w:rPr>
            <w:rStyle w:val="Hyperlink"/>
            <w:rFonts w:eastAsia="Cambria"/>
          </w:rPr>
          <w:t>http://www.gasgovernance.co.uk/sites/default/files/TPD%20Section%20B%20-%20System%20Use%20&amp;%20Capacity_55.pdf</w:t>
        </w:r>
      </w:hyperlink>
    </w:p>
    <w:p w14:paraId="42060D10" w14:textId="77777777" w:rsidR="00E751DD" w:rsidRPr="00D1570A" w:rsidRDefault="00E751DD" w:rsidP="00E751DD">
      <w:pPr>
        <w:rPr>
          <w:rFonts w:eastAsia="Cambria"/>
        </w:rPr>
      </w:pPr>
      <w:r w:rsidRPr="00D1570A">
        <w:rPr>
          <w:rFonts w:eastAsia="Cambria"/>
        </w:rPr>
        <w:t>NTS Transportation Statements:</w:t>
      </w:r>
    </w:p>
    <w:p w14:paraId="7D30022A" w14:textId="77777777" w:rsidR="00E751DD" w:rsidRPr="00D1570A" w:rsidRDefault="00CB6848" w:rsidP="00E751DD">
      <w:pPr>
        <w:rPr>
          <w:rFonts w:eastAsia="Cambria"/>
        </w:rPr>
      </w:pPr>
      <w:hyperlink r:id="rId29" w:history="1">
        <w:r w:rsidR="00E751DD" w:rsidRPr="00D1570A">
          <w:rPr>
            <w:rStyle w:val="Hyperlink"/>
            <w:rFonts w:eastAsia="Cambria"/>
          </w:rPr>
          <w:t>http://www.gasgovernance.co.uk/ntschargingstatements</w:t>
        </w:r>
      </w:hyperlink>
    </w:p>
    <w:p w14:paraId="35CFFFEB" w14:textId="77777777" w:rsidR="00DF01C0" w:rsidRPr="00D1570A" w:rsidRDefault="00DF01C0" w:rsidP="00E751DD">
      <w:pPr>
        <w:rPr>
          <w:rFonts w:eastAsia="Cambria"/>
        </w:rPr>
      </w:pPr>
      <w:r w:rsidRPr="00D1570A">
        <w:rPr>
          <w:rFonts w:eastAsia="Cambria"/>
        </w:rPr>
        <w:t>Customer and Stakeholder Objectives:</w:t>
      </w:r>
    </w:p>
    <w:p w14:paraId="07999B30" w14:textId="77777777" w:rsidR="00DF01C0" w:rsidRPr="00D1570A" w:rsidRDefault="00CB6848" w:rsidP="00E751DD">
      <w:pPr>
        <w:rPr>
          <w:rFonts w:eastAsia="Cambria"/>
        </w:rPr>
      </w:pPr>
      <w:hyperlink r:id="rId30" w:history="1">
        <w:r w:rsidR="00DF01C0" w:rsidRPr="00D1570A">
          <w:rPr>
            <w:rStyle w:val="Hyperlink"/>
            <w:rFonts w:eastAsia="Cambria"/>
          </w:rPr>
          <w:t>http://www.gasgovernance.co.uk/sites/default/files/NTS%20Charging%20Review%20Objectives%2006Sep16%20v1.0.pdf</w:t>
        </w:r>
      </w:hyperlink>
    </w:p>
    <w:p w14:paraId="2AE3387C" w14:textId="77777777" w:rsidR="00DF01C0" w:rsidRPr="00D1570A" w:rsidRDefault="00084FB3" w:rsidP="00E751DD">
      <w:pPr>
        <w:rPr>
          <w:rFonts w:eastAsia="Cambria"/>
        </w:rPr>
      </w:pPr>
      <w:r w:rsidRPr="00D1570A">
        <w:rPr>
          <w:rFonts w:eastAsia="Cambria"/>
        </w:rPr>
        <w:t>Gas Transmission Charging Review</w:t>
      </w:r>
      <w:r w:rsidR="005735DD" w:rsidRPr="00D1570A">
        <w:rPr>
          <w:rFonts w:eastAsia="Cambria"/>
        </w:rPr>
        <w:t xml:space="preserve"> (GTCR)</w:t>
      </w:r>
      <w:r w:rsidRPr="00D1570A">
        <w:rPr>
          <w:rFonts w:eastAsia="Cambria"/>
        </w:rPr>
        <w:t xml:space="preserve"> and associated update letters:</w:t>
      </w:r>
    </w:p>
    <w:p w14:paraId="69FAC1CA" w14:textId="77777777" w:rsidR="00084FB3" w:rsidRPr="00D1570A" w:rsidRDefault="00CB6848" w:rsidP="00E751DD">
      <w:pPr>
        <w:rPr>
          <w:rFonts w:eastAsia="Cambria"/>
        </w:rPr>
      </w:pPr>
      <w:hyperlink r:id="rId31" w:history="1">
        <w:r w:rsidR="005735DD" w:rsidRPr="00D1570A">
          <w:rPr>
            <w:rStyle w:val="Hyperlink"/>
            <w:rFonts w:eastAsia="Cambria"/>
          </w:rPr>
          <w:t>https://www.ofgem.gov.uk/gas/transmission-networks/gas-transmission-charging-review</w:t>
        </w:r>
      </w:hyperlink>
    </w:p>
    <w:p w14:paraId="53E94CEE" w14:textId="77777777" w:rsidR="00045F75" w:rsidRPr="00D1570A" w:rsidRDefault="00045F75" w:rsidP="00045F75">
      <w:pPr>
        <w:pStyle w:val="Heading4"/>
        <w:keepLines w:val="0"/>
        <w:numPr>
          <w:ilvl w:val="0"/>
          <w:numId w:val="0"/>
        </w:numPr>
        <w:spacing w:before="240"/>
        <w:rPr>
          <w:rFonts w:ascii="Arial" w:eastAsia="Times New Roman" w:hAnsi="Arial" w:cs="Arial"/>
          <w:i w:val="0"/>
          <w:iCs w:val="0"/>
          <w:color w:val="008576"/>
          <w:sz w:val="24"/>
        </w:rPr>
      </w:pPr>
      <w:r w:rsidRPr="00D1570A">
        <w:rPr>
          <w:rFonts w:ascii="Arial" w:eastAsia="Times New Roman" w:hAnsi="Arial" w:cs="Arial"/>
          <w:i w:val="0"/>
          <w:iCs w:val="0"/>
          <w:color w:val="008576"/>
          <w:sz w:val="24"/>
        </w:rPr>
        <w:lastRenderedPageBreak/>
        <w:t>Knowledge/Skills</w:t>
      </w:r>
    </w:p>
    <w:p w14:paraId="38392B8A" w14:textId="77777777" w:rsidR="00045F75" w:rsidRDefault="00850F32" w:rsidP="00903B81">
      <w:pPr>
        <w:autoSpaceDE w:val="0"/>
        <w:autoSpaceDN w:val="0"/>
        <w:adjustRightInd w:val="0"/>
        <w:spacing w:before="0" w:after="0"/>
        <w:rPr>
          <w:rFonts w:eastAsia="Cambria" w:cs="Arial"/>
          <w:szCs w:val="20"/>
        </w:rPr>
      </w:pPr>
      <w:r w:rsidRPr="0065262A">
        <w:rPr>
          <w:rFonts w:eastAsia="Cambria" w:cs="Arial"/>
          <w:szCs w:val="20"/>
        </w:rPr>
        <w:t xml:space="preserve">An understanding of the </w:t>
      </w:r>
      <w:r w:rsidR="00BB7814" w:rsidRPr="0065262A">
        <w:rPr>
          <w:rFonts w:eastAsia="Cambria" w:cs="Arial"/>
          <w:szCs w:val="20"/>
        </w:rPr>
        <w:t>Section Y Part A within the UNC</w:t>
      </w:r>
      <w:r w:rsidR="00E751DD" w:rsidRPr="0065262A">
        <w:rPr>
          <w:rFonts w:eastAsia="Cambria" w:cs="Arial"/>
          <w:szCs w:val="20"/>
        </w:rPr>
        <w:t>, NTS Transportation Statements</w:t>
      </w:r>
      <w:r w:rsidR="00BB7814" w:rsidRPr="0065262A">
        <w:rPr>
          <w:rFonts w:eastAsia="Cambria" w:cs="Arial"/>
          <w:szCs w:val="20"/>
        </w:rPr>
        <w:t>, the EID within the UNC</w:t>
      </w:r>
      <w:r w:rsidR="00E751DD" w:rsidRPr="0065262A">
        <w:rPr>
          <w:rFonts w:eastAsia="Cambria" w:cs="Arial"/>
          <w:szCs w:val="20"/>
        </w:rPr>
        <w:t>, Section B within the UNC</w:t>
      </w:r>
      <w:r w:rsidR="00DF01C0" w:rsidRPr="0065262A">
        <w:rPr>
          <w:rFonts w:eastAsia="Cambria" w:cs="Arial"/>
          <w:szCs w:val="20"/>
        </w:rPr>
        <w:t xml:space="preserve">, </w:t>
      </w:r>
      <w:r w:rsidR="00BB7814" w:rsidRPr="0065262A">
        <w:rPr>
          <w:rFonts w:eastAsia="Cambria" w:cs="Arial"/>
          <w:szCs w:val="20"/>
        </w:rPr>
        <w:t xml:space="preserve">the </w:t>
      </w:r>
      <w:r w:rsidR="00903B81" w:rsidRPr="0065262A">
        <w:rPr>
          <w:rFonts w:eastAsia="Cambria" w:cs="Arial"/>
          <w:szCs w:val="20"/>
        </w:rPr>
        <w:t>EU Tariff code</w:t>
      </w:r>
      <w:r w:rsidR="005735DD" w:rsidRPr="0065262A">
        <w:rPr>
          <w:rFonts w:eastAsia="Cambria" w:cs="Arial"/>
          <w:szCs w:val="20"/>
        </w:rPr>
        <w:t>, GTCR documentation</w:t>
      </w:r>
      <w:r w:rsidR="00BB7814" w:rsidRPr="0065262A">
        <w:rPr>
          <w:rFonts w:eastAsia="Cambria" w:cs="Arial"/>
          <w:szCs w:val="20"/>
        </w:rPr>
        <w:t xml:space="preserve"> </w:t>
      </w:r>
      <w:r w:rsidR="00DF01C0" w:rsidRPr="0065262A">
        <w:rPr>
          <w:rFonts w:eastAsia="Cambria" w:cs="Arial"/>
          <w:szCs w:val="20"/>
        </w:rPr>
        <w:t xml:space="preserve">and the </w:t>
      </w:r>
      <w:r w:rsidR="002B6ACC" w:rsidRPr="0065262A">
        <w:rPr>
          <w:rFonts w:eastAsia="Cambria" w:cs="Arial"/>
          <w:szCs w:val="20"/>
        </w:rPr>
        <w:t>c</w:t>
      </w:r>
      <w:r w:rsidR="00DF01C0" w:rsidRPr="0065262A">
        <w:rPr>
          <w:rFonts w:eastAsia="Cambria" w:cs="Arial"/>
          <w:szCs w:val="20"/>
        </w:rPr>
        <w:t>ustomer</w:t>
      </w:r>
      <w:r w:rsidR="002B6ACC" w:rsidRPr="0065262A">
        <w:rPr>
          <w:rFonts w:eastAsia="Cambria" w:cs="Arial"/>
          <w:szCs w:val="20"/>
        </w:rPr>
        <w:t>/s</w:t>
      </w:r>
      <w:r w:rsidR="00DF01C0" w:rsidRPr="0065262A">
        <w:rPr>
          <w:rFonts w:eastAsia="Cambria" w:cs="Arial"/>
          <w:szCs w:val="20"/>
        </w:rPr>
        <w:t xml:space="preserve">takeholder </w:t>
      </w:r>
      <w:r w:rsidR="002B6ACC" w:rsidRPr="0065262A">
        <w:rPr>
          <w:rFonts w:eastAsia="Cambria" w:cs="Arial"/>
          <w:szCs w:val="20"/>
        </w:rPr>
        <w:t>o</w:t>
      </w:r>
      <w:r w:rsidR="00DF01C0" w:rsidRPr="0065262A">
        <w:rPr>
          <w:rFonts w:eastAsia="Cambria" w:cs="Arial"/>
          <w:szCs w:val="20"/>
        </w:rPr>
        <w:t>b</w:t>
      </w:r>
      <w:r w:rsidR="005735DD" w:rsidRPr="0065262A">
        <w:rPr>
          <w:rFonts w:eastAsia="Cambria" w:cs="Arial"/>
          <w:szCs w:val="20"/>
        </w:rPr>
        <w:t>j</w:t>
      </w:r>
      <w:r w:rsidR="00DF01C0" w:rsidRPr="0065262A">
        <w:rPr>
          <w:rFonts w:eastAsia="Cambria" w:cs="Arial"/>
          <w:szCs w:val="20"/>
        </w:rPr>
        <w:t xml:space="preserve">ectives developed within NTSCMF </w:t>
      </w:r>
      <w:r w:rsidRPr="0065262A">
        <w:rPr>
          <w:rFonts w:eastAsia="Cambria" w:cs="Arial"/>
          <w:szCs w:val="20"/>
        </w:rPr>
        <w:t>would be beneficial.</w:t>
      </w:r>
      <w:r w:rsidR="00DF01C0" w:rsidRPr="0065262A">
        <w:rPr>
          <w:rFonts w:eastAsia="Cambria" w:cs="Arial"/>
          <w:szCs w:val="20"/>
        </w:rPr>
        <w:t xml:space="preserve"> </w:t>
      </w:r>
    </w:p>
    <w:p w14:paraId="62EB72F8" w14:textId="77777777" w:rsidR="00347227" w:rsidRDefault="00347227" w:rsidP="00903B81">
      <w:pPr>
        <w:autoSpaceDE w:val="0"/>
        <w:autoSpaceDN w:val="0"/>
        <w:adjustRightInd w:val="0"/>
        <w:spacing w:before="0" w:after="0"/>
        <w:rPr>
          <w:rFonts w:eastAsia="Cambria" w:cs="Arial"/>
          <w:szCs w:val="20"/>
        </w:rPr>
      </w:pPr>
    </w:p>
    <w:p w14:paraId="47BA46D3" w14:textId="77777777" w:rsidR="00347227" w:rsidRPr="00A914DC" w:rsidRDefault="00347227" w:rsidP="00347227">
      <w:pPr>
        <w:pStyle w:val="Heading4"/>
        <w:keepLines w:val="0"/>
        <w:numPr>
          <w:ilvl w:val="0"/>
          <w:numId w:val="0"/>
        </w:numPr>
        <w:spacing w:before="240"/>
        <w:rPr>
          <w:rFonts w:ascii="Arial" w:eastAsia="Times New Roman" w:hAnsi="Arial" w:cs="Arial"/>
          <w:i w:val="0"/>
          <w:iCs w:val="0"/>
          <w:color w:val="008576"/>
          <w:sz w:val="24"/>
        </w:rPr>
      </w:pPr>
      <w:r w:rsidRPr="00A914DC">
        <w:rPr>
          <w:rFonts w:ascii="Arial" w:eastAsia="Times New Roman" w:hAnsi="Arial" w:cs="Arial"/>
          <w:i w:val="0"/>
          <w:iCs w:val="0"/>
          <w:color w:val="008576"/>
          <w:sz w:val="24"/>
        </w:rPr>
        <w:t>Definitions</w:t>
      </w:r>
    </w:p>
    <w:p w14:paraId="503BFAB9" w14:textId="77777777" w:rsidR="00347227" w:rsidRDefault="00347227" w:rsidP="00347227">
      <w:pPr>
        <w:autoSpaceDE w:val="0"/>
        <w:autoSpaceDN w:val="0"/>
        <w:adjustRightInd w:val="0"/>
        <w:spacing w:before="0" w:after="0"/>
        <w:rPr>
          <w:rFonts w:cs="Arial"/>
          <w:szCs w:val="20"/>
        </w:rPr>
      </w:pPr>
    </w:p>
    <w:tbl>
      <w:tblPr>
        <w:tblStyle w:val="TableGrid"/>
        <w:tblW w:w="0" w:type="auto"/>
        <w:tblLook w:val="04A0" w:firstRow="1" w:lastRow="0" w:firstColumn="1" w:lastColumn="0" w:noHBand="0" w:noVBand="1"/>
      </w:tblPr>
      <w:tblGrid>
        <w:gridCol w:w="3158"/>
        <w:gridCol w:w="6188"/>
      </w:tblGrid>
      <w:tr w:rsidR="00347227" w14:paraId="0FC1C2D0" w14:textId="77777777" w:rsidTr="00266836">
        <w:tc>
          <w:tcPr>
            <w:tcW w:w="3190" w:type="dxa"/>
          </w:tcPr>
          <w:p w14:paraId="280E5E87"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t>Term (Abbreviation)</w:t>
            </w:r>
          </w:p>
        </w:tc>
        <w:tc>
          <w:tcPr>
            <w:tcW w:w="6274" w:type="dxa"/>
          </w:tcPr>
          <w:p w14:paraId="4A4D3A48"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t>Description</w:t>
            </w:r>
          </w:p>
        </w:tc>
      </w:tr>
      <w:tr w:rsidR="00347227" w14:paraId="65F6652B" w14:textId="77777777" w:rsidTr="00266836">
        <w:tc>
          <w:tcPr>
            <w:tcW w:w="3190" w:type="dxa"/>
          </w:tcPr>
          <w:p w14:paraId="175B5332"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t>Capacity Weighted Distance (CWD)</w:t>
            </w:r>
            <w:r>
              <w:rPr>
                <w:rFonts w:cs="Arial"/>
                <w:b/>
                <w:szCs w:val="20"/>
              </w:rPr>
              <w:t xml:space="preserve"> Model</w:t>
            </w:r>
          </w:p>
        </w:tc>
        <w:tc>
          <w:tcPr>
            <w:tcW w:w="6274" w:type="dxa"/>
          </w:tcPr>
          <w:p w14:paraId="25937065" w14:textId="77777777" w:rsidR="00347227" w:rsidRPr="00D1570A" w:rsidRDefault="00347227" w:rsidP="00266836">
            <w:pPr>
              <w:rPr>
                <w:rFonts w:cs="Arial"/>
              </w:rPr>
            </w:pPr>
            <w:r w:rsidRPr="00D1570A">
              <w:rPr>
                <w:rFonts w:cs="Arial"/>
              </w:rPr>
              <w:t>The</w:t>
            </w:r>
            <w:r>
              <w:rPr>
                <w:rFonts w:cs="Arial"/>
              </w:rPr>
              <w:t xml:space="preserve"> </w:t>
            </w:r>
            <w:r w:rsidRPr="00D1570A">
              <w:rPr>
                <w:rFonts w:cs="Arial"/>
              </w:rPr>
              <w:t>CWD approach fundamentally requires three main inputs</w:t>
            </w:r>
            <w:r>
              <w:rPr>
                <w:rFonts w:cs="Arial"/>
              </w:rPr>
              <w:t>:</w:t>
            </w:r>
          </w:p>
          <w:p w14:paraId="244B9441" w14:textId="77777777" w:rsidR="00347227" w:rsidRPr="00D1570A" w:rsidRDefault="00347227" w:rsidP="00BD3FB5">
            <w:pPr>
              <w:numPr>
                <w:ilvl w:val="0"/>
                <w:numId w:val="18"/>
              </w:numPr>
              <w:rPr>
                <w:rFonts w:cs="Arial"/>
              </w:rPr>
            </w:pPr>
            <w:r w:rsidRPr="00D1570A">
              <w:rPr>
                <w:rFonts w:cs="Arial"/>
              </w:rPr>
              <w:t xml:space="preserve">A revenue value is required, which will be </w:t>
            </w:r>
            <w:r>
              <w:rPr>
                <w:rFonts w:cs="Arial"/>
              </w:rPr>
              <w:t>the target revenue required to be recovered from Transmission Services</w:t>
            </w:r>
            <w:r w:rsidRPr="00D1570A">
              <w:rPr>
                <w:rFonts w:cs="Arial"/>
              </w:rPr>
              <w:t xml:space="preserve">; </w:t>
            </w:r>
          </w:p>
          <w:p w14:paraId="028358FC" w14:textId="77777777" w:rsidR="00347227" w:rsidRPr="00D1570A" w:rsidRDefault="00347227" w:rsidP="00BD3FB5">
            <w:pPr>
              <w:numPr>
                <w:ilvl w:val="0"/>
                <w:numId w:val="18"/>
              </w:numPr>
              <w:rPr>
                <w:rFonts w:cs="Arial"/>
              </w:rPr>
            </w:pPr>
            <w:r w:rsidRPr="00D1570A">
              <w:rPr>
                <w:rFonts w:cs="Arial"/>
              </w:rPr>
              <w:t>A distance matrix for the average connecting distances on the NTS; and</w:t>
            </w:r>
          </w:p>
          <w:p w14:paraId="03F96716" w14:textId="77777777" w:rsidR="00347227" w:rsidRDefault="00347227" w:rsidP="00BD3FB5">
            <w:pPr>
              <w:numPr>
                <w:ilvl w:val="0"/>
                <w:numId w:val="18"/>
              </w:numPr>
              <w:rPr>
                <w:rFonts w:cs="Arial"/>
              </w:rPr>
            </w:pPr>
            <w:r w:rsidRPr="00D1570A">
              <w:rPr>
                <w:rFonts w:cs="Arial"/>
              </w:rPr>
              <w:t xml:space="preserve">A capacity value for each Entry and Exit point that will be the Forecasted Contracted Capacity (FCC) (which is mentioned later in this section). </w:t>
            </w:r>
          </w:p>
          <w:p w14:paraId="11F45891" w14:textId="77777777" w:rsidR="00347227" w:rsidRDefault="00347227" w:rsidP="00266836">
            <w:pPr>
              <w:rPr>
                <w:rFonts w:cs="Arial"/>
                <w:szCs w:val="20"/>
              </w:rPr>
            </w:pPr>
            <w:r>
              <w:rPr>
                <w:rFonts w:cs="Arial"/>
              </w:rPr>
              <w:t>The CWD model produces the Transmission Services Reference Prices and with additional adjustments produces the Transmission Services Reserve Prices.</w:t>
            </w:r>
          </w:p>
        </w:tc>
      </w:tr>
      <w:tr w:rsidR="00347227" w14:paraId="6C6E7300" w14:textId="77777777" w:rsidTr="00266836">
        <w:tc>
          <w:tcPr>
            <w:tcW w:w="3190" w:type="dxa"/>
          </w:tcPr>
          <w:p w14:paraId="3893FD8C" w14:textId="77777777" w:rsidR="00347227" w:rsidRPr="00C0479A" w:rsidRDefault="00347227" w:rsidP="00266836">
            <w:pPr>
              <w:autoSpaceDE w:val="0"/>
              <w:autoSpaceDN w:val="0"/>
              <w:adjustRightInd w:val="0"/>
              <w:spacing w:before="0" w:after="0"/>
              <w:rPr>
                <w:rFonts w:cs="Arial"/>
                <w:b/>
                <w:szCs w:val="20"/>
              </w:rPr>
            </w:pPr>
            <w:r>
              <w:rPr>
                <w:rFonts w:cs="Arial"/>
                <w:b/>
                <w:szCs w:val="20"/>
              </w:rPr>
              <w:t xml:space="preserve">Existing Contracts (ECs) </w:t>
            </w:r>
            <w:r w:rsidDel="00600D7B">
              <w:rPr>
                <w:rFonts w:cs="Arial"/>
                <w:b/>
                <w:szCs w:val="20"/>
              </w:rPr>
              <w:t>(for the purposes of this modification)</w:t>
            </w:r>
          </w:p>
        </w:tc>
        <w:tc>
          <w:tcPr>
            <w:tcW w:w="6274" w:type="dxa"/>
          </w:tcPr>
          <w:p w14:paraId="2072BAA1" w14:textId="1B68130C" w:rsidR="00347227" w:rsidRPr="00DD5F9D" w:rsidRDefault="00347227" w:rsidP="00266836">
            <w:pPr>
              <w:autoSpaceDE w:val="0"/>
              <w:autoSpaceDN w:val="0"/>
              <w:adjustRightInd w:val="0"/>
            </w:pPr>
            <w:r>
              <w:t xml:space="preserve">Arrangements </w:t>
            </w:r>
            <w:r w:rsidDel="00600D7B">
              <w:t xml:space="preserve">ECs </w:t>
            </w:r>
            <w:r>
              <w:t>relating to Long Term Entry capacity allocated before 6 April 2017 (Entry into Force of EU Tariff Code)</w:t>
            </w:r>
            <w:r w:rsidDel="00600D7B">
              <w:t xml:space="preserve"> and</w:t>
            </w:r>
            <w:r>
              <w:t xml:space="preserve"> </w:t>
            </w:r>
            <w:r w:rsidDel="00600D7B">
              <w:t xml:space="preserve">Long Term Entry capacity allocated before the implementation of this modification. </w:t>
            </w:r>
          </w:p>
        </w:tc>
      </w:tr>
      <w:tr w:rsidR="00347227" w14:paraId="1071B4B5" w14:textId="77777777" w:rsidTr="00266836">
        <w:tc>
          <w:tcPr>
            <w:tcW w:w="3190" w:type="dxa"/>
          </w:tcPr>
          <w:p w14:paraId="643EAFE6"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t>Forecasted Contracted Capacity (FCC)</w:t>
            </w:r>
          </w:p>
        </w:tc>
        <w:tc>
          <w:tcPr>
            <w:tcW w:w="6274" w:type="dxa"/>
          </w:tcPr>
          <w:p w14:paraId="53EEEFC8" w14:textId="77777777" w:rsidR="00347227" w:rsidRPr="00DD5F9D" w:rsidRDefault="00347227" w:rsidP="00266836">
            <w:pPr>
              <w:autoSpaceDE w:val="0"/>
              <w:autoSpaceDN w:val="0"/>
              <w:adjustRightInd w:val="0"/>
            </w:pPr>
            <w:r w:rsidRPr="00DD5F9D">
              <w:t xml:space="preserve">FCC </w:t>
            </w:r>
            <w:r>
              <w:t xml:space="preserve">is the capacity input to the RPM that will be used </w:t>
            </w:r>
            <w:r w:rsidRPr="00DD5F9D">
              <w:t>Transmission Services capacity charges calculation</w:t>
            </w:r>
            <w:r>
              <w:t xml:space="preserve"> that for this proposal will be through a CWD methodology</w:t>
            </w:r>
            <w:r w:rsidRPr="00DD5F9D">
              <w:t xml:space="preserve">. There </w:t>
            </w:r>
            <w:r>
              <w:t>should</w:t>
            </w:r>
            <w:r w:rsidRPr="00DD5F9D">
              <w:t xml:space="preserve"> be a</w:t>
            </w:r>
            <w:r>
              <w:t>n</w:t>
            </w:r>
            <w:r w:rsidRPr="00DD5F9D">
              <w:t xml:space="preserve"> FCC value for every Entry and Exit point.</w:t>
            </w:r>
            <w:r>
              <w:t xml:space="preserve"> </w:t>
            </w:r>
          </w:p>
        </w:tc>
      </w:tr>
      <w:tr w:rsidR="002345ED" w14:paraId="23AD2568" w14:textId="77777777" w:rsidTr="00266836">
        <w:tc>
          <w:tcPr>
            <w:tcW w:w="3190" w:type="dxa"/>
          </w:tcPr>
          <w:p w14:paraId="70C08997" w14:textId="4480C6C5" w:rsidR="002345ED" w:rsidRDefault="002345ED" w:rsidP="00266836">
            <w:pPr>
              <w:autoSpaceDE w:val="0"/>
              <w:autoSpaceDN w:val="0"/>
              <w:adjustRightInd w:val="0"/>
              <w:spacing w:before="0" w:after="0"/>
              <w:rPr>
                <w:rFonts w:cs="Arial"/>
                <w:b/>
                <w:szCs w:val="20"/>
              </w:rPr>
            </w:pPr>
            <w:r>
              <w:rPr>
                <w:rFonts w:cs="Arial"/>
                <w:b/>
                <w:szCs w:val="20"/>
              </w:rPr>
              <w:t>Historical Contracts (HCs)</w:t>
            </w:r>
          </w:p>
        </w:tc>
        <w:tc>
          <w:tcPr>
            <w:tcW w:w="6274" w:type="dxa"/>
          </w:tcPr>
          <w:p w14:paraId="256B6277" w14:textId="3ECA5B29" w:rsidR="002345ED" w:rsidRDefault="002345ED" w:rsidP="00266836">
            <w:pPr>
              <w:autoSpaceDE w:val="0"/>
              <w:autoSpaceDN w:val="0"/>
              <w:adjustRightInd w:val="0"/>
            </w:pPr>
            <w:r>
              <w:t xml:space="preserve">The combination of </w:t>
            </w:r>
            <w:r w:rsidRPr="002345ED">
              <w:t>Existing Contracts (ECs) (for the purposes of this modification)</w:t>
            </w:r>
            <w:r>
              <w:t xml:space="preserve"> and </w:t>
            </w:r>
            <w:r w:rsidRPr="002345ED">
              <w:t>Interim Contracts (ICs)</w:t>
            </w:r>
            <w:r w:rsidR="00D103AA">
              <w:t xml:space="preserve">. </w:t>
            </w:r>
          </w:p>
        </w:tc>
      </w:tr>
      <w:tr w:rsidR="00347227" w14:paraId="6AE1483D" w14:textId="77777777" w:rsidTr="00266836">
        <w:tc>
          <w:tcPr>
            <w:tcW w:w="3190" w:type="dxa"/>
          </w:tcPr>
          <w:p w14:paraId="752E508D" w14:textId="77777777" w:rsidR="00347227" w:rsidRDefault="00347227" w:rsidP="00266836">
            <w:pPr>
              <w:autoSpaceDE w:val="0"/>
              <w:autoSpaceDN w:val="0"/>
              <w:adjustRightInd w:val="0"/>
              <w:spacing w:before="0" w:after="0"/>
              <w:rPr>
                <w:rFonts w:cs="Arial"/>
                <w:b/>
                <w:szCs w:val="20"/>
              </w:rPr>
            </w:pPr>
            <w:r>
              <w:rPr>
                <w:rFonts w:cs="Arial"/>
                <w:b/>
                <w:szCs w:val="20"/>
              </w:rPr>
              <w:t>Interim Contracts (ICs)</w:t>
            </w:r>
          </w:p>
        </w:tc>
        <w:tc>
          <w:tcPr>
            <w:tcW w:w="6274" w:type="dxa"/>
          </w:tcPr>
          <w:p w14:paraId="0CD53866" w14:textId="77777777" w:rsidR="00347227" w:rsidRDefault="00347227" w:rsidP="00266836">
            <w:pPr>
              <w:autoSpaceDE w:val="0"/>
              <w:autoSpaceDN w:val="0"/>
              <w:adjustRightInd w:val="0"/>
            </w:pPr>
            <w:r>
              <w:t>Arrangements relating to Long Term Entry capacity allocated after 6 April 2017 but before the date of the Ofgem direction to implement this Proposal.</w:t>
            </w:r>
          </w:p>
        </w:tc>
      </w:tr>
      <w:tr w:rsidR="00347227" w14:paraId="65D880BE" w14:textId="77777777" w:rsidTr="00266836">
        <w:tc>
          <w:tcPr>
            <w:tcW w:w="3190" w:type="dxa"/>
          </w:tcPr>
          <w:p w14:paraId="5F9D4C49"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t>Long Run Marginal Costs</w:t>
            </w:r>
            <w:r>
              <w:rPr>
                <w:rFonts w:cs="Arial"/>
                <w:b/>
                <w:szCs w:val="20"/>
              </w:rPr>
              <w:t xml:space="preserve"> </w:t>
            </w:r>
            <w:r w:rsidRPr="00C0479A">
              <w:rPr>
                <w:rFonts w:cs="Arial"/>
                <w:b/>
                <w:szCs w:val="20"/>
              </w:rPr>
              <w:t>(LRMC)</w:t>
            </w:r>
            <w:r>
              <w:rPr>
                <w:rFonts w:cs="Arial"/>
                <w:b/>
                <w:szCs w:val="20"/>
              </w:rPr>
              <w:t xml:space="preserve"> Model</w:t>
            </w:r>
          </w:p>
        </w:tc>
        <w:tc>
          <w:tcPr>
            <w:tcW w:w="6274" w:type="dxa"/>
          </w:tcPr>
          <w:p w14:paraId="30847DBD" w14:textId="77777777" w:rsidR="00347227" w:rsidRPr="00DD5F9D" w:rsidRDefault="00347227" w:rsidP="00266836">
            <w:pPr>
              <w:autoSpaceDE w:val="0"/>
              <w:autoSpaceDN w:val="0"/>
              <w:adjustRightInd w:val="0"/>
            </w:pPr>
            <w:r w:rsidRPr="00D531CB">
              <w:t xml:space="preserve">This is the current underlying RPM used in the calculation of the Entry and Exit Capacity Prices. Whilst there are different approaches in Entry and Exit as to how secondary adjustments are applied, the underlying LRMC principles are there in both. The LRMC approach is an investment focused methodology where the intention is to have strong locational signals to facilitate decision making. </w:t>
            </w:r>
            <w:r>
              <w:t>More information is available in TBD Section Y of UNC.</w:t>
            </w:r>
          </w:p>
        </w:tc>
      </w:tr>
      <w:tr w:rsidR="00347227" w14:paraId="2F215EEF" w14:textId="77777777" w:rsidTr="00266836">
        <w:tc>
          <w:tcPr>
            <w:tcW w:w="3190" w:type="dxa"/>
          </w:tcPr>
          <w:p w14:paraId="3DCFE4FF"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lastRenderedPageBreak/>
              <w:t>Multipliers</w:t>
            </w:r>
          </w:p>
        </w:tc>
        <w:tc>
          <w:tcPr>
            <w:tcW w:w="6274" w:type="dxa"/>
          </w:tcPr>
          <w:p w14:paraId="6B90DAA8" w14:textId="77777777" w:rsidR="00347227" w:rsidRPr="00DD5F9D" w:rsidRDefault="00347227" w:rsidP="00266836">
            <w:r>
              <w:t>The</w:t>
            </w:r>
            <w:r w:rsidRPr="003F6833">
              <w:t xml:space="preserve"> factor applied to the respective proportion (runtime) of the </w:t>
            </w:r>
            <w:r>
              <w:t>Base R</w:t>
            </w:r>
            <w:r w:rsidRPr="003F6833">
              <w:t xml:space="preserve">eference </w:t>
            </w:r>
            <w:r>
              <w:t>P</w:t>
            </w:r>
            <w:r w:rsidRPr="003F6833">
              <w:t xml:space="preserve">rice in order to calculate the </w:t>
            </w:r>
            <w:r>
              <w:t>Reference P</w:t>
            </w:r>
            <w:r w:rsidRPr="003F6833">
              <w:t>rice for non-yearly standard capacity product</w:t>
            </w:r>
          </w:p>
        </w:tc>
      </w:tr>
      <w:tr w:rsidR="00347227" w14:paraId="03C420DB" w14:textId="77777777" w:rsidTr="00266836">
        <w:tc>
          <w:tcPr>
            <w:tcW w:w="3190" w:type="dxa"/>
          </w:tcPr>
          <w:p w14:paraId="2E43D310" w14:textId="77777777" w:rsidR="00347227" w:rsidRPr="00C0479A" w:rsidRDefault="00347227" w:rsidP="00266836">
            <w:pPr>
              <w:autoSpaceDE w:val="0"/>
              <w:autoSpaceDN w:val="0"/>
              <w:adjustRightInd w:val="0"/>
              <w:spacing w:before="0" w:after="0"/>
              <w:rPr>
                <w:rFonts w:cs="Arial"/>
                <w:b/>
                <w:szCs w:val="20"/>
              </w:rPr>
            </w:pPr>
            <w:r>
              <w:rPr>
                <w:rFonts w:cs="Arial"/>
                <w:b/>
                <w:szCs w:val="20"/>
              </w:rPr>
              <w:t>Network Distances (for the purposes of modelling in the RPM)</w:t>
            </w:r>
          </w:p>
        </w:tc>
        <w:tc>
          <w:tcPr>
            <w:tcW w:w="6274" w:type="dxa"/>
          </w:tcPr>
          <w:p w14:paraId="7B04D74A" w14:textId="77777777" w:rsidR="00347227" w:rsidRPr="00DD5F9D" w:rsidRDefault="00347227" w:rsidP="00266836">
            <w:pPr>
              <w:autoSpaceDE w:val="0"/>
              <w:autoSpaceDN w:val="0"/>
              <w:adjustRightInd w:val="0"/>
            </w:pPr>
            <w:r>
              <w:t xml:space="preserve">A matrix of distances used in the RPM that are the pipeline distances on the NTS. </w:t>
            </w:r>
          </w:p>
        </w:tc>
      </w:tr>
      <w:tr w:rsidR="00347227" w14:paraId="77FBC148" w14:textId="77777777" w:rsidTr="00266836">
        <w:tc>
          <w:tcPr>
            <w:tcW w:w="3190" w:type="dxa"/>
          </w:tcPr>
          <w:p w14:paraId="162D257D" w14:textId="77777777" w:rsidR="00347227" w:rsidRPr="00C0479A" w:rsidRDefault="00347227" w:rsidP="00266836">
            <w:pPr>
              <w:autoSpaceDE w:val="0"/>
              <w:autoSpaceDN w:val="0"/>
              <w:adjustRightInd w:val="0"/>
              <w:spacing w:before="0" w:after="0"/>
              <w:rPr>
                <w:rFonts w:cs="Arial"/>
                <w:b/>
                <w:szCs w:val="20"/>
              </w:rPr>
            </w:pPr>
            <w:r>
              <w:rPr>
                <w:rFonts w:cs="Arial"/>
                <w:b/>
                <w:szCs w:val="20"/>
              </w:rPr>
              <w:t>Non-Transmission Services</w:t>
            </w:r>
          </w:p>
        </w:tc>
        <w:tc>
          <w:tcPr>
            <w:tcW w:w="6274" w:type="dxa"/>
          </w:tcPr>
          <w:p w14:paraId="5D03DB2A" w14:textId="77777777" w:rsidR="00347227" w:rsidRPr="00C0479A" w:rsidRDefault="00347227" w:rsidP="00266836">
            <w:r w:rsidRPr="00C0479A">
              <w:t>The regulated services other than transmission services and other than services regulated by Regulation (EU) No 312/2014 that are provided by the transmission system operator;</w:t>
            </w:r>
          </w:p>
        </w:tc>
      </w:tr>
      <w:tr w:rsidR="00347227" w14:paraId="33E32B85" w14:textId="77777777" w:rsidTr="00266836">
        <w:tc>
          <w:tcPr>
            <w:tcW w:w="3190" w:type="dxa"/>
          </w:tcPr>
          <w:p w14:paraId="1032DDFF"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t>Non-Transmission Services Revenue</w:t>
            </w:r>
          </w:p>
        </w:tc>
        <w:tc>
          <w:tcPr>
            <w:tcW w:w="6274" w:type="dxa"/>
          </w:tcPr>
          <w:p w14:paraId="0A7B366A" w14:textId="77777777" w:rsidR="00347227" w:rsidRPr="00DD5F9D" w:rsidRDefault="00347227" w:rsidP="00266836">
            <w:r w:rsidRPr="00C0479A">
              <w:t>The part of the allowed or target revenue which is recovered by non-transmission tariffs</w:t>
            </w:r>
          </w:p>
        </w:tc>
      </w:tr>
      <w:tr w:rsidR="00347227" w14:paraId="0E3EB89D" w14:textId="77777777" w:rsidTr="00266836">
        <w:tc>
          <w:tcPr>
            <w:tcW w:w="3190" w:type="dxa"/>
          </w:tcPr>
          <w:p w14:paraId="2D094AD6"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t>Reference Price</w:t>
            </w:r>
          </w:p>
        </w:tc>
        <w:tc>
          <w:tcPr>
            <w:tcW w:w="6274" w:type="dxa"/>
          </w:tcPr>
          <w:p w14:paraId="5888AC16" w14:textId="77777777" w:rsidR="00347227" w:rsidRPr="003F6833" w:rsidRDefault="00347227" w:rsidP="00266836">
            <w:pPr>
              <w:autoSpaceDE w:val="0"/>
              <w:autoSpaceDN w:val="0"/>
              <w:adjustRightInd w:val="0"/>
              <w:rPr>
                <w:rFonts w:cs="Arial"/>
                <w:szCs w:val="20"/>
              </w:rPr>
            </w:pPr>
            <w:r w:rsidRPr="003F6833">
              <w:t>Price for a capacity product for firm capacity with a duration of one year, which is applicable at entry and exit points and which is used to set capacity based transmission tariffs.</w:t>
            </w:r>
            <w:r>
              <w:t xml:space="preserve"> This will produced in p/kWh/a (pence per kWh per annum).</w:t>
            </w:r>
          </w:p>
        </w:tc>
      </w:tr>
      <w:tr w:rsidR="00347227" w14:paraId="70B2E0C4" w14:textId="77777777" w:rsidTr="00266836">
        <w:tc>
          <w:tcPr>
            <w:tcW w:w="3190" w:type="dxa"/>
          </w:tcPr>
          <w:p w14:paraId="173D12BD" w14:textId="77777777" w:rsidR="00347227" w:rsidRPr="00C0479A" w:rsidRDefault="00347227" w:rsidP="00266836">
            <w:pPr>
              <w:autoSpaceDE w:val="0"/>
              <w:autoSpaceDN w:val="0"/>
              <w:adjustRightInd w:val="0"/>
              <w:spacing w:before="0" w:after="0"/>
              <w:rPr>
                <w:rFonts w:cs="Arial"/>
                <w:b/>
                <w:szCs w:val="20"/>
              </w:rPr>
            </w:pPr>
            <w:r>
              <w:rPr>
                <w:rFonts w:cs="Arial"/>
                <w:b/>
                <w:szCs w:val="20"/>
              </w:rPr>
              <w:t>Reference Price Methodology (RP</w:t>
            </w:r>
            <w:r w:rsidRPr="00C0479A">
              <w:rPr>
                <w:rFonts w:cs="Arial"/>
                <w:b/>
                <w:szCs w:val="20"/>
              </w:rPr>
              <w:t>M)</w:t>
            </w:r>
          </w:p>
        </w:tc>
        <w:tc>
          <w:tcPr>
            <w:tcW w:w="6274" w:type="dxa"/>
          </w:tcPr>
          <w:p w14:paraId="1D049CE0" w14:textId="77777777" w:rsidR="00347227" w:rsidRDefault="00347227" w:rsidP="00266836">
            <w:pPr>
              <w:autoSpaceDE w:val="0"/>
              <w:autoSpaceDN w:val="0"/>
              <w:adjustRightInd w:val="0"/>
            </w:pPr>
            <w:r w:rsidRPr="003F6833">
              <w:t xml:space="preserve">The methodology applied to the part of the transmission service revenue to be recovered from capacity based transmission tariffs with the aim of deriving </w:t>
            </w:r>
            <w:r>
              <w:t>R</w:t>
            </w:r>
            <w:r w:rsidRPr="003F6833">
              <w:t xml:space="preserve">eference </w:t>
            </w:r>
            <w:r>
              <w:t>P</w:t>
            </w:r>
            <w:r w:rsidRPr="003F6833">
              <w:t>rices. Applied to all entry and exit points in a system.</w:t>
            </w:r>
            <w:r>
              <w:t xml:space="preserve"> </w:t>
            </w:r>
          </w:p>
          <w:p w14:paraId="55030A66" w14:textId="77777777" w:rsidR="00347227" w:rsidRPr="003F6833" w:rsidRDefault="00347227" w:rsidP="00266836">
            <w:pPr>
              <w:autoSpaceDE w:val="0"/>
              <w:autoSpaceDN w:val="0"/>
              <w:adjustRightInd w:val="0"/>
              <w:rPr>
                <w:rFonts w:cs="Arial"/>
                <w:szCs w:val="20"/>
              </w:rPr>
            </w:pPr>
            <w:r>
              <w:rPr>
                <w:rFonts w:cs="Arial"/>
                <w:szCs w:val="20"/>
              </w:rPr>
              <w:t xml:space="preserve">The RPM therefore is </w:t>
            </w:r>
            <w:r w:rsidRPr="00426E10">
              <w:rPr>
                <w:rFonts w:cs="Arial"/>
                <w:szCs w:val="20"/>
              </w:rPr>
              <w:t xml:space="preserve">the framework to spread </w:t>
            </w:r>
            <w:r>
              <w:rPr>
                <w:rFonts w:cs="Arial"/>
                <w:szCs w:val="20"/>
              </w:rPr>
              <w:t xml:space="preserve">certain </w:t>
            </w:r>
            <w:r w:rsidRPr="00426E10">
              <w:rPr>
                <w:rFonts w:cs="Arial"/>
                <w:szCs w:val="20"/>
              </w:rPr>
              <w:t>costs / revenues (relevant to the methodology in place) to the Entry and Exit points and thereby on to network users.</w:t>
            </w:r>
          </w:p>
        </w:tc>
      </w:tr>
      <w:tr w:rsidR="00347227" w14:paraId="78312596" w14:textId="77777777" w:rsidTr="00266836">
        <w:trPr>
          <w:trHeight w:val="1748"/>
        </w:trPr>
        <w:tc>
          <w:tcPr>
            <w:tcW w:w="3190" w:type="dxa"/>
          </w:tcPr>
          <w:p w14:paraId="1965A6C2"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t>Reserve Price</w:t>
            </w:r>
          </w:p>
        </w:tc>
        <w:tc>
          <w:tcPr>
            <w:tcW w:w="6274" w:type="dxa"/>
          </w:tcPr>
          <w:p w14:paraId="6BBB1526" w14:textId="77777777" w:rsidR="00347227" w:rsidRPr="003F6833" w:rsidRDefault="00347227" w:rsidP="00266836">
            <w:r w:rsidRPr="00A914DC">
              <w:rPr>
                <w:b/>
              </w:rPr>
              <w:t>Reserve Price for Yearly standard capacity</w:t>
            </w:r>
            <w:r w:rsidRPr="00A914DC">
              <w:t xml:space="preserve"> = the Reference Price</w:t>
            </w:r>
          </w:p>
          <w:p w14:paraId="0327473F" w14:textId="77777777" w:rsidR="00347227" w:rsidRDefault="00347227" w:rsidP="00266836">
            <w:r w:rsidRPr="003F6833">
              <w:rPr>
                <w:b/>
              </w:rPr>
              <w:t>Reserve Price for Non- yearly standard capacity</w:t>
            </w:r>
            <w:r w:rsidRPr="003F6833">
              <w:t xml:space="preserve"> </w:t>
            </w:r>
            <w:r>
              <w:t>is calculated by applying any Multipliers</w:t>
            </w:r>
            <w:r w:rsidRPr="003F6833">
              <w:t xml:space="preserve"> </w:t>
            </w:r>
            <w:r>
              <w:t xml:space="preserve">(if applicable). </w:t>
            </w:r>
          </w:p>
          <w:p w14:paraId="14E4F9DB" w14:textId="77777777" w:rsidR="00347227" w:rsidRPr="003F6833" w:rsidRDefault="00347227" w:rsidP="00266836">
            <w:r w:rsidRPr="00DA778F">
              <w:t>This will be produced in p/kWh/d (pence per kWh per day).</w:t>
            </w:r>
          </w:p>
          <w:p w14:paraId="2F52025B" w14:textId="77777777" w:rsidR="00347227" w:rsidRPr="00DA778F" w:rsidRDefault="00347227" w:rsidP="00266836">
            <w:pPr>
              <w:rPr>
                <w:sz w:val="8"/>
              </w:rPr>
            </w:pPr>
          </w:p>
        </w:tc>
      </w:tr>
      <w:tr w:rsidR="00347227" w14:paraId="2FBF7F20" w14:textId="77777777" w:rsidTr="00266836">
        <w:tc>
          <w:tcPr>
            <w:tcW w:w="3190" w:type="dxa"/>
          </w:tcPr>
          <w:p w14:paraId="107BE51B" w14:textId="77777777" w:rsidR="00347227" w:rsidRPr="00C0479A" w:rsidRDefault="00347227" w:rsidP="00266836">
            <w:pPr>
              <w:autoSpaceDE w:val="0"/>
              <w:autoSpaceDN w:val="0"/>
              <w:adjustRightInd w:val="0"/>
              <w:spacing w:before="0" w:after="0"/>
              <w:rPr>
                <w:rFonts w:cs="Arial"/>
                <w:b/>
                <w:szCs w:val="20"/>
              </w:rPr>
            </w:pPr>
            <w:r>
              <w:rPr>
                <w:rFonts w:cs="Arial"/>
                <w:b/>
                <w:szCs w:val="20"/>
              </w:rPr>
              <w:t>Target Revenue</w:t>
            </w:r>
          </w:p>
        </w:tc>
        <w:tc>
          <w:tcPr>
            <w:tcW w:w="6274" w:type="dxa"/>
          </w:tcPr>
          <w:p w14:paraId="7C10E8CA" w14:textId="77777777" w:rsidR="00347227" w:rsidRPr="00DD5F9D" w:rsidRDefault="00347227" w:rsidP="00266836">
            <w:pPr>
              <w:autoSpaceDE w:val="0"/>
              <w:autoSpaceDN w:val="0"/>
              <w:adjustRightInd w:val="0"/>
            </w:pPr>
            <w:r>
              <w:t xml:space="preserve">This is the revenue required to be recovered from a particular set of charges. </w:t>
            </w:r>
          </w:p>
        </w:tc>
      </w:tr>
      <w:tr w:rsidR="00347227" w14:paraId="062E8C2E" w14:textId="77777777" w:rsidTr="00266836">
        <w:tc>
          <w:tcPr>
            <w:tcW w:w="3190" w:type="dxa"/>
          </w:tcPr>
          <w:p w14:paraId="607CBE46" w14:textId="77777777" w:rsidR="00347227" w:rsidRPr="00C0479A" w:rsidRDefault="00347227" w:rsidP="00266836">
            <w:pPr>
              <w:autoSpaceDE w:val="0"/>
              <w:autoSpaceDN w:val="0"/>
              <w:adjustRightInd w:val="0"/>
              <w:spacing w:before="0" w:after="0"/>
              <w:rPr>
                <w:rFonts w:cs="Arial"/>
                <w:b/>
                <w:szCs w:val="20"/>
              </w:rPr>
            </w:pPr>
            <w:r>
              <w:rPr>
                <w:rFonts w:cs="Arial"/>
                <w:b/>
                <w:szCs w:val="20"/>
              </w:rPr>
              <w:t>Transmission Services</w:t>
            </w:r>
          </w:p>
        </w:tc>
        <w:tc>
          <w:tcPr>
            <w:tcW w:w="6274" w:type="dxa"/>
          </w:tcPr>
          <w:p w14:paraId="2C9C607E" w14:textId="77777777" w:rsidR="00347227" w:rsidRPr="00C0479A" w:rsidRDefault="00347227" w:rsidP="00266836">
            <w:r w:rsidRPr="00C0479A">
              <w:t>The regulated services that are provided by the transmission system operator within the entry-exit system for the purpose of transmission.</w:t>
            </w:r>
          </w:p>
        </w:tc>
      </w:tr>
      <w:tr w:rsidR="00347227" w14:paraId="55A763E5" w14:textId="77777777" w:rsidTr="00266836">
        <w:tc>
          <w:tcPr>
            <w:tcW w:w="3190" w:type="dxa"/>
          </w:tcPr>
          <w:p w14:paraId="42C48259" w14:textId="77777777" w:rsidR="00347227" w:rsidRPr="00C0479A" w:rsidRDefault="00347227" w:rsidP="00266836">
            <w:pPr>
              <w:autoSpaceDE w:val="0"/>
              <w:autoSpaceDN w:val="0"/>
              <w:adjustRightInd w:val="0"/>
              <w:spacing w:before="0" w:after="0"/>
              <w:rPr>
                <w:rFonts w:cs="Arial"/>
                <w:b/>
                <w:szCs w:val="20"/>
              </w:rPr>
            </w:pPr>
            <w:r w:rsidRPr="00C0479A">
              <w:rPr>
                <w:rFonts w:cs="Arial"/>
                <w:b/>
                <w:szCs w:val="20"/>
              </w:rPr>
              <w:t>Transmission Services Revenue</w:t>
            </w:r>
          </w:p>
        </w:tc>
        <w:tc>
          <w:tcPr>
            <w:tcW w:w="6274" w:type="dxa"/>
          </w:tcPr>
          <w:p w14:paraId="07C96EAC" w14:textId="77777777" w:rsidR="00347227" w:rsidRPr="00DD5F9D" w:rsidRDefault="00347227" w:rsidP="00266836">
            <w:r w:rsidRPr="00C0479A">
              <w:t>The part of the allowed or target revenue which is recovered by transmission tariffs</w:t>
            </w:r>
            <w:r>
              <w:t>.</w:t>
            </w:r>
          </w:p>
        </w:tc>
      </w:tr>
      <w:tr w:rsidR="00FF2BA3" w14:paraId="2C381D52" w14:textId="77777777" w:rsidTr="00266836">
        <w:tc>
          <w:tcPr>
            <w:tcW w:w="3190" w:type="dxa"/>
          </w:tcPr>
          <w:p w14:paraId="76EA387A" w14:textId="7FC9A20F" w:rsidR="00FF2BA3" w:rsidRPr="00C0479A" w:rsidRDefault="00FF2BA3" w:rsidP="00266836">
            <w:pPr>
              <w:autoSpaceDE w:val="0"/>
              <w:autoSpaceDN w:val="0"/>
              <w:adjustRightInd w:val="0"/>
              <w:spacing w:before="0" w:after="0"/>
              <w:rPr>
                <w:rFonts w:cs="Arial"/>
                <w:b/>
                <w:szCs w:val="20"/>
              </w:rPr>
            </w:pPr>
            <w:r>
              <w:rPr>
                <w:rFonts w:cs="Arial"/>
                <w:b/>
                <w:szCs w:val="20"/>
              </w:rPr>
              <w:t>Transportation Statement</w:t>
            </w:r>
          </w:p>
        </w:tc>
        <w:tc>
          <w:tcPr>
            <w:tcW w:w="6274" w:type="dxa"/>
          </w:tcPr>
          <w:p w14:paraId="18C85229" w14:textId="77777777" w:rsidR="00FF2BA3" w:rsidRDefault="00FF2BA3" w:rsidP="00FF2BA3">
            <w:r>
              <w:t>The Transportation Statement containing the Gas Transmission</w:t>
            </w:r>
          </w:p>
          <w:p w14:paraId="1285A5D8" w14:textId="5804B986" w:rsidR="00FF2BA3" w:rsidRPr="00C0479A" w:rsidRDefault="00FF2BA3" w:rsidP="00FF2BA3">
            <w:r>
              <w:t>Transportation Charges</w:t>
            </w:r>
          </w:p>
        </w:tc>
      </w:tr>
    </w:tbl>
    <w:p w14:paraId="7DA67832" w14:textId="77777777" w:rsidR="00347227" w:rsidRPr="0065262A" w:rsidRDefault="00347227" w:rsidP="00903B81">
      <w:pPr>
        <w:autoSpaceDE w:val="0"/>
        <w:autoSpaceDN w:val="0"/>
        <w:adjustRightInd w:val="0"/>
        <w:spacing w:before="0" w:after="0"/>
        <w:rPr>
          <w:rFonts w:cs="Arial"/>
          <w:szCs w:val="20"/>
        </w:rPr>
      </w:pPr>
    </w:p>
    <w:p w14:paraId="04482840" w14:textId="77777777" w:rsidR="00985FC1" w:rsidRPr="00D1570A" w:rsidRDefault="00AF5B6E" w:rsidP="000F4631">
      <w:pPr>
        <w:pStyle w:val="Heading02"/>
      </w:pPr>
      <w:bookmarkStart w:id="7" w:name="_Toc504395612"/>
      <w:r w:rsidRPr="00D1570A">
        <w:t>Solution</w:t>
      </w:r>
      <w:bookmarkEnd w:id="7"/>
    </w:p>
    <w:p w14:paraId="5A646AA6" w14:textId="77777777" w:rsidR="00512985" w:rsidRDefault="00512985" w:rsidP="00512985">
      <w:pPr>
        <w:pStyle w:val="Heading4"/>
        <w:keepLines w:val="0"/>
        <w:numPr>
          <w:ilvl w:val="0"/>
          <w:numId w:val="0"/>
        </w:numPr>
        <w:spacing w:before="120"/>
        <w:rPr>
          <w:rFonts w:ascii="Arial" w:eastAsia="Cambria" w:hAnsi="Arial" w:cs="Arial"/>
          <w:b w:val="0"/>
          <w:bCs w:val="0"/>
          <w:i w:val="0"/>
          <w:iCs w:val="0"/>
          <w:color w:val="auto"/>
          <w:szCs w:val="20"/>
        </w:rPr>
      </w:pPr>
      <w:r w:rsidRPr="00D1570A">
        <w:rPr>
          <w:rFonts w:ascii="Arial" w:eastAsia="Cambria" w:hAnsi="Arial" w:cs="Arial"/>
          <w:b w:val="0"/>
          <w:bCs w:val="0"/>
          <w:i w:val="0"/>
          <w:iCs w:val="0"/>
          <w:color w:val="auto"/>
          <w:szCs w:val="20"/>
        </w:rPr>
        <w:t>This modification proposal seek</w:t>
      </w:r>
      <w:r>
        <w:rPr>
          <w:rFonts w:ascii="Arial" w:eastAsia="Cambria" w:hAnsi="Arial" w:cs="Arial"/>
          <w:b w:val="0"/>
          <w:bCs w:val="0"/>
          <w:i w:val="0"/>
          <w:iCs w:val="0"/>
          <w:color w:val="auto"/>
          <w:szCs w:val="20"/>
        </w:rPr>
        <w:t>s</w:t>
      </w:r>
      <w:r w:rsidRPr="00D1570A">
        <w:rPr>
          <w:rFonts w:ascii="Arial" w:eastAsia="Cambria" w:hAnsi="Arial" w:cs="Arial"/>
          <w:b w:val="0"/>
          <w:bCs w:val="0"/>
          <w:i w:val="0"/>
          <w:iCs w:val="0"/>
          <w:color w:val="auto"/>
          <w:szCs w:val="20"/>
        </w:rPr>
        <w:t xml:space="preserve"> to amend </w:t>
      </w:r>
      <w:r>
        <w:rPr>
          <w:rFonts w:ascii="Arial" w:eastAsia="Cambria" w:hAnsi="Arial" w:cs="Arial"/>
          <w:b w:val="0"/>
          <w:bCs w:val="0"/>
          <w:i w:val="0"/>
          <w:iCs w:val="0"/>
          <w:color w:val="auto"/>
          <w:szCs w:val="20"/>
        </w:rPr>
        <w:t xml:space="preserve">TPD </w:t>
      </w:r>
      <w:r w:rsidRPr="00D1570A">
        <w:rPr>
          <w:rFonts w:ascii="Arial" w:eastAsia="Cambria" w:hAnsi="Arial" w:cs="Arial"/>
          <w:b w:val="0"/>
          <w:bCs w:val="0"/>
          <w:i w:val="0"/>
          <w:iCs w:val="0"/>
          <w:color w:val="auto"/>
          <w:szCs w:val="20"/>
        </w:rPr>
        <w:t>Section Y</w:t>
      </w:r>
      <w:r>
        <w:rPr>
          <w:rFonts w:ascii="Arial" w:eastAsia="Cambria" w:hAnsi="Arial" w:cs="Arial"/>
          <w:b w:val="0"/>
          <w:bCs w:val="0"/>
          <w:i w:val="0"/>
          <w:iCs w:val="0"/>
          <w:color w:val="auto"/>
          <w:szCs w:val="20"/>
        </w:rPr>
        <w:t>,</w:t>
      </w:r>
      <w:r w:rsidRPr="00D1570A">
        <w:rPr>
          <w:rFonts w:ascii="Arial" w:eastAsia="Cambria" w:hAnsi="Arial" w:cs="Arial"/>
          <w:b w:val="0"/>
          <w:bCs w:val="0"/>
          <w:i w:val="0"/>
          <w:iCs w:val="0"/>
          <w:color w:val="auto"/>
          <w:szCs w:val="20"/>
        </w:rPr>
        <w:t xml:space="preserve"> Part A </w:t>
      </w:r>
      <w:r>
        <w:rPr>
          <w:rFonts w:ascii="Arial" w:eastAsia="Cambria" w:hAnsi="Arial" w:cs="Arial"/>
          <w:b w:val="0"/>
          <w:bCs w:val="0"/>
          <w:i w:val="0"/>
          <w:iCs w:val="0"/>
          <w:color w:val="auto"/>
          <w:szCs w:val="20"/>
        </w:rPr>
        <w:t xml:space="preserve">(The Gas Transmission Transportation Charging Methodology) </w:t>
      </w:r>
      <w:r w:rsidRPr="00D1570A">
        <w:rPr>
          <w:rFonts w:ascii="Arial" w:eastAsia="Cambria" w:hAnsi="Arial" w:cs="Arial"/>
          <w:b w:val="0"/>
          <w:bCs w:val="0"/>
          <w:i w:val="0"/>
          <w:iCs w:val="0"/>
          <w:color w:val="auto"/>
          <w:szCs w:val="20"/>
        </w:rPr>
        <w:t xml:space="preserve">of the UNC, </w:t>
      </w:r>
      <w:r>
        <w:rPr>
          <w:rFonts w:ascii="Arial" w:eastAsia="Cambria" w:hAnsi="Arial" w:cs="Arial"/>
          <w:b w:val="0"/>
          <w:bCs w:val="0"/>
          <w:i w:val="0"/>
          <w:iCs w:val="0"/>
          <w:color w:val="auto"/>
          <w:szCs w:val="20"/>
        </w:rPr>
        <w:t xml:space="preserve">by </w:t>
      </w:r>
      <w:r w:rsidRPr="00D1570A">
        <w:rPr>
          <w:rFonts w:ascii="Arial" w:eastAsia="Cambria" w:hAnsi="Arial" w:cs="Arial"/>
          <w:b w:val="0"/>
          <w:bCs w:val="0"/>
          <w:i w:val="0"/>
          <w:iCs w:val="0"/>
          <w:color w:val="auto"/>
          <w:szCs w:val="20"/>
        </w:rPr>
        <w:t xml:space="preserve">changing the methodology for the calculation of gas transmission </w:t>
      </w:r>
      <w:r>
        <w:rPr>
          <w:rFonts w:ascii="Arial" w:eastAsia="Cambria" w:hAnsi="Arial" w:cs="Arial"/>
          <w:b w:val="0"/>
          <w:bCs w:val="0"/>
          <w:i w:val="0"/>
          <w:iCs w:val="0"/>
          <w:color w:val="auto"/>
          <w:szCs w:val="20"/>
        </w:rPr>
        <w:t xml:space="preserve">transportation </w:t>
      </w:r>
      <w:r w:rsidRPr="00D1570A">
        <w:rPr>
          <w:rFonts w:ascii="Arial" w:eastAsia="Cambria" w:hAnsi="Arial" w:cs="Arial"/>
          <w:b w:val="0"/>
          <w:bCs w:val="0"/>
          <w:i w:val="0"/>
          <w:iCs w:val="0"/>
          <w:color w:val="auto"/>
          <w:szCs w:val="20"/>
        </w:rPr>
        <w:t xml:space="preserve">charges. Changes to </w:t>
      </w:r>
      <w:r>
        <w:rPr>
          <w:rFonts w:ascii="Arial" w:eastAsia="Cambria" w:hAnsi="Arial" w:cs="Arial"/>
          <w:b w:val="0"/>
          <w:bCs w:val="0"/>
          <w:i w:val="0"/>
          <w:iCs w:val="0"/>
          <w:color w:val="auto"/>
          <w:szCs w:val="20"/>
        </w:rPr>
        <w:t xml:space="preserve">TPD </w:t>
      </w:r>
      <w:r w:rsidRPr="00D1570A">
        <w:rPr>
          <w:rFonts w:ascii="Arial" w:eastAsia="Cambria" w:hAnsi="Arial" w:cs="Arial"/>
          <w:b w:val="0"/>
          <w:bCs w:val="0"/>
          <w:i w:val="0"/>
          <w:iCs w:val="0"/>
          <w:color w:val="auto"/>
          <w:szCs w:val="20"/>
        </w:rPr>
        <w:t>Section</w:t>
      </w:r>
      <w:r>
        <w:rPr>
          <w:rFonts w:ascii="Arial" w:eastAsia="Cambria" w:hAnsi="Arial" w:cs="Arial"/>
          <w:b w:val="0"/>
          <w:bCs w:val="0"/>
          <w:i w:val="0"/>
          <w:iCs w:val="0"/>
          <w:color w:val="auto"/>
          <w:szCs w:val="20"/>
        </w:rPr>
        <w:t>s</w:t>
      </w:r>
      <w:r w:rsidRPr="00D1570A">
        <w:rPr>
          <w:rFonts w:ascii="Arial" w:eastAsia="Cambria" w:hAnsi="Arial" w:cs="Arial"/>
          <w:b w:val="0"/>
          <w:bCs w:val="0"/>
          <w:i w:val="0"/>
          <w:iCs w:val="0"/>
          <w:color w:val="auto"/>
          <w:szCs w:val="20"/>
        </w:rPr>
        <w:t xml:space="preserve"> B</w:t>
      </w:r>
      <w:r>
        <w:rPr>
          <w:rFonts w:ascii="Arial" w:eastAsia="Cambria" w:hAnsi="Arial" w:cs="Arial"/>
          <w:b w:val="0"/>
          <w:bCs w:val="0"/>
          <w:i w:val="0"/>
          <w:iCs w:val="0"/>
          <w:color w:val="auto"/>
          <w:szCs w:val="20"/>
        </w:rPr>
        <w:t xml:space="preserve"> (System Use and Capacity) and Annex S-1 (Invoice Types and Invoice Items), </w:t>
      </w:r>
      <w:r w:rsidRPr="0020648E">
        <w:rPr>
          <w:rFonts w:ascii="Arial" w:eastAsia="Cambria" w:hAnsi="Arial" w:cs="Arial"/>
          <w:b w:val="0"/>
          <w:bCs w:val="0"/>
          <w:i w:val="0"/>
          <w:iCs w:val="0"/>
          <w:color w:val="auto"/>
          <w:szCs w:val="20"/>
        </w:rPr>
        <w:t xml:space="preserve">and European Interconnection Document (EID) Section B </w:t>
      </w:r>
      <w:r>
        <w:rPr>
          <w:rFonts w:ascii="Arial" w:eastAsia="Cambria" w:hAnsi="Arial" w:cs="Arial"/>
          <w:b w:val="0"/>
          <w:bCs w:val="0"/>
          <w:i w:val="0"/>
          <w:iCs w:val="0"/>
          <w:color w:val="auto"/>
          <w:szCs w:val="20"/>
        </w:rPr>
        <w:t>(Capacity) [</w:t>
      </w:r>
      <w:r w:rsidRPr="00D1570A">
        <w:rPr>
          <w:rFonts w:ascii="Arial" w:eastAsia="Cambria" w:hAnsi="Arial" w:cs="Arial"/>
          <w:b w:val="0"/>
          <w:bCs w:val="0"/>
          <w:i w:val="0"/>
          <w:iCs w:val="0"/>
          <w:color w:val="auto"/>
          <w:szCs w:val="20"/>
        </w:rPr>
        <w:t>may</w:t>
      </w:r>
      <w:r>
        <w:rPr>
          <w:rFonts w:ascii="Arial" w:eastAsia="Cambria" w:hAnsi="Arial" w:cs="Arial"/>
          <w:b w:val="0"/>
          <w:bCs w:val="0"/>
          <w:i w:val="0"/>
          <w:iCs w:val="0"/>
          <w:color w:val="auto"/>
          <w:szCs w:val="20"/>
        </w:rPr>
        <w:t xml:space="preserve"> be / are]</w:t>
      </w:r>
      <w:r w:rsidRPr="00D1570A">
        <w:rPr>
          <w:rFonts w:ascii="Arial" w:eastAsia="Cambria" w:hAnsi="Arial" w:cs="Arial"/>
          <w:b w:val="0"/>
          <w:bCs w:val="0"/>
          <w:i w:val="0"/>
          <w:iCs w:val="0"/>
          <w:color w:val="auto"/>
          <w:szCs w:val="20"/>
        </w:rPr>
        <w:t xml:space="preserve"> required </w:t>
      </w:r>
      <w:r>
        <w:rPr>
          <w:rFonts w:ascii="Arial" w:eastAsia="Cambria" w:hAnsi="Arial" w:cs="Arial"/>
          <w:b w:val="0"/>
          <w:bCs w:val="0"/>
          <w:i w:val="0"/>
          <w:iCs w:val="0"/>
          <w:color w:val="auto"/>
          <w:szCs w:val="20"/>
        </w:rPr>
        <w:t>[</w:t>
      </w:r>
      <w:r w:rsidRPr="00D1570A">
        <w:rPr>
          <w:rFonts w:ascii="Arial" w:eastAsia="Cambria" w:hAnsi="Arial" w:cs="Arial"/>
          <w:b w:val="0"/>
          <w:bCs w:val="0"/>
          <w:i w:val="0"/>
          <w:iCs w:val="0"/>
          <w:color w:val="auto"/>
          <w:szCs w:val="20"/>
        </w:rPr>
        <w:t>and this will be kept under review and the modification updated accordingly</w:t>
      </w:r>
      <w:r>
        <w:rPr>
          <w:rFonts w:ascii="Arial" w:eastAsia="Cambria" w:hAnsi="Arial" w:cs="Arial"/>
          <w:b w:val="0"/>
          <w:bCs w:val="0"/>
          <w:i w:val="0"/>
          <w:iCs w:val="0"/>
          <w:color w:val="auto"/>
          <w:szCs w:val="20"/>
        </w:rPr>
        <w:t>]</w:t>
      </w:r>
      <w:r w:rsidRPr="00D1570A">
        <w:rPr>
          <w:rFonts w:ascii="Arial" w:eastAsia="Cambria" w:hAnsi="Arial" w:cs="Arial"/>
          <w:b w:val="0"/>
          <w:bCs w:val="0"/>
          <w:i w:val="0"/>
          <w:iCs w:val="0"/>
          <w:color w:val="auto"/>
          <w:szCs w:val="20"/>
        </w:rPr>
        <w:t>.</w:t>
      </w:r>
    </w:p>
    <w:p w14:paraId="595C3BD8"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p>
    <w:p w14:paraId="4270A9A1" w14:textId="77777777" w:rsidR="00512985" w:rsidRPr="00D1570A"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Mapping of the revenue to Transmission Services revenue and Non-Transmission Services revenue</w:t>
      </w:r>
      <w:r>
        <w:rPr>
          <w:rFonts w:ascii="Arial" w:eastAsia="Times New Roman" w:hAnsi="Arial" w:cs="Arial"/>
          <w:i w:val="0"/>
          <w:iCs w:val="0"/>
          <w:color w:val="008576"/>
          <w:sz w:val="24"/>
          <w:szCs w:val="28"/>
        </w:rPr>
        <w:t xml:space="preserve"> (see paras 3.3 and 3.4 in section 3)</w:t>
      </w:r>
    </w:p>
    <w:p w14:paraId="77286F5C" w14:textId="77777777" w:rsidR="00512985" w:rsidRPr="00C0479A" w:rsidRDefault="00512985" w:rsidP="00512985">
      <w:pPr>
        <w:rPr>
          <w:rFonts w:cs="Arial"/>
          <w:b/>
        </w:rPr>
      </w:pPr>
      <w:r w:rsidRPr="00C0479A">
        <w:rPr>
          <w:rFonts w:cs="Arial"/>
          <w:b/>
        </w:rPr>
        <w:t>Transmission Services Charges</w:t>
      </w:r>
    </w:p>
    <w:p w14:paraId="65450F83" w14:textId="77777777" w:rsidR="00512985" w:rsidRDefault="00512985" w:rsidP="00512985">
      <w:pPr>
        <w:rPr>
          <w:rFonts w:cs="Arial"/>
        </w:rPr>
      </w:pPr>
      <w:r>
        <w:rPr>
          <w:rFonts w:cs="Arial"/>
        </w:rPr>
        <w:t xml:space="preserve">It is proposed that Transmission Services charges will be collected via: </w:t>
      </w:r>
    </w:p>
    <w:p w14:paraId="2570EE6E" w14:textId="77777777" w:rsidR="00512985" w:rsidRDefault="00512985" w:rsidP="00BD3FB5">
      <w:pPr>
        <w:numPr>
          <w:ilvl w:val="0"/>
          <w:numId w:val="21"/>
        </w:numPr>
        <w:rPr>
          <w:rFonts w:cs="Arial"/>
        </w:rPr>
      </w:pPr>
      <w:r>
        <w:rPr>
          <w:rFonts w:cs="Arial"/>
        </w:rPr>
        <w:t xml:space="preserve">Transmission Services Capacity charges made up of; </w:t>
      </w:r>
    </w:p>
    <w:p w14:paraId="7877C3A1" w14:textId="77777777" w:rsidR="00512985" w:rsidRDefault="00512985" w:rsidP="00BD3FB5">
      <w:pPr>
        <w:numPr>
          <w:ilvl w:val="1"/>
          <w:numId w:val="21"/>
        </w:numPr>
        <w:rPr>
          <w:rFonts w:cs="Arial"/>
        </w:rPr>
      </w:pPr>
      <w:r>
        <w:rPr>
          <w:rFonts w:cs="Arial"/>
        </w:rPr>
        <w:t xml:space="preserve">Transmission Entry Capacity charges; </w:t>
      </w:r>
    </w:p>
    <w:p w14:paraId="2598F73E" w14:textId="77777777" w:rsidR="00512985" w:rsidRDefault="00512985" w:rsidP="00BD3FB5">
      <w:pPr>
        <w:numPr>
          <w:ilvl w:val="1"/>
          <w:numId w:val="21"/>
        </w:numPr>
        <w:rPr>
          <w:rFonts w:cs="Arial"/>
        </w:rPr>
      </w:pPr>
      <w:r>
        <w:rPr>
          <w:rFonts w:cs="Arial"/>
        </w:rPr>
        <w:t xml:space="preserve">Transmission Exit Capacity charges; </w:t>
      </w:r>
    </w:p>
    <w:p w14:paraId="7851D3D2" w14:textId="77777777" w:rsidR="00512985" w:rsidRDefault="00512985" w:rsidP="00BD3FB5">
      <w:pPr>
        <w:numPr>
          <w:ilvl w:val="0"/>
          <w:numId w:val="21"/>
        </w:numPr>
        <w:rPr>
          <w:rFonts w:cs="Arial"/>
        </w:rPr>
      </w:pPr>
      <w:r>
        <w:rPr>
          <w:rFonts w:cs="Arial"/>
        </w:rPr>
        <w:t xml:space="preserve">Transmission Services Entry Revenue Recovery charges; </w:t>
      </w:r>
    </w:p>
    <w:p w14:paraId="7638185F" w14:textId="77777777" w:rsidR="00512985" w:rsidRDefault="00512985" w:rsidP="00BD3FB5">
      <w:pPr>
        <w:numPr>
          <w:ilvl w:val="0"/>
          <w:numId w:val="21"/>
        </w:numPr>
        <w:rPr>
          <w:rFonts w:cs="Arial"/>
        </w:rPr>
      </w:pPr>
      <w:r>
        <w:rPr>
          <w:rFonts w:cs="Arial"/>
        </w:rPr>
        <w:t>Transmission Services Exit Revenue Recovery charges; and</w:t>
      </w:r>
    </w:p>
    <w:p w14:paraId="610BE2BB" w14:textId="77777777" w:rsidR="00512985" w:rsidRPr="00BC7164" w:rsidRDefault="00512985" w:rsidP="00BD3FB5">
      <w:pPr>
        <w:numPr>
          <w:ilvl w:val="0"/>
          <w:numId w:val="21"/>
        </w:numPr>
        <w:rPr>
          <w:rFonts w:cs="Arial"/>
        </w:rPr>
      </w:pPr>
      <w:r>
        <w:rPr>
          <w:rFonts w:cs="Arial"/>
        </w:rPr>
        <w:t>Avoiding inefficient bypass of the NTS charges.</w:t>
      </w:r>
    </w:p>
    <w:p w14:paraId="20060145" w14:textId="77777777" w:rsidR="00512985" w:rsidRPr="00C0479A" w:rsidRDefault="00512985" w:rsidP="00512985">
      <w:pPr>
        <w:rPr>
          <w:rFonts w:cs="Arial"/>
          <w:b/>
        </w:rPr>
      </w:pPr>
      <w:r w:rsidRPr="00C0479A">
        <w:rPr>
          <w:rFonts w:cs="Arial"/>
          <w:b/>
        </w:rPr>
        <w:t>Non Transmission Services Charges</w:t>
      </w:r>
    </w:p>
    <w:p w14:paraId="216B65AC" w14:textId="77777777" w:rsidR="00512985" w:rsidRDefault="00512985" w:rsidP="00512985">
      <w:pPr>
        <w:rPr>
          <w:rFonts w:cs="Arial"/>
        </w:rPr>
      </w:pPr>
      <w:r>
        <w:rPr>
          <w:rFonts w:cs="Arial"/>
        </w:rPr>
        <w:t xml:space="preserve">It is proposed that Non-Transmission Services charges will be collected via: </w:t>
      </w:r>
    </w:p>
    <w:p w14:paraId="30283467" w14:textId="77777777" w:rsidR="00512985" w:rsidRDefault="00512985" w:rsidP="00BD3FB5">
      <w:pPr>
        <w:numPr>
          <w:ilvl w:val="0"/>
          <w:numId w:val="22"/>
        </w:numPr>
        <w:rPr>
          <w:rFonts w:cs="Arial"/>
        </w:rPr>
      </w:pPr>
      <w:r>
        <w:rPr>
          <w:rFonts w:cs="Arial"/>
        </w:rPr>
        <w:t xml:space="preserve">Non Transmission Services Entry and Exit Charges; </w:t>
      </w:r>
    </w:p>
    <w:p w14:paraId="116F20BF" w14:textId="77777777" w:rsidR="00512985" w:rsidRDefault="00512985" w:rsidP="00BD3FB5">
      <w:pPr>
        <w:numPr>
          <w:ilvl w:val="0"/>
          <w:numId w:val="22"/>
        </w:numPr>
        <w:rPr>
          <w:rFonts w:cs="Arial"/>
        </w:rPr>
      </w:pPr>
      <w:r>
        <w:rPr>
          <w:rFonts w:cs="Arial"/>
        </w:rPr>
        <w:t>St Fergus Compression Charges;</w:t>
      </w:r>
    </w:p>
    <w:p w14:paraId="6F48043E" w14:textId="77777777" w:rsidR="00512985" w:rsidRDefault="00512985" w:rsidP="00BD3FB5">
      <w:pPr>
        <w:numPr>
          <w:ilvl w:val="0"/>
          <w:numId w:val="22"/>
        </w:numPr>
        <w:rPr>
          <w:rFonts w:cs="Arial"/>
        </w:rPr>
      </w:pPr>
      <w:r>
        <w:rPr>
          <w:rFonts w:cs="Arial"/>
        </w:rPr>
        <w:t>NTS Metering Charges; and</w:t>
      </w:r>
    </w:p>
    <w:p w14:paraId="38D7BBF4" w14:textId="77777777" w:rsidR="00512985" w:rsidRDefault="00512985" w:rsidP="00BD3FB5">
      <w:pPr>
        <w:numPr>
          <w:ilvl w:val="0"/>
          <w:numId w:val="22"/>
        </w:numPr>
        <w:rPr>
          <w:rFonts w:cs="Arial"/>
        </w:rPr>
      </w:pPr>
      <w:r>
        <w:rPr>
          <w:rFonts w:cs="Arial"/>
        </w:rPr>
        <w:t>DN Pensions Deficit charges.</w:t>
      </w:r>
    </w:p>
    <w:p w14:paraId="47525C2D"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u w:val="single"/>
        </w:rPr>
      </w:pPr>
    </w:p>
    <w:p w14:paraId="3DA710B3" w14:textId="77777777" w:rsidR="00512985" w:rsidRPr="006D031E" w:rsidRDefault="00512985" w:rsidP="00512985">
      <w:pPr>
        <w:pStyle w:val="Heading4"/>
        <w:keepLines w:val="0"/>
        <w:numPr>
          <w:ilvl w:val="0"/>
          <w:numId w:val="0"/>
        </w:numPr>
        <w:spacing w:before="240"/>
        <w:rPr>
          <w:rFonts w:ascii="Arial" w:eastAsia="Times New Roman" w:hAnsi="Arial" w:cs="Arial"/>
          <w:i w:val="0"/>
          <w:iCs w:val="0"/>
          <w:color w:val="008576"/>
          <w:sz w:val="24"/>
          <w:szCs w:val="28"/>
          <w:u w:val="single"/>
        </w:rPr>
      </w:pPr>
      <w:r w:rsidRPr="006D031E">
        <w:rPr>
          <w:rFonts w:ascii="Arial" w:eastAsia="Times New Roman" w:hAnsi="Arial" w:cs="Arial"/>
          <w:i w:val="0"/>
          <w:iCs w:val="0"/>
          <w:color w:val="008576"/>
          <w:sz w:val="24"/>
          <w:szCs w:val="28"/>
          <w:u w:val="single"/>
        </w:rPr>
        <w:t xml:space="preserve">Transmission Services Charges </w:t>
      </w:r>
    </w:p>
    <w:p w14:paraId="4D388183" w14:textId="77777777" w:rsidR="00512985" w:rsidRPr="003A2592"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sidRPr="006D031E">
        <w:rPr>
          <w:rFonts w:ascii="Arial" w:eastAsia="Times New Roman" w:hAnsi="Arial" w:cs="Arial"/>
          <w:i w:val="0"/>
          <w:iCs w:val="0"/>
          <w:color w:val="008576"/>
          <w:sz w:val="24"/>
          <w:szCs w:val="28"/>
        </w:rPr>
        <w:t>Reference Price Methodology</w:t>
      </w:r>
      <w:r>
        <w:rPr>
          <w:rFonts w:ascii="Arial" w:eastAsia="Times New Roman" w:hAnsi="Arial" w:cs="Arial"/>
          <w:i w:val="0"/>
          <w:iCs w:val="0"/>
          <w:color w:val="008576"/>
          <w:sz w:val="24"/>
          <w:szCs w:val="28"/>
        </w:rPr>
        <w:t xml:space="preserve"> (see paras 3.5 to 3.11 in section 3)</w:t>
      </w:r>
    </w:p>
    <w:p w14:paraId="0BCD5A4E" w14:textId="77777777" w:rsidR="00512985" w:rsidRPr="00D1570A" w:rsidRDefault="00512985" w:rsidP="00512985">
      <w:r>
        <w:t>It is</w:t>
      </w:r>
      <w:r w:rsidRPr="00D1570A">
        <w:t xml:space="preserve"> propos</w:t>
      </w:r>
      <w:r>
        <w:t>ed</w:t>
      </w:r>
      <w:r w:rsidRPr="00D1570A">
        <w:t xml:space="preserve"> </w:t>
      </w:r>
      <w:r>
        <w:t xml:space="preserve">that </w:t>
      </w:r>
      <w:r w:rsidRPr="00D1570A">
        <w:t xml:space="preserve">a CWD approach </w:t>
      </w:r>
      <w:r>
        <w:t xml:space="preserve">is used in the RPM. </w:t>
      </w:r>
    </w:p>
    <w:p w14:paraId="5A43A1AF" w14:textId="6F9EA0F8" w:rsidR="00D114DF" w:rsidRDefault="00512985" w:rsidP="00512985">
      <w:pPr>
        <w:rPr>
          <w:rFonts w:cs="Arial"/>
        </w:rPr>
      </w:pPr>
      <w:r w:rsidRPr="00D1570A">
        <w:rPr>
          <w:rFonts w:cs="Arial"/>
        </w:rPr>
        <w:t xml:space="preserve">One RPM will be used for the calculation of </w:t>
      </w:r>
      <w:r>
        <w:rPr>
          <w:rFonts w:cs="Arial"/>
        </w:rPr>
        <w:t>Reference P</w:t>
      </w:r>
      <w:r w:rsidRPr="00D1570A">
        <w:rPr>
          <w:rFonts w:cs="Arial"/>
        </w:rPr>
        <w:t xml:space="preserve">rices for all </w:t>
      </w:r>
      <w:r>
        <w:rPr>
          <w:rFonts w:cs="Arial"/>
        </w:rPr>
        <w:t>Entry Points and Exit P</w:t>
      </w:r>
      <w:r w:rsidRPr="00D1570A">
        <w:rPr>
          <w:rFonts w:cs="Arial"/>
        </w:rPr>
        <w:t>oints on the system</w:t>
      </w:r>
      <w:r>
        <w:rPr>
          <w:rFonts w:cs="Arial"/>
        </w:rPr>
        <w:t xml:space="preserve">. </w:t>
      </w:r>
      <w:r w:rsidRPr="00A0196D">
        <w:rPr>
          <w:rFonts w:cs="Arial"/>
        </w:rPr>
        <w:t xml:space="preserve">The RPM produces Entry and Exit Capacity </w:t>
      </w:r>
      <w:r>
        <w:rPr>
          <w:rFonts w:cs="Arial"/>
        </w:rPr>
        <w:t>R</w:t>
      </w:r>
      <w:r w:rsidRPr="00A0196D">
        <w:rPr>
          <w:rFonts w:cs="Arial"/>
        </w:rPr>
        <w:t xml:space="preserve">eference </w:t>
      </w:r>
      <w:r>
        <w:rPr>
          <w:rFonts w:cs="Arial"/>
        </w:rPr>
        <w:t>P</w:t>
      </w:r>
      <w:r w:rsidRPr="00A0196D">
        <w:rPr>
          <w:rFonts w:cs="Arial"/>
        </w:rPr>
        <w:t xml:space="preserve">rices for the applicable gas year which in turn through the relevant adjustments and calculation steps will determine the Entry and Exit Capacity </w:t>
      </w:r>
      <w:r>
        <w:rPr>
          <w:rFonts w:cs="Arial"/>
        </w:rPr>
        <w:t>R</w:t>
      </w:r>
      <w:r w:rsidRPr="00A0196D">
        <w:rPr>
          <w:rFonts w:cs="Arial"/>
        </w:rPr>
        <w:t xml:space="preserve">eserve </w:t>
      </w:r>
      <w:r>
        <w:rPr>
          <w:rFonts w:cs="Arial"/>
        </w:rPr>
        <w:t>P</w:t>
      </w:r>
      <w:r w:rsidRPr="00A0196D">
        <w:rPr>
          <w:rFonts w:cs="Arial"/>
        </w:rPr>
        <w:t>rices.</w:t>
      </w:r>
      <w:r>
        <w:rPr>
          <w:rFonts w:cs="Arial"/>
        </w:rPr>
        <w:t xml:space="preserve"> </w:t>
      </w:r>
    </w:p>
    <w:p w14:paraId="194A8883"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lastRenderedPageBreak/>
        <w:t>Final Reference Prices</w:t>
      </w:r>
    </w:p>
    <w:p w14:paraId="5B63BAD1" w14:textId="77777777" w:rsidR="00512985" w:rsidRDefault="00512985" w:rsidP="00512985">
      <w:r>
        <w:t xml:space="preserve">It is proposed that the calculation of the final Reference Price for a given Entry Point or Exit point cannot be zero. If application of the CWD methodology derives a zero price as a result of the FCC value or the Existing Contracts (EC) influencing the CWD calculation (see below), then the Reference Price to be used for such points will be the nearest non-zero priced Entry Point (for an Entry Point) or the nearest non-zero priced Exit Point (for an Exit Point). The applicable distance is the shortest distance based on the distance matrix from the relevant entry or exit point to the nearest non-zero priced entry or non-zero priced exit point respectively. </w:t>
      </w:r>
    </w:p>
    <w:p w14:paraId="1C02CABB"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Calculations within the CWD Model</w:t>
      </w:r>
    </w:p>
    <w:p w14:paraId="32282381" w14:textId="64D6E75C" w:rsidR="00512985" w:rsidRDefault="00512985" w:rsidP="00512985">
      <w:pPr>
        <w:rPr>
          <w:rFonts w:cs="Arial"/>
          <w:b/>
          <w:u w:val="single"/>
        </w:rPr>
      </w:pPr>
      <w:r w:rsidRPr="00C0479A">
        <w:rPr>
          <w:rFonts w:cs="Arial"/>
          <w:b/>
          <w:u w:val="single"/>
        </w:rPr>
        <w:t xml:space="preserve">Proposed CWD Model for calculating Entry and Exit Capacity </w:t>
      </w:r>
      <w:r>
        <w:rPr>
          <w:rFonts w:cs="Arial"/>
          <w:b/>
          <w:u w:val="single"/>
        </w:rPr>
        <w:t>Base Reference Prices</w:t>
      </w:r>
      <w:r w:rsidRPr="00C0479A">
        <w:rPr>
          <w:rFonts w:cs="Arial"/>
          <w:b/>
          <w:u w:val="single"/>
        </w:rPr>
        <w:t>:</w:t>
      </w:r>
    </w:p>
    <w:p w14:paraId="48E6CED9" w14:textId="77777777" w:rsidR="00512985" w:rsidRPr="00D1570A" w:rsidRDefault="00512985" w:rsidP="00512985">
      <w:pPr>
        <w:rPr>
          <w:rFonts w:cs="Arial"/>
        </w:rPr>
      </w:pPr>
      <w:r w:rsidRPr="00D1570A">
        <w:rPr>
          <w:rFonts w:cs="Arial"/>
        </w:rPr>
        <w:t>The</w:t>
      </w:r>
      <w:r>
        <w:rPr>
          <w:rFonts w:cs="Arial"/>
        </w:rPr>
        <w:t xml:space="preserve"> proposed </w:t>
      </w:r>
      <w:r w:rsidRPr="00D1570A">
        <w:rPr>
          <w:rFonts w:cs="Arial"/>
        </w:rPr>
        <w:t>CWD approach fundamentally requires three main inputs</w:t>
      </w:r>
      <w:r>
        <w:rPr>
          <w:rFonts w:cs="Arial"/>
        </w:rPr>
        <w:t>:</w:t>
      </w:r>
      <w:r w:rsidRPr="00D1570A">
        <w:rPr>
          <w:rFonts w:cs="Arial"/>
        </w:rPr>
        <w:t xml:space="preserve"> </w:t>
      </w:r>
    </w:p>
    <w:p w14:paraId="599A4381" w14:textId="77777777" w:rsidR="00512985" w:rsidRDefault="00512985" w:rsidP="00BD3FB5">
      <w:pPr>
        <w:numPr>
          <w:ilvl w:val="0"/>
          <w:numId w:val="23"/>
        </w:numPr>
        <w:rPr>
          <w:rFonts w:cs="Arial"/>
        </w:rPr>
      </w:pPr>
      <w:r>
        <w:rPr>
          <w:rFonts w:cs="Arial"/>
        </w:rPr>
        <w:t xml:space="preserve">Target Entry or Exit Transmission Services Revenue - Revenue which is Allowed Revenue net of known Existing Contracts (EC) revenue and Interim Contracts (IC) revenue. </w:t>
      </w:r>
    </w:p>
    <w:p w14:paraId="0E1CA28E" w14:textId="77777777" w:rsidR="00512985" w:rsidRDefault="00512985" w:rsidP="00BD3FB5">
      <w:pPr>
        <w:numPr>
          <w:ilvl w:val="0"/>
          <w:numId w:val="23"/>
        </w:numPr>
        <w:rPr>
          <w:rFonts w:cs="Arial"/>
        </w:rPr>
      </w:pPr>
      <w:r>
        <w:rPr>
          <w:rFonts w:cs="Arial"/>
        </w:rPr>
        <w:t xml:space="preserve">Network Distances – derived from a </w:t>
      </w:r>
      <w:r w:rsidRPr="00D1570A">
        <w:rPr>
          <w:rFonts w:cs="Arial"/>
        </w:rPr>
        <w:t>distance matrix for the average connecting distances on the NTS</w:t>
      </w:r>
    </w:p>
    <w:p w14:paraId="7B94CA45" w14:textId="77777777" w:rsidR="00512985" w:rsidRPr="00FA51C5" w:rsidRDefault="00512985" w:rsidP="00BD3FB5">
      <w:pPr>
        <w:numPr>
          <w:ilvl w:val="0"/>
          <w:numId w:val="23"/>
        </w:numPr>
        <w:rPr>
          <w:rFonts w:cs="Arial"/>
        </w:rPr>
      </w:pPr>
      <w:r>
        <w:rPr>
          <w:rFonts w:cs="Arial"/>
        </w:rPr>
        <w:t xml:space="preserve">Capacity (FCC) - FCC (by point) net of EC (by point) capacity booked </w:t>
      </w:r>
      <w:r w:rsidRPr="00FA51C5">
        <w:rPr>
          <w:rFonts w:cs="Arial"/>
        </w:rPr>
        <w:t xml:space="preserve">to recover the target </w:t>
      </w:r>
      <w:r>
        <w:rPr>
          <w:rFonts w:cs="Arial"/>
        </w:rPr>
        <w:t xml:space="preserve">Entry or Exit Transmission Services </w:t>
      </w:r>
      <w:r w:rsidRPr="00FA51C5">
        <w:rPr>
          <w:rFonts w:cs="Arial"/>
        </w:rPr>
        <w:t>revenue</w:t>
      </w:r>
      <w:r>
        <w:rPr>
          <w:rFonts w:cs="Arial"/>
        </w:rPr>
        <w:t xml:space="preserve"> and Interim Contracts (IC) revenue.</w:t>
      </w:r>
    </w:p>
    <w:p w14:paraId="1620AB1C" w14:textId="77777777" w:rsidR="00512985" w:rsidRDefault="00512985" w:rsidP="00512985">
      <w:pPr>
        <w:rPr>
          <w:rFonts w:cs="Arial"/>
        </w:rPr>
      </w:pPr>
      <w:r>
        <w:rPr>
          <w:rFonts w:cs="Arial"/>
          <w:noProof/>
        </w:rPr>
        <w:drawing>
          <wp:inline distT="0" distB="0" distL="0" distR="0" wp14:anchorId="5336CF1D" wp14:editId="78B4751B">
            <wp:extent cx="4640239" cy="3444015"/>
            <wp:effectExtent l="0" t="0" r="825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6203" cy="3448441"/>
                    </a:xfrm>
                    <a:prstGeom prst="rect">
                      <a:avLst/>
                    </a:prstGeom>
                    <a:noFill/>
                    <a:ln>
                      <a:noFill/>
                    </a:ln>
                  </pic:spPr>
                </pic:pic>
              </a:graphicData>
            </a:graphic>
          </wp:inline>
        </w:drawing>
      </w:r>
    </w:p>
    <w:p w14:paraId="7E511654" w14:textId="77777777" w:rsidR="00512985" w:rsidRDefault="00512985" w:rsidP="00512985">
      <w:pPr>
        <w:rPr>
          <w:rFonts w:cs="Arial"/>
          <w:b/>
        </w:rPr>
      </w:pPr>
    </w:p>
    <w:p w14:paraId="61797902" w14:textId="77777777" w:rsidR="00512985" w:rsidRDefault="00512985" w:rsidP="00512985">
      <w:pPr>
        <w:rPr>
          <w:rFonts w:cs="Arial"/>
          <w:b/>
        </w:rPr>
      </w:pPr>
    </w:p>
    <w:p w14:paraId="0C242FA6" w14:textId="77777777" w:rsidR="00512985" w:rsidRPr="00C0479A" w:rsidRDefault="00512985" w:rsidP="00512985">
      <w:pPr>
        <w:rPr>
          <w:rFonts w:cs="Arial"/>
          <w:b/>
        </w:rPr>
      </w:pPr>
      <w:r w:rsidRPr="00C0479A">
        <w:rPr>
          <w:rFonts w:cs="Arial"/>
          <w:b/>
        </w:rPr>
        <w:t>Key steps in the CWD calculations:</w:t>
      </w:r>
    </w:p>
    <w:tbl>
      <w:tblPr>
        <w:tblW w:w="9358" w:type="dxa"/>
        <w:tblCellMar>
          <w:left w:w="0" w:type="dxa"/>
          <w:right w:w="0" w:type="dxa"/>
        </w:tblCellMar>
        <w:tblLook w:val="0420" w:firstRow="1" w:lastRow="0" w:firstColumn="0" w:lastColumn="0" w:noHBand="0" w:noVBand="1"/>
      </w:tblPr>
      <w:tblGrid>
        <w:gridCol w:w="2412"/>
        <w:gridCol w:w="3261"/>
        <w:gridCol w:w="3685"/>
      </w:tblGrid>
      <w:tr w:rsidR="00512985" w:rsidRPr="00772C41" w14:paraId="53E79DF7" w14:textId="77777777" w:rsidTr="00266836">
        <w:trPr>
          <w:trHeight w:val="584"/>
        </w:trPr>
        <w:tc>
          <w:tcPr>
            <w:tcW w:w="2412" w:type="dxa"/>
            <w:tcBorders>
              <w:top w:val="single" w:sz="8" w:space="0" w:color="FFFFFF"/>
              <w:left w:val="single" w:sz="8" w:space="0" w:color="FFFFFF"/>
              <w:bottom w:val="single" w:sz="24" w:space="0" w:color="FFFFFF"/>
              <w:right w:val="single" w:sz="8" w:space="0" w:color="FFFFFF"/>
            </w:tcBorders>
            <w:shd w:val="clear" w:color="auto" w:fill="00AED9"/>
            <w:tcMar>
              <w:top w:w="72" w:type="dxa"/>
              <w:left w:w="144" w:type="dxa"/>
              <w:bottom w:w="72" w:type="dxa"/>
              <w:right w:w="144" w:type="dxa"/>
            </w:tcMar>
            <w:hideMark/>
          </w:tcPr>
          <w:p w14:paraId="6344B8B0" w14:textId="77777777" w:rsidR="00512985" w:rsidRPr="00C0479A" w:rsidRDefault="00512985" w:rsidP="00266836">
            <w:pPr>
              <w:spacing w:before="0" w:after="0" w:line="240" w:lineRule="auto"/>
              <w:rPr>
                <w:rFonts w:cs="Arial"/>
                <w:szCs w:val="20"/>
              </w:rPr>
            </w:pPr>
          </w:p>
        </w:tc>
        <w:tc>
          <w:tcPr>
            <w:tcW w:w="3261" w:type="dxa"/>
            <w:tcBorders>
              <w:top w:val="single" w:sz="8" w:space="0" w:color="FFFFFF"/>
              <w:left w:val="single" w:sz="8" w:space="0" w:color="FFFFFF"/>
              <w:bottom w:val="single" w:sz="24" w:space="0" w:color="FFFFFF"/>
              <w:right w:val="single" w:sz="8" w:space="0" w:color="FFFFFF"/>
            </w:tcBorders>
            <w:shd w:val="clear" w:color="auto" w:fill="00AED9"/>
            <w:tcMar>
              <w:top w:w="72" w:type="dxa"/>
              <w:left w:w="144" w:type="dxa"/>
              <w:bottom w:w="72" w:type="dxa"/>
              <w:right w:w="144" w:type="dxa"/>
            </w:tcMar>
            <w:hideMark/>
          </w:tcPr>
          <w:p w14:paraId="5E6E196B" w14:textId="77777777" w:rsidR="00512985" w:rsidRPr="00C0479A" w:rsidRDefault="00512985" w:rsidP="00266836">
            <w:pPr>
              <w:spacing w:before="0" w:after="0" w:line="240" w:lineRule="auto"/>
              <w:rPr>
                <w:rFonts w:cs="Arial"/>
                <w:szCs w:val="20"/>
              </w:rPr>
            </w:pPr>
            <w:r w:rsidRPr="00C0479A">
              <w:rPr>
                <w:rFonts w:eastAsia="MS PGothic" w:cs="Arial"/>
                <w:b/>
                <w:bCs/>
                <w:color w:val="FFFFFF"/>
                <w:kern w:val="24"/>
                <w:szCs w:val="20"/>
              </w:rPr>
              <w:t>Entry Capacity Calculation</w:t>
            </w:r>
          </w:p>
        </w:tc>
        <w:tc>
          <w:tcPr>
            <w:tcW w:w="3685" w:type="dxa"/>
            <w:tcBorders>
              <w:top w:val="single" w:sz="8" w:space="0" w:color="FFFFFF"/>
              <w:left w:val="single" w:sz="8" w:space="0" w:color="FFFFFF"/>
              <w:bottom w:val="single" w:sz="24" w:space="0" w:color="FFFFFF"/>
              <w:right w:val="single" w:sz="8" w:space="0" w:color="FFFFFF"/>
            </w:tcBorders>
            <w:shd w:val="clear" w:color="auto" w:fill="00AED9"/>
            <w:tcMar>
              <w:top w:w="72" w:type="dxa"/>
              <w:left w:w="144" w:type="dxa"/>
              <w:bottom w:w="72" w:type="dxa"/>
              <w:right w:w="144" w:type="dxa"/>
            </w:tcMar>
            <w:hideMark/>
          </w:tcPr>
          <w:p w14:paraId="40D203C6" w14:textId="77777777" w:rsidR="00512985" w:rsidRPr="00C0479A" w:rsidRDefault="00512985" w:rsidP="00266836">
            <w:pPr>
              <w:spacing w:before="0" w:after="0" w:line="240" w:lineRule="auto"/>
              <w:rPr>
                <w:rFonts w:cs="Arial"/>
                <w:szCs w:val="20"/>
              </w:rPr>
            </w:pPr>
            <w:r w:rsidRPr="00C0479A">
              <w:rPr>
                <w:rFonts w:eastAsia="MS PGothic" w:cs="Arial"/>
                <w:b/>
                <w:bCs/>
                <w:color w:val="FFFFFF"/>
                <w:kern w:val="24"/>
                <w:szCs w:val="20"/>
              </w:rPr>
              <w:t>Exit Capacity Calculation</w:t>
            </w:r>
          </w:p>
        </w:tc>
      </w:tr>
      <w:tr w:rsidR="00512985" w:rsidRPr="00772C41" w14:paraId="48AC33FE" w14:textId="77777777" w:rsidTr="00266836">
        <w:trPr>
          <w:trHeight w:val="584"/>
        </w:trPr>
        <w:tc>
          <w:tcPr>
            <w:tcW w:w="2412" w:type="dxa"/>
            <w:tcBorders>
              <w:top w:val="single" w:sz="24" w:space="0" w:color="FFFFFF"/>
              <w:left w:val="single" w:sz="8" w:space="0" w:color="FFFFFF"/>
              <w:bottom w:val="single" w:sz="8" w:space="0" w:color="FFFFFF"/>
              <w:right w:val="single" w:sz="8" w:space="0" w:color="FFFFFF"/>
            </w:tcBorders>
            <w:shd w:val="clear" w:color="auto" w:fill="CBE3F1"/>
            <w:tcMar>
              <w:top w:w="72" w:type="dxa"/>
              <w:left w:w="144" w:type="dxa"/>
              <w:bottom w:w="72" w:type="dxa"/>
              <w:right w:w="144" w:type="dxa"/>
            </w:tcMar>
            <w:hideMark/>
          </w:tcPr>
          <w:p w14:paraId="77A4012A"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Weighted Average Distance (WAD)</w:t>
            </w:r>
          </w:p>
        </w:tc>
        <w:tc>
          <w:tcPr>
            <w:tcW w:w="3261" w:type="dxa"/>
            <w:tcBorders>
              <w:top w:val="single" w:sz="24" w:space="0" w:color="FFFFFF"/>
              <w:left w:val="single" w:sz="8" w:space="0" w:color="FFFFFF"/>
              <w:bottom w:val="single" w:sz="8" w:space="0" w:color="FFFFFF"/>
              <w:right w:val="single" w:sz="8" w:space="0" w:color="FFFFFF"/>
            </w:tcBorders>
            <w:shd w:val="clear" w:color="auto" w:fill="CBE3F1"/>
            <w:tcMar>
              <w:top w:w="72" w:type="dxa"/>
              <w:left w:w="144" w:type="dxa"/>
              <w:bottom w:w="72" w:type="dxa"/>
              <w:right w:w="144" w:type="dxa"/>
            </w:tcMar>
            <w:hideMark/>
          </w:tcPr>
          <w:p w14:paraId="69CDB2CC"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(Sumproduct Exit Point FCC x Distance to Entry Point)</w:t>
            </w:r>
          </w:p>
          <w:p w14:paraId="135136C5"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lastRenderedPageBreak/>
              <w:t xml:space="preserve">/ </w:t>
            </w:r>
          </w:p>
          <w:p w14:paraId="2DAEE44E"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Sum Exit Point FCC</w:t>
            </w:r>
          </w:p>
        </w:tc>
        <w:tc>
          <w:tcPr>
            <w:tcW w:w="3685" w:type="dxa"/>
            <w:tcBorders>
              <w:top w:val="single" w:sz="24" w:space="0" w:color="FFFFFF"/>
              <w:left w:val="single" w:sz="8" w:space="0" w:color="FFFFFF"/>
              <w:bottom w:val="single" w:sz="8" w:space="0" w:color="FFFFFF"/>
              <w:right w:val="single" w:sz="8" w:space="0" w:color="FFFFFF"/>
            </w:tcBorders>
            <w:shd w:val="clear" w:color="auto" w:fill="CBE3F1"/>
            <w:tcMar>
              <w:top w:w="72" w:type="dxa"/>
              <w:left w:w="144" w:type="dxa"/>
              <w:bottom w:w="72" w:type="dxa"/>
              <w:right w:w="144" w:type="dxa"/>
            </w:tcMar>
            <w:hideMark/>
          </w:tcPr>
          <w:p w14:paraId="29795BC7" w14:textId="77777777" w:rsidR="00512985" w:rsidRPr="00C0479A" w:rsidRDefault="00512985" w:rsidP="00266836">
            <w:pPr>
              <w:tabs>
                <w:tab w:val="left" w:pos="5457"/>
              </w:tabs>
              <w:spacing w:before="0" w:after="0" w:line="240" w:lineRule="auto"/>
              <w:rPr>
                <w:rFonts w:cs="Arial"/>
                <w:szCs w:val="20"/>
              </w:rPr>
            </w:pPr>
            <w:r w:rsidRPr="00C0479A">
              <w:rPr>
                <w:rFonts w:eastAsia="MS PGothic" w:cs="Arial"/>
                <w:color w:val="000000"/>
                <w:kern w:val="24"/>
                <w:szCs w:val="20"/>
              </w:rPr>
              <w:lastRenderedPageBreak/>
              <w:t>(Sumproduct Entry Point FCC</w:t>
            </w:r>
            <w:r w:rsidRPr="00537DD2">
              <w:rPr>
                <w:rFonts w:eastAsia="MS PGothic" w:cs="Arial"/>
                <w:color w:val="000000"/>
                <w:kern w:val="24"/>
                <w:szCs w:val="20"/>
                <w:vertAlign w:val="superscript"/>
              </w:rPr>
              <w:t>#</w:t>
            </w:r>
            <w:r w:rsidRPr="00C0479A">
              <w:rPr>
                <w:rFonts w:eastAsia="MS PGothic" w:cs="Arial"/>
                <w:color w:val="000000"/>
                <w:kern w:val="24"/>
                <w:szCs w:val="20"/>
              </w:rPr>
              <w:t xml:space="preserve"> x Distance to Exit Point)</w:t>
            </w:r>
          </w:p>
          <w:p w14:paraId="2FC2BA29"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lastRenderedPageBreak/>
              <w:t xml:space="preserve">/ </w:t>
            </w:r>
          </w:p>
          <w:p w14:paraId="5C6C7AB4"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Sum Entry Point FCC</w:t>
            </w:r>
            <w:r w:rsidRPr="00C0479A">
              <w:rPr>
                <w:rFonts w:eastAsia="MS PGothic" w:cs="Arial"/>
                <w:color w:val="000000"/>
                <w:kern w:val="24"/>
                <w:position w:val="11"/>
                <w:szCs w:val="20"/>
                <w:vertAlign w:val="superscript"/>
              </w:rPr>
              <w:t>#</w:t>
            </w:r>
          </w:p>
        </w:tc>
      </w:tr>
      <w:tr w:rsidR="00512985" w:rsidRPr="00772C41" w14:paraId="37B7CCB4" w14:textId="77777777" w:rsidTr="00266836">
        <w:trPr>
          <w:trHeight w:val="584"/>
        </w:trPr>
        <w:tc>
          <w:tcPr>
            <w:tcW w:w="2412" w:type="dxa"/>
            <w:tcBorders>
              <w:top w:val="single" w:sz="8" w:space="0" w:color="FFFFFF"/>
              <w:left w:val="single" w:sz="8" w:space="0" w:color="FFFFFF"/>
              <w:bottom w:val="single" w:sz="8" w:space="0" w:color="FFFFFF"/>
              <w:right w:val="single" w:sz="8" w:space="0" w:color="FFFFFF"/>
            </w:tcBorders>
            <w:shd w:val="clear" w:color="auto" w:fill="E7F2F8"/>
            <w:tcMar>
              <w:top w:w="72" w:type="dxa"/>
              <w:left w:w="144" w:type="dxa"/>
              <w:bottom w:w="72" w:type="dxa"/>
              <w:right w:w="144" w:type="dxa"/>
            </w:tcMar>
            <w:hideMark/>
          </w:tcPr>
          <w:p w14:paraId="115360A2"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lastRenderedPageBreak/>
              <w:t>Weighted Cost (WC)</w:t>
            </w:r>
          </w:p>
        </w:tc>
        <w:tc>
          <w:tcPr>
            <w:tcW w:w="3261" w:type="dxa"/>
            <w:tcBorders>
              <w:top w:val="single" w:sz="8" w:space="0" w:color="FFFFFF"/>
              <w:left w:val="single" w:sz="8" w:space="0" w:color="FFFFFF"/>
              <w:bottom w:val="single" w:sz="8" w:space="0" w:color="FFFFFF"/>
              <w:right w:val="single" w:sz="8" w:space="0" w:color="FFFFFF"/>
            </w:tcBorders>
            <w:shd w:val="clear" w:color="auto" w:fill="E7F2F8"/>
            <w:tcMar>
              <w:top w:w="72" w:type="dxa"/>
              <w:left w:w="144" w:type="dxa"/>
              <w:bottom w:w="72" w:type="dxa"/>
              <w:right w:w="144" w:type="dxa"/>
            </w:tcMar>
            <w:hideMark/>
          </w:tcPr>
          <w:p w14:paraId="46AED3A9"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Entry Point FCC* x WAD</w:t>
            </w:r>
          </w:p>
          <w:p w14:paraId="3BFAC5B3"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w:t>
            </w:r>
          </w:p>
          <w:p w14:paraId="1E7F2C8F"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(Sumproduct Entry Point FCC* x WAD)</w:t>
            </w:r>
          </w:p>
        </w:tc>
        <w:tc>
          <w:tcPr>
            <w:tcW w:w="3685" w:type="dxa"/>
            <w:tcBorders>
              <w:top w:val="single" w:sz="8" w:space="0" w:color="FFFFFF"/>
              <w:left w:val="single" w:sz="8" w:space="0" w:color="FFFFFF"/>
              <w:bottom w:val="single" w:sz="8" w:space="0" w:color="FFFFFF"/>
              <w:right w:val="single" w:sz="8" w:space="0" w:color="FFFFFF"/>
            </w:tcBorders>
            <w:shd w:val="clear" w:color="auto" w:fill="E7F2F8"/>
            <w:tcMar>
              <w:top w:w="72" w:type="dxa"/>
              <w:left w:w="144" w:type="dxa"/>
              <w:bottom w:w="72" w:type="dxa"/>
              <w:right w:w="144" w:type="dxa"/>
            </w:tcMar>
            <w:hideMark/>
          </w:tcPr>
          <w:p w14:paraId="0FDD3D33"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Exit Point FCC x WAD</w:t>
            </w:r>
          </w:p>
          <w:p w14:paraId="35817970"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 xml:space="preserve">/ </w:t>
            </w:r>
          </w:p>
          <w:p w14:paraId="431C8219"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(Sumproduct Exit Point FCC x WAD)</w:t>
            </w:r>
          </w:p>
        </w:tc>
      </w:tr>
      <w:tr w:rsidR="00512985" w:rsidRPr="00772C41" w14:paraId="609EA1BE" w14:textId="77777777" w:rsidTr="00266836">
        <w:trPr>
          <w:trHeight w:val="584"/>
        </w:trPr>
        <w:tc>
          <w:tcPr>
            <w:tcW w:w="2412" w:type="dxa"/>
            <w:tcBorders>
              <w:top w:val="single" w:sz="8" w:space="0" w:color="FFFFFF"/>
              <w:left w:val="single" w:sz="8" w:space="0" w:color="FFFFFF"/>
              <w:bottom w:val="single" w:sz="8" w:space="0" w:color="FFFFFF"/>
              <w:right w:val="single" w:sz="8" w:space="0" w:color="FFFFFF"/>
            </w:tcBorders>
            <w:shd w:val="clear" w:color="auto" w:fill="CBE3F1"/>
            <w:tcMar>
              <w:top w:w="72" w:type="dxa"/>
              <w:left w:w="144" w:type="dxa"/>
              <w:bottom w:w="72" w:type="dxa"/>
              <w:right w:w="144" w:type="dxa"/>
            </w:tcMar>
            <w:hideMark/>
          </w:tcPr>
          <w:p w14:paraId="2134E424"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Target Revenue by point (TRP)</w:t>
            </w:r>
          </w:p>
        </w:tc>
        <w:tc>
          <w:tcPr>
            <w:tcW w:w="3261" w:type="dxa"/>
            <w:tcBorders>
              <w:top w:val="single" w:sz="8" w:space="0" w:color="FFFFFF"/>
              <w:left w:val="single" w:sz="8" w:space="0" w:color="FFFFFF"/>
              <w:bottom w:val="single" w:sz="8" w:space="0" w:color="FFFFFF"/>
              <w:right w:val="single" w:sz="8" w:space="0" w:color="FFFFFF"/>
            </w:tcBorders>
            <w:shd w:val="clear" w:color="auto" w:fill="CBE3F1"/>
            <w:tcMar>
              <w:top w:w="72" w:type="dxa"/>
              <w:left w:w="144" w:type="dxa"/>
              <w:bottom w:w="72" w:type="dxa"/>
              <w:right w:w="144" w:type="dxa"/>
            </w:tcMar>
            <w:hideMark/>
          </w:tcPr>
          <w:p w14:paraId="05210F40"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Entry Target Revenue x WC</w:t>
            </w:r>
          </w:p>
        </w:tc>
        <w:tc>
          <w:tcPr>
            <w:tcW w:w="3685" w:type="dxa"/>
            <w:tcBorders>
              <w:top w:val="single" w:sz="8" w:space="0" w:color="FFFFFF"/>
              <w:left w:val="single" w:sz="8" w:space="0" w:color="FFFFFF"/>
              <w:bottom w:val="single" w:sz="8" w:space="0" w:color="FFFFFF"/>
              <w:right w:val="single" w:sz="8" w:space="0" w:color="FFFFFF"/>
            </w:tcBorders>
            <w:shd w:val="clear" w:color="auto" w:fill="CBE3F1"/>
            <w:tcMar>
              <w:top w:w="72" w:type="dxa"/>
              <w:left w:w="144" w:type="dxa"/>
              <w:bottom w:w="72" w:type="dxa"/>
              <w:right w:w="144" w:type="dxa"/>
            </w:tcMar>
            <w:hideMark/>
          </w:tcPr>
          <w:p w14:paraId="6052B961"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Exit Target Revenue x WC</w:t>
            </w:r>
          </w:p>
        </w:tc>
      </w:tr>
      <w:tr w:rsidR="00512985" w:rsidRPr="00772C41" w14:paraId="148B09A1" w14:textId="77777777" w:rsidTr="00266836">
        <w:trPr>
          <w:trHeight w:val="584"/>
        </w:trPr>
        <w:tc>
          <w:tcPr>
            <w:tcW w:w="2412" w:type="dxa"/>
            <w:tcBorders>
              <w:top w:val="single" w:sz="8" w:space="0" w:color="FFFFFF"/>
              <w:left w:val="single" w:sz="8" w:space="0" w:color="FFFFFF"/>
              <w:bottom w:val="single" w:sz="8" w:space="0" w:color="FFFFFF"/>
              <w:right w:val="single" w:sz="8" w:space="0" w:color="FFFFFF"/>
            </w:tcBorders>
            <w:shd w:val="clear" w:color="auto" w:fill="E7F2F8"/>
            <w:tcMar>
              <w:top w:w="72" w:type="dxa"/>
              <w:left w:w="144" w:type="dxa"/>
              <w:bottom w:w="72" w:type="dxa"/>
              <w:right w:w="144" w:type="dxa"/>
            </w:tcMar>
            <w:hideMark/>
          </w:tcPr>
          <w:p w14:paraId="40AFD841"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Reference Price (RefP)</w:t>
            </w:r>
          </w:p>
        </w:tc>
        <w:tc>
          <w:tcPr>
            <w:tcW w:w="3261" w:type="dxa"/>
            <w:tcBorders>
              <w:top w:val="single" w:sz="8" w:space="0" w:color="FFFFFF"/>
              <w:left w:val="single" w:sz="8" w:space="0" w:color="FFFFFF"/>
              <w:bottom w:val="single" w:sz="8" w:space="0" w:color="FFFFFF"/>
              <w:right w:val="single" w:sz="8" w:space="0" w:color="FFFFFF"/>
            </w:tcBorders>
            <w:shd w:val="clear" w:color="auto" w:fill="E7F2F8"/>
            <w:tcMar>
              <w:top w:w="72" w:type="dxa"/>
              <w:left w:w="144" w:type="dxa"/>
              <w:bottom w:w="72" w:type="dxa"/>
              <w:right w:w="144" w:type="dxa"/>
            </w:tcMar>
            <w:hideMark/>
          </w:tcPr>
          <w:p w14:paraId="35081479"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Entry TRP / Entry Point FCC*</w:t>
            </w:r>
          </w:p>
        </w:tc>
        <w:tc>
          <w:tcPr>
            <w:tcW w:w="3685" w:type="dxa"/>
            <w:tcBorders>
              <w:top w:val="single" w:sz="8" w:space="0" w:color="FFFFFF"/>
              <w:left w:val="single" w:sz="8" w:space="0" w:color="FFFFFF"/>
              <w:bottom w:val="single" w:sz="8" w:space="0" w:color="FFFFFF"/>
              <w:right w:val="single" w:sz="8" w:space="0" w:color="FFFFFF"/>
            </w:tcBorders>
            <w:shd w:val="clear" w:color="auto" w:fill="E7F2F8"/>
            <w:tcMar>
              <w:top w:w="72" w:type="dxa"/>
              <w:left w:w="144" w:type="dxa"/>
              <w:bottom w:w="72" w:type="dxa"/>
              <w:right w:w="144" w:type="dxa"/>
            </w:tcMar>
            <w:hideMark/>
          </w:tcPr>
          <w:p w14:paraId="12063E27" w14:textId="77777777" w:rsidR="00512985" w:rsidRPr="00C0479A" w:rsidRDefault="00512985" w:rsidP="00266836">
            <w:pPr>
              <w:spacing w:before="0" w:after="0" w:line="240" w:lineRule="auto"/>
              <w:rPr>
                <w:rFonts w:cs="Arial"/>
                <w:szCs w:val="20"/>
              </w:rPr>
            </w:pPr>
            <w:r w:rsidRPr="00C0479A">
              <w:rPr>
                <w:rFonts w:eastAsia="MS PGothic" w:cs="Arial"/>
                <w:color w:val="000000"/>
                <w:kern w:val="24"/>
                <w:szCs w:val="20"/>
              </w:rPr>
              <w:t>Exit TRP / Exit Point FCC</w:t>
            </w:r>
          </w:p>
        </w:tc>
      </w:tr>
    </w:tbl>
    <w:p w14:paraId="34FD2674" w14:textId="77777777" w:rsidR="00512985" w:rsidRPr="00A44489" w:rsidRDefault="00512985" w:rsidP="00512985">
      <w:pPr>
        <w:rPr>
          <w:rFonts w:cs="Arial"/>
        </w:rPr>
      </w:pPr>
      <w:r>
        <w:rPr>
          <w:rStyle w:val="FootnoteReference"/>
        </w:rPr>
        <w:t>#</w:t>
      </w:r>
      <w:r w:rsidRPr="004249E8">
        <w:rPr>
          <w:rFonts w:cs="Arial"/>
        </w:rPr>
        <w:t xml:space="preserve">Entry Point FCC – this is Gross Entry Point FCC (not reduced by </w:t>
      </w:r>
      <w:r>
        <w:rPr>
          <w:rFonts w:cs="Arial"/>
        </w:rPr>
        <w:t xml:space="preserve">capacity associated with </w:t>
      </w:r>
      <w:r w:rsidRPr="004249E8">
        <w:rPr>
          <w:rFonts w:cs="Arial"/>
        </w:rPr>
        <w:t>Existing Contracts</w:t>
      </w:r>
      <w:r>
        <w:rPr>
          <w:rFonts w:cs="Arial"/>
        </w:rPr>
        <w:t xml:space="preserve"> and Interim Contracts</w:t>
      </w:r>
      <w:r w:rsidRPr="004249E8">
        <w:rPr>
          <w:rFonts w:cs="Arial"/>
        </w:rPr>
        <w:t>)</w:t>
      </w:r>
    </w:p>
    <w:p w14:paraId="6EB8F61F" w14:textId="77777777" w:rsidR="00512985" w:rsidRDefault="00512985" w:rsidP="00512985">
      <w:pPr>
        <w:rPr>
          <w:rFonts w:cs="Arial"/>
        </w:rPr>
      </w:pPr>
      <w:r w:rsidRPr="004249E8">
        <w:rPr>
          <w:rFonts w:cs="Arial"/>
        </w:rPr>
        <w:t xml:space="preserve">*Entry Point FCC – this is the Entry Point FCC net of </w:t>
      </w:r>
      <w:r>
        <w:rPr>
          <w:rFonts w:cs="Arial"/>
        </w:rPr>
        <w:t xml:space="preserve">capacity associated with </w:t>
      </w:r>
      <w:r w:rsidRPr="004249E8">
        <w:rPr>
          <w:rFonts w:cs="Arial"/>
        </w:rPr>
        <w:t>Existing Contract</w:t>
      </w:r>
      <w:r>
        <w:rPr>
          <w:rFonts w:cs="Arial"/>
        </w:rPr>
        <w:t xml:space="preserve">s and Interim Contracts. </w:t>
      </w:r>
    </w:p>
    <w:p w14:paraId="48C6F620" w14:textId="77777777" w:rsidR="00512985" w:rsidRDefault="00512985" w:rsidP="00512985">
      <w:pPr>
        <w:rPr>
          <w:rFonts w:cs="Arial"/>
          <w:b/>
        </w:rPr>
      </w:pPr>
    </w:p>
    <w:p w14:paraId="13DD1500" w14:textId="77777777" w:rsidR="00512985" w:rsidRDefault="00512985" w:rsidP="00512985">
      <w:pPr>
        <w:rPr>
          <w:rFonts w:cs="Arial"/>
          <w:b/>
        </w:rPr>
      </w:pPr>
      <w:r w:rsidRPr="00C0479A">
        <w:rPr>
          <w:rFonts w:cs="Arial"/>
          <w:b/>
        </w:rPr>
        <w:t xml:space="preserve">Entry </w:t>
      </w:r>
      <w:r>
        <w:rPr>
          <w:rFonts w:cs="Arial"/>
          <w:b/>
        </w:rPr>
        <w:t xml:space="preserve">Point </w:t>
      </w:r>
      <w:r w:rsidRPr="00C0479A">
        <w:rPr>
          <w:rFonts w:cs="Arial"/>
          <w:b/>
        </w:rPr>
        <w:t xml:space="preserve">Reference </w:t>
      </w:r>
      <w:r>
        <w:rPr>
          <w:rFonts w:cs="Arial"/>
          <w:b/>
        </w:rPr>
        <w:t>P</w:t>
      </w:r>
      <w:r w:rsidRPr="00C0479A">
        <w:rPr>
          <w:rFonts w:cs="Arial"/>
          <w:b/>
        </w:rPr>
        <w:t>rices are calculated in the following steps in the CWD model:</w:t>
      </w:r>
    </w:p>
    <w:p w14:paraId="237B5FA4" w14:textId="77777777" w:rsidR="00512985" w:rsidRPr="00D1570A" w:rsidRDefault="00512985" w:rsidP="00512985">
      <w:pPr>
        <w:rPr>
          <w:rFonts w:cs="Arial"/>
        </w:rPr>
      </w:pPr>
      <w:r>
        <w:rPr>
          <w:rFonts w:cs="Arial"/>
          <w:noProof/>
        </w:rPr>
        <w:drawing>
          <wp:inline distT="0" distB="0" distL="0" distR="0" wp14:anchorId="3DFD8A64" wp14:editId="42B2E24A">
            <wp:extent cx="5622878" cy="29019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2726" cy="2901877"/>
                    </a:xfrm>
                    <a:prstGeom prst="rect">
                      <a:avLst/>
                    </a:prstGeom>
                    <a:noFill/>
                    <a:ln>
                      <a:noFill/>
                    </a:ln>
                  </pic:spPr>
                </pic:pic>
              </a:graphicData>
            </a:graphic>
          </wp:inline>
        </w:drawing>
      </w:r>
    </w:p>
    <w:p w14:paraId="4F10EAB9" w14:textId="77777777" w:rsidR="00512985" w:rsidRDefault="00512985" w:rsidP="00512985">
      <w:pPr>
        <w:rPr>
          <w:rFonts w:cs="Arial"/>
        </w:rPr>
      </w:pPr>
    </w:p>
    <w:p w14:paraId="5709945F" w14:textId="77777777" w:rsidR="00512985" w:rsidRDefault="00512985" w:rsidP="00512985">
      <w:pPr>
        <w:rPr>
          <w:rFonts w:cs="Arial"/>
          <w:b/>
        </w:rPr>
      </w:pPr>
    </w:p>
    <w:p w14:paraId="258DE032" w14:textId="77777777" w:rsidR="00512985" w:rsidRDefault="00512985" w:rsidP="00512985">
      <w:pPr>
        <w:rPr>
          <w:rFonts w:cs="Arial"/>
          <w:b/>
        </w:rPr>
      </w:pPr>
    </w:p>
    <w:p w14:paraId="4EDEB647" w14:textId="77777777" w:rsidR="00512985" w:rsidRDefault="00512985" w:rsidP="00512985">
      <w:pPr>
        <w:rPr>
          <w:rFonts w:cs="Arial"/>
          <w:b/>
        </w:rPr>
      </w:pPr>
    </w:p>
    <w:p w14:paraId="5103B302" w14:textId="77777777" w:rsidR="00512985" w:rsidRDefault="00512985" w:rsidP="00512985">
      <w:pPr>
        <w:rPr>
          <w:rFonts w:cs="Arial"/>
          <w:b/>
        </w:rPr>
      </w:pPr>
    </w:p>
    <w:p w14:paraId="15F73F2D" w14:textId="77777777" w:rsidR="00512985" w:rsidRDefault="00512985" w:rsidP="00512985">
      <w:pPr>
        <w:rPr>
          <w:rFonts w:cs="Arial"/>
          <w:b/>
        </w:rPr>
      </w:pPr>
    </w:p>
    <w:p w14:paraId="493F66F5" w14:textId="77777777" w:rsidR="00512985" w:rsidRPr="00C0479A" w:rsidRDefault="00512985" w:rsidP="00512985">
      <w:pPr>
        <w:rPr>
          <w:rFonts w:cs="Arial"/>
          <w:b/>
        </w:rPr>
      </w:pPr>
      <w:r w:rsidRPr="00C0479A">
        <w:rPr>
          <w:rFonts w:cs="Arial"/>
          <w:b/>
        </w:rPr>
        <w:t xml:space="preserve">Exit </w:t>
      </w:r>
      <w:r>
        <w:rPr>
          <w:rFonts w:cs="Arial"/>
          <w:b/>
        </w:rPr>
        <w:t xml:space="preserve">Point </w:t>
      </w:r>
      <w:r w:rsidRPr="00C0479A">
        <w:rPr>
          <w:rFonts w:cs="Arial"/>
          <w:b/>
        </w:rPr>
        <w:t xml:space="preserve">Reference </w:t>
      </w:r>
      <w:r>
        <w:rPr>
          <w:rFonts w:cs="Arial"/>
          <w:b/>
        </w:rPr>
        <w:t>P</w:t>
      </w:r>
      <w:r w:rsidRPr="00C0479A">
        <w:rPr>
          <w:rFonts w:cs="Arial"/>
          <w:b/>
        </w:rPr>
        <w:t>rices are calculated in the following steps in the CWD model:</w:t>
      </w:r>
    </w:p>
    <w:p w14:paraId="205D9508" w14:textId="77777777" w:rsidR="00512985" w:rsidRDefault="00512985" w:rsidP="00512985">
      <w:pPr>
        <w:rPr>
          <w:rFonts w:cs="Arial"/>
        </w:rPr>
      </w:pPr>
      <w:r>
        <w:rPr>
          <w:rFonts w:cs="Arial"/>
          <w:noProof/>
        </w:rPr>
        <w:lastRenderedPageBreak/>
        <w:drawing>
          <wp:inline distT="0" distB="0" distL="0" distR="0" wp14:anchorId="63A0010E" wp14:editId="0C555D91">
            <wp:extent cx="5622878" cy="27858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2726" cy="2785802"/>
                    </a:xfrm>
                    <a:prstGeom prst="rect">
                      <a:avLst/>
                    </a:prstGeom>
                    <a:noFill/>
                    <a:ln>
                      <a:noFill/>
                    </a:ln>
                  </pic:spPr>
                </pic:pic>
              </a:graphicData>
            </a:graphic>
          </wp:inline>
        </w:drawing>
      </w:r>
    </w:p>
    <w:p w14:paraId="412B0715" w14:textId="77777777" w:rsidR="00512985" w:rsidRPr="00D1570A" w:rsidRDefault="00512985" w:rsidP="00512985">
      <w:pPr>
        <w:pStyle w:val="Heading4"/>
        <w:keepLines w:val="0"/>
        <w:numPr>
          <w:ilvl w:val="0"/>
          <w:numId w:val="0"/>
        </w:numPr>
        <w:spacing w:before="240"/>
        <w:rPr>
          <w:rFonts w:cs="Arial"/>
        </w:rPr>
      </w:pPr>
      <w:r w:rsidRPr="00D1570A">
        <w:rPr>
          <w:rFonts w:ascii="Arial" w:eastAsia="Times New Roman" w:hAnsi="Arial" w:cs="Arial"/>
          <w:i w:val="0"/>
          <w:iCs w:val="0"/>
          <w:color w:val="008576"/>
          <w:sz w:val="24"/>
          <w:szCs w:val="28"/>
        </w:rPr>
        <w:t>Forecasted Contracted Capacity (FCC)</w:t>
      </w:r>
      <w:r>
        <w:rPr>
          <w:rFonts w:ascii="Arial" w:eastAsia="Times New Roman" w:hAnsi="Arial" w:cs="Arial"/>
          <w:i w:val="0"/>
          <w:iCs w:val="0"/>
          <w:color w:val="008576"/>
          <w:sz w:val="24"/>
          <w:szCs w:val="28"/>
        </w:rPr>
        <w:t xml:space="preserve"> (see paras 3.12 and 3.13 in section 3)</w:t>
      </w:r>
    </w:p>
    <w:p w14:paraId="2ABB8CCB" w14:textId="77777777" w:rsidR="00512985" w:rsidRDefault="00512985" w:rsidP="00512985">
      <w:r>
        <w:t xml:space="preserve">It is proposed that: </w:t>
      </w:r>
    </w:p>
    <w:p w14:paraId="78150B41" w14:textId="77777777" w:rsidR="00512985" w:rsidRDefault="00512985" w:rsidP="00BD3FB5">
      <w:pPr>
        <w:pStyle w:val="ListParagraph"/>
        <w:numPr>
          <w:ilvl w:val="0"/>
          <w:numId w:val="25"/>
        </w:numPr>
      </w:pPr>
      <w:r>
        <w:t>f</w:t>
      </w:r>
      <w:r w:rsidRPr="003F6833">
        <w:t xml:space="preserve">or </w:t>
      </w:r>
      <w:r>
        <w:t xml:space="preserve">the period commencing 01 October </w:t>
      </w:r>
      <w:r w:rsidRPr="003F6833">
        <w:t xml:space="preserve">2019 </w:t>
      </w:r>
      <w:r>
        <w:t xml:space="preserve">until 30 September 2021 (inclusive), </w:t>
      </w:r>
      <w:r w:rsidRPr="003F6833">
        <w:t xml:space="preserve">the FCC </w:t>
      </w:r>
      <w:r>
        <w:t xml:space="preserve">for an Entry Point or an Exit Point </w:t>
      </w:r>
      <w:r w:rsidRPr="003F6833">
        <w:t xml:space="preserve">will be </w:t>
      </w:r>
      <w:r>
        <w:t xml:space="preserve">equal to the ‘Baseline capacity’ specified </w:t>
      </w:r>
      <w:r w:rsidRPr="003F6833">
        <w:t xml:space="preserve">within </w:t>
      </w:r>
      <w:r>
        <w:t>National Grid’s</w:t>
      </w:r>
      <w:r w:rsidRPr="003F6833">
        <w:t xml:space="preserve"> Licence </w:t>
      </w:r>
      <w:r>
        <w:t xml:space="preserve">(Special Condition 5F </w:t>
      </w:r>
      <w:r w:rsidRPr="00551074">
        <w:rPr>
          <w:rFonts w:cs="Arial"/>
        </w:rPr>
        <w:t xml:space="preserve">Table 4B for Entry Points, and Special Condition 5G Table 8 for Exit Points) </w:t>
      </w:r>
      <w:r>
        <w:t>for</w:t>
      </w:r>
      <w:r w:rsidRPr="003F6833">
        <w:t xml:space="preserve"> the relevant Entry </w:t>
      </w:r>
      <w:r>
        <w:t>Point or</w:t>
      </w:r>
      <w:r w:rsidRPr="003F6833">
        <w:t xml:space="preserve"> Exit Point</w:t>
      </w:r>
      <w:r>
        <w:t xml:space="preserve">; and  </w:t>
      </w:r>
    </w:p>
    <w:p w14:paraId="5A5DAFB4" w14:textId="77777777" w:rsidR="00512985" w:rsidRDefault="00512985" w:rsidP="00512985">
      <w:pPr>
        <w:pStyle w:val="ListParagraph"/>
      </w:pPr>
    </w:p>
    <w:p w14:paraId="572A663B" w14:textId="087357C6" w:rsidR="00512985" w:rsidRDefault="00512985" w:rsidP="00BD3FB5">
      <w:pPr>
        <w:pStyle w:val="ListParagraph"/>
        <w:numPr>
          <w:ilvl w:val="0"/>
          <w:numId w:val="25"/>
        </w:numPr>
      </w:pPr>
      <w:r>
        <w:t xml:space="preserve">for the period commencing 01 October 2021 onwards, the </w:t>
      </w:r>
      <w:r w:rsidRPr="003F6833">
        <w:t xml:space="preserve">FCC </w:t>
      </w:r>
      <w:r>
        <w:t>for an Entry Point or an Exit Point will be equal to a forecast value determined by National Grid taking account of capacity booking trends observed at respective Entry Points and Exit Points from 1</w:t>
      </w:r>
      <w:r w:rsidRPr="006D031E">
        <w:rPr>
          <w:vertAlign w:val="superscript"/>
        </w:rPr>
        <w:t>st</w:t>
      </w:r>
      <w:r>
        <w:t xml:space="preserve"> October 2019.  </w:t>
      </w:r>
      <w:r w:rsidR="00CE4BEA">
        <w:t xml:space="preserve">The approach to determine a capacity forecast will be developed and shared with industry and the intention is that it be transparent and to keep the approach flexible to develop the best possible forecast to be applied to the relevant year from 2021 onwards in the calculation of the capacity charges. </w:t>
      </w:r>
    </w:p>
    <w:p w14:paraId="10A0B71C"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lastRenderedPageBreak/>
        <w:t>Reserve Prices produced from Reference Prices (see paras 3.14 to 3.16 in Section 3)</w:t>
      </w:r>
    </w:p>
    <w:p w14:paraId="009D6034" w14:textId="77777777" w:rsidR="00512985" w:rsidRPr="00A758AC" w:rsidRDefault="00512985" w:rsidP="00512985">
      <w:pPr>
        <w:rPr>
          <w:rFonts w:cs="Arial"/>
        </w:rPr>
      </w:pPr>
      <w:r>
        <w:rPr>
          <w:rFonts w:cs="Arial"/>
        </w:rPr>
        <w:t>It is proposed that R</w:t>
      </w:r>
      <w:r w:rsidRPr="00A758AC">
        <w:rPr>
          <w:rFonts w:cs="Arial"/>
        </w:rPr>
        <w:t xml:space="preserve">eserve </w:t>
      </w:r>
      <w:r>
        <w:rPr>
          <w:rFonts w:cs="Arial"/>
        </w:rPr>
        <w:t>P</w:t>
      </w:r>
      <w:r w:rsidRPr="00A758AC">
        <w:rPr>
          <w:rFonts w:cs="Arial"/>
        </w:rPr>
        <w:t xml:space="preserve">rices </w:t>
      </w:r>
      <w:r>
        <w:rPr>
          <w:rFonts w:cs="Arial"/>
        </w:rPr>
        <w:t xml:space="preserve">for capacity </w:t>
      </w:r>
      <w:r w:rsidRPr="00A758AC">
        <w:rPr>
          <w:rFonts w:cs="Arial"/>
        </w:rPr>
        <w:t>will be produced in p/kWh/d</w:t>
      </w:r>
      <w:r>
        <w:rPr>
          <w:rFonts w:cs="Arial"/>
        </w:rPr>
        <w:t>. T</w:t>
      </w:r>
      <w:r w:rsidRPr="00A758AC">
        <w:rPr>
          <w:rFonts w:cs="Arial"/>
        </w:rPr>
        <w:t xml:space="preserve">he </w:t>
      </w:r>
      <w:r>
        <w:rPr>
          <w:rFonts w:cs="Arial"/>
        </w:rPr>
        <w:t>R</w:t>
      </w:r>
      <w:r w:rsidRPr="00A758AC">
        <w:rPr>
          <w:rFonts w:cs="Arial"/>
        </w:rPr>
        <w:t xml:space="preserve">eserve </w:t>
      </w:r>
      <w:r>
        <w:rPr>
          <w:rFonts w:cs="Arial"/>
        </w:rPr>
        <w:t>P</w:t>
      </w:r>
      <w:r w:rsidRPr="00A758AC">
        <w:rPr>
          <w:rFonts w:cs="Arial"/>
        </w:rPr>
        <w:t>rices will be calculated each year based on the latest available set of inputs and once published</w:t>
      </w:r>
      <w:r>
        <w:rPr>
          <w:rFonts w:cs="Arial"/>
        </w:rPr>
        <w:t>,</w:t>
      </w:r>
      <w:r w:rsidRPr="00A758AC">
        <w:rPr>
          <w:rFonts w:cs="Arial"/>
        </w:rPr>
        <w:t xml:space="preserve"> these will be the </w:t>
      </w:r>
      <w:r>
        <w:rPr>
          <w:rFonts w:cs="Arial"/>
        </w:rPr>
        <w:t>R</w:t>
      </w:r>
      <w:r w:rsidRPr="00A758AC">
        <w:rPr>
          <w:rFonts w:cs="Arial"/>
        </w:rPr>
        <w:t xml:space="preserve">eserve </w:t>
      </w:r>
      <w:r>
        <w:rPr>
          <w:rFonts w:cs="Arial"/>
        </w:rPr>
        <w:t>P</w:t>
      </w:r>
      <w:r w:rsidRPr="00A758AC">
        <w:rPr>
          <w:rFonts w:cs="Arial"/>
        </w:rPr>
        <w:t>rices applicable for the relevant gas year</w:t>
      </w:r>
      <w:r>
        <w:rPr>
          <w:rFonts w:cs="Arial"/>
        </w:rPr>
        <w:t xml:space="preserve"> regardless of when the capacity product is procured</w:t>
      </w:r>
      <w:r w:rsidRPr="00A758AC">
        <w:rPr>
          <w:rFonts w:cs="Arial"/>
        </w:rPr>
        <w:t>.</w:t>
      </w:r>
      <w:r>
        <w:rPr>
          <w:rFonts w:cs="Arial"/>
        </w:rPr>
        <w:t xml:space="preserve"> For example, capacity procured in 2019 for a period in October 2025 will be subject to the Reserve Prices determined for gas year 2025/26 including, where applicable, any auction premium.</w:t>
      </w:r>
    </w:p>
    <w:p w14:paraId="308052C1" w14:textId="77777777" w:rsidR="00512985" w:rsidRDefault="00512985" w:rsidP="00512985">
      <w:r>
        <w:t>It is proposed that the Reserve Price for Firm capacity at an Entry Point or an Exit Point is determined by application of any applicable Multipliers to the relevant Reference Price.</w:t>
      </w:r>
    </w:p>
    <w:p w14:paraId="45F381DE" w14:textId="77777777" w:rsidR="00512985" w:rsidRDefault="00512985" w:rsidP="00512985">
      <w:pPr>
        <w:rPr>
          <w:rFonts w:cs="Arial"/>
        </w:rPr>
      </w:pPr>
      <w:r>
        <w:rPr>
          <w:rFonts w:cs="Arial"/>
        </w:rPr>
        <w:t xml:space="preserve">It is proposed that Multipliers </w:t>
      </w:r>
    </w:p>
    <w:p w14:paraId="29C9F921" w14:textId="77777777" w:rsidR="00512985" w:rsidRDefault="00512985" w:rsidP="00BD3FB5">
      <w:pPr>
        <w:pStyle w:val="ListParagraph"/>
        <w:numPr>
          <w:ilvl w:val="0"/>
          <w:numId w:val="24"/>
        </w:numPr>
        <w:rPr>
          <w:rFonts w:cs="Arial"/>
        </w:rPr>
      </w:pPr>
      <w:r w:rsidRPr="0008039B">
        <w:rPr>
          <w:rFonts w:cs="Arial"/>
        </w:rPr>
        <w:t>shall not be zero for any capacity type or product</w:t>
      </w:r>
      <w:r>
        <w:rPr>
          <w:rFonts w:cs="Arial"/>
        </w:rPr>
        <w:t>;</w:t>
      </w:r>
    </w:p>
    <w:p w14:paraId="4467301E" w14:textId="77777777" w:rsidR="00512985" w:rsidRDefault="00512985" w:rsidP="00BD3FB5">
      <w:pPr>
        <w:pStyle w:val="ListParagraph"/>
        <w:numPr>
          <w:ilvl w:val="0"/>
          <w:numId w:val="24"/>
        </w:numPr>
        <w:rPr>
          <w:rFonts w:cs="Arial"/>
        </w:rPr>
      </w:pPr>
      <w:r w:rsidRPr="00207F10">
        <w:rPr>
          <w:rFonts w:cs="Arial"/>
        </w:rPr>
        <w:t>are not to be used for the purposes of managing revenue recovery</w:t>
      </w:r>
      <w:r>
        <w:rPr>
          <w:rFonts w:cs="Arial"/>
        </w:rPr>
        <w:t>;</w:t>
      </w:r>
    </w:p>
    <w:p w14:paraId="45ADD387" w14:textId="77777777" w:rsidR="00512985" w:rsidRPr="00207F10" w:rsidRDefault="00512985" w:rsidP="00BD3FB5">
      <w:pPr>
        <w:pStyle w:val="ListParagraph"/>
        <w:numPr>
          <w:ilvl w:val="0"/>
          <w:numId w:val="24"/>
        </w:numPr>
        <w:rPr>
          <w:rFonts w:cs="Arial"/>
        </w:rPr>
      </w:pPr>
      <w:r w:rsidRPr="00207F10">
        <w:rPr>
          <w:rFonts w:cs="Arial"/>
        </w:rPr>
        <w:t xml:space="preserve">shall be calculated on an ex-ante basis ahead of the applicable year. </w:t>
      </w:r>
    </w:p>
    <w:p w14:paraId="3898B9B6" w14:textId="77777777" w:rsidR="00512985" w:rsidRDefault="00512985" w:rsidP="00512985">
      <w:pPr>
        <w:rPr>
          <w:rFonts w:cs="Arial"/>
        </w:rPr>
      </w:pPr>
    </w:p>
    <w:p w14:paraId="56194286" w14:textId="77777777" w:rsidR="00512985" w:rsidRDefault="00512985" w:rsidP="00512985">
      <w:pPr>
        <w:rPr>
          <w:rFonts w:cs="Arial"/>
        </w:rPr>
      </w:pPr>
    </w:p>
    <w:p w14:paraId="2219EC7E" w14:textId="77777777" w:rsidR="00512985" w:rsidRDefault="00512985" w:rsidP="00512985">
      <w:pPr>
        <w:rPr>
          <w:rFonts w:cs="Arial"/>
        </w:rPr>
      </w:pPr>
    </w:p>
    <w:p w14:paraId="57926122" w14:textId="77777777" w:rsidR="00512985" w:rsidRDefault="00512985" w:rsidP="00512985">
      <w:pPr>
        <w:rPr>
          <w:rFonts w:cs="Arial"/>
        </w:rPr>
      </w:pPr>
      <w:r w:rsidRPr="00411EDF">
        <w:rPr>
          <w:rFonts w:cs="Arial"/>
        </w:rPr>
        <w:t>It is proposed that</w:t>
      </w:r>
      <w:r>
        <w:rPr>
          <w:rFonts w:cs="Arial"/>
        </w:rPr>
        <w:t>:</w:t>
      </w:r>
      <w:r w:rsidRPr="00411EDF">
        <w:rPr>
          <w:rFonts w:cs="Arial"/>
        </w:rPr>
        <w:t xml:space="preserve"> </w:t>
      </w:r>
    </w:p>
    <w:p w14:paraId="25A53A82" w14:textId="77777777" w:rsidR="00512985" w:rsidRDefault="00512985" w:rsidP="00BD3FB5">
      <w:pPr>
        <w:pStyle w:val="ListParagraph"/>
        <w:numPr>
          <w:ilvl w:val="0"/>
          <w:numId w:val="27"/>
        </w:numPr>
        <w:rPr>
          <w:rFonts w:cs="Arial"/>
        </w:rPr>
      </w:pPr>
      <w:r w:rsidRPr="00551074">
        <w:rPr>
          <w:rFonts w:cs="Arial"/>
        </w:rPr>
        <w:t xml:space="preserve">for the period commencing </w:t>
      </w:r>
      <w:r>
        <w:rPr>
          <w:rFonts w:cs="Arial"/>
        </w:rPr>
        <w:t>0</w:t>
      </w:r>
      <w:r w:rsidRPr="00551074">
        <w:rPr>
          <w:rFonts w:cs="Arial"/>
        </w:rPr>
        <w:t xml:space="preserve">1 October 2019 </w:t>
      </w:r>
      <w:r>
        <w:t xml:space="preserve">until 30 September 2020 (inclusive) </w:t>
      </w:r>
      <w:r w:rsidRPr="00551074">
        <w:rPr>
          <w:rFonts w:cs="Arial"/>
        </w:rPr>
        <w:t xml:space="preserve">the </w:t>
      </w:r>
      <w:r>
        <w:rPr>
          <w:rFonts w:cs="Arial"/>
        </w:rPr>
        <w:t>M</w:t>
      </w:r>
      <w:r w:rsidRPr="00551074">
        <w:rPr>
          <w:rFonts w:cs="Arial"/>
        </w:rPr>
        <w:t xml:space="preserve">ultiplier applied to the </w:t>
      </w:r>
      <w:r>
        <w:rPr>
          <w:rFonts w:cs="Arial"/>
        </w:rPr>
        <w:t>R</w:t>
      </w:r>
      <w:r w:rsidRPr="00551074">
        <w:rPr>
          <w:rFonts w:cs="Arial"/>
        </w:rPr>
        <w:t xml:space="preserve">eference </w:t>
      </w:r>
      <w:r>
        <w:rPr>
          <w:rFonts w:cs="Arial"/>
        </w:rPr>
        <w:t>P</w:t>
      </w:r>
      <w:r w:rsidRPr="00551074">
        <w:rPr>
          <w:rFonts w:cs="Arial"/>
        </w:rPr>
        <w:t xml:space="preserve">rices for all Entry Point and Exit Points in order to determine the </w:t>
      </w:r>
      <w:r>
        <w:rPr>
          <w:rFonts w:cs="Arial"/>
        </w:rPr>
        <w:t>R</w:t>
      </w:r>
      <w:r w:rsidRPr="00551074">
        <w:rPr>
          <w:rFonts w:cs="Arial"/>
        </w:rPr>
        <w:t xml:space="preserve">eserve </w:t>
      </w:r>
      <w:r>
        <w:rPr>
          <w:rFonts w:cs="Arial"/>
        </w:rPr>
        <w:t>P</w:t>
      </w:r>
      <w:r w:rsidRPr="00551074">
        <w:rPr>
          <w:rFonts w:cs="Arial"/>
        </w:rPr>
        <w:t xml:space="preserve">rice will be 1. </w:t>
      </w:r>
    </w:p>
    <w:p w14:paraId="4EC248F2" w14:textId="77777777" w:rsidR="00512985" w:rsidRPr="00551074" w:rsidRDefault="00512985" w:rsidP="00512985">
      <w:pPr>
        <w:pStyle w:val="ListParagraph"/>
        <w:rPr>
          <w:rFonts w:cs="Arial"/>
        </w:rPr>
      </w:pPr>
    </w:p>
    <w:p w14:paraId="0E753CD7" w14:textId="77777777" w:rsidR="00512985" w:rsidRPr="00551074" w:rsidRDefault="00512985" w:rsidP="00BD3FB5">
      <w:pPr>
        <w:pStyle w:val="ListParagraph"/>
        <w:numPr>
          <w:ilvl w:val="0"/>
          <w:numId w:val="27"/>
        </w:numPr>
        <w:rPr>
          <w:rFonts w:cs="Arial"/>
        </w:rPr>
      </w:pPr>
      <w:r>
        <w:t>for the period commencing</w:t>
      </w:r>
      <w:r w:rsidRPr="00551074">
        <w:rPr>
          <w:rFonts w:cs="Arial"/>
        </w:rPr>
        <w:t xml:space="preserve"> </w:t>
      </w:r>
      <w:r>
        <w:rPr>
          <w:rFonts w:cs="Arial"/>
        </w:rPr>
        <w:t>0</w:t>
      </w:r>
      <w:r w:rsidRPr="00551074">
        <w:rPr>
          <w:rFonts w:cs="Arial"/>
        </w:rPr>
        <w:t xml:space="preserve">1 October 2020 onwards, the applicable </w:t>
      </w:r>
      <w:r>
        <w:rPr>
          <w:rFonts w:cs="Arial"/>
        </w:rPr>
        <w:t>M</w:t>
      </w:r>
      <w:r w:rsidRPr="00551074">
        <w:rPr>
          <w:rFonts w:cs="Arial"/>
        </w:rPr>
        <w:t xml:space="preserve">ultipliers for a given gas year will be subject to an annual consultation. Once </w:t>
      </w:r>
      <w:r>
        <w:rPr>
          <w:rFonts w:cs="Arial"/>
        </w:rPr>
        <w:t>approved [method to be determined]</w:t>
      </w:r>
      <w:r w:rsidRPr="00551074">
        <w:rPr>
          <w:rFonts w:cs="Arial"/>
        </w:rPr>
        <w:t xml:space="preserve"> they will be published in the </w:t>
      </w:r>
      <w:r>
        <w:rPr>
          <w:rFonts w:cs="Arial"/>
        </w:rPr>
        <w:t>Transportation S</w:t>
      </w:r>
      <w:r w:rsidRPr="00551074">
        <w:rPr>
          <w:rFonts w:cs="Arial"/>
        </w:rPr>
        <w:t xml:space="preserve">tatement. </w:t>
      </w:r>
    </w:p>
    <w:p w14:paraId="42ABBE2D" w14:textId="21D97002" w:rsidR="00512985" w:rsidRPr="00D1570A"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Interruptible</w:t>
      </w:r>
      <w:r>
        <w:rPr>
          <w:rFonts w:ascii="Arial" w:eastAsia="Times New Roman" w:hAnsi="Arial" w:cs="Arial"/>
          <w:i w:val="0"/>
          <w:iCs w:val="0"/>
          <w:color w:val="008576"/>
          <w:sz w:val="24"/>
          <w:szCs w:val="28"/>
        </w:rPr>
        <w:t xml:space="preserve"> </w:t>
      </w:r>
      <w:r w:rsidR="00CA65A1">
        <w:rPr>
          <w:rFonts w:ascii="Arial" w:eastAsia="Times New Roman" w:hAnsi="Arial" w:cs="Arial"/>
          <w:i w:val="0"/>
          <w:iCs w:val="0"/>
          <w:color w:val="008576"/>
          <w:sz w:val="24"/>
          <w:szCs w:val="28"/>
        </w:rPr>
        <w:t xml:space="preserve">(Entry) </w:t>
      </w:r>
      <w:r>
        <w:rPr>
          <w:rFonts w:ascii="Arial" w:eastAsia="Times New Roman" w:hAnsi="Arial" w:cs="Arial"/>
          <w:i w:val="0"/>
          <w:iCs w:val="0"/>
          <w:color w:val="008576"/>
          <w:sz w:val="24"/>
          <w:szCs w:val="28"/>
        </w:rPr>
        <w:t xml:space="preserve">and Off Peak </w:t>
      </w:r>
      <w:r w:rsidR="00CA65A1">
        <w:rPr>
          <w:rFonts w:ascii="Arial" w:eastAsia="Times New Roman" w:hAnsi="Arial" w:cs="Arial"/>
          <w:i w:val="0"/>
          <w:iCs w:val="0"/>
          <w:color w:val="008576"/>
          <w:sz w:val="24"/>
          <w:szCs w:val="28"/>
        </w:rPr>
        <w:t xml:space="preserve">(Exit) </w:t>
      </w:r>
      <w:r>
        <w:rPr>
          <w:rFonts w:ascii="Arial" w:eastAsia="Times New Roman" w:hAnsi="Arial" w:cs="Arial"/>
          <w:i w:val="0"/>
          <w:iCs w:val="0"/>
          <w:color w:val="008576"/>
          <w:sz w:val="24"/>
          <w:szCs w:val="28"/>
        </w:rPr>
        <w:t>Capacity (see paras 3.17 to 3.18 in Section 3)</w:t>
      </w:r>
    </w:p>
    <w:p w14:paraId="51AB956B" w14:textId="77777777" w:rsidR="00512985" w:rsidRDefault="00512985" w:rsidP="00512985">
      <w:pPr>
        <w:autoSpaceDE w:val="0"/>
        <w:autoSpaceDN w:val="0"/>
        <w:rPr>
          <w:rFonts w:cs="Arial"/>
        </w:rPr>
      </w:pPr>
      <w:r>
        <w:rPr>
          <w:rFonts w:cs="Arial"/>
        </w:rPr>
        <w:t xml:space="preserve">It is proposed that the Reserve Price for Interruptible Capacity at an Entry Point and Off Peak Capacity at an Exit Point is derived by application of an </w:t>
      </w:r>
      <w:r w:rsidRPr="00C0479A">
        <w:rPr>
          <w:rFonts w:cs="Arial"/>
        </w:rPr>
        <w:t xml:space="preserve">ex-ante discount to the </w:t>
      </w:r>
      <w:r>
        <w:rPr>
          <w:rFonts w:cs="Arial"/>
        </w:rPr>
        <w:t>R</w:t>
      </w:r>
      <w:r w:rsidRPr="00C0479A">
        <w:rPr>
          <w:rFonts w:cs="Arial"/>
        </w:rPr>
        <w:t xml:space="preserve">eserve </w:t>
      </w:r>
      <w:r>
        <w:rPr>
          <w:rFonts w:cs="Arial"/>
        </w:rPr>
        <w:t>P</w:t>
      </w:r>
      <w:r w:rsidRPr="00C0479A">
        <w:rPr>
          <w:rFonts w:cs="Arial"/>
        </w:rPr>
        <w:t xml:space="preserve">rices for the corresponding </w:t>
      </w:r>
      <w:r>
        <w:rPr>
          <w:rFonts w:cs="Arial"/>
        </w:rPr>
        <w:t>F</w:t>
      </w:r>
      <w:r w:rsidRPr="00C0479A">
        <w:rPr>
          <w:rFonts w:cs="Arial"/>
        </w:rPr>
        <w:t xml:space="preserve">irm capacity products (the day ahead firm price </w:t>
      </w:r>
      <w:r>
        <w:rPr>
          <w:rFonts w:cs="Arial"/>
        </w:rPr>
        <w:t>at</w:t>
      </w:r>
      <w:r w:rsidRPr="00C0479A">
        <w:rPr>
          <w:rFonts w:cs="Arial"/>
        </w:rPr>
        <w:t xml:space="preserve"> </w:t>
      </w:r>
      <w:r>
        <w:rPr>
          <w:rFonts w:cs="Arial"/>
        </w:rPr>
        <w:t xml:space="preserve">the relevant </w:t>
      </w:r>
      <w:r w:rsidRPr="00C0479A">
        <w:rPr>
          <w:rFonts w:cs="Arial"/>
        </w:rPr>
        <w:t>Entry</w:t>
      </w:r>
      <w:r>
        <w:rPr>
          <w:rFonts w:cs="Arial"/>
        </w:rPr>
        <w:t xml:space="preserve"> Point</w:t>
      </w:r>
      <w:r w:rsidRPr="00C0479A">
        <w:rPr>
          <w:rFonts w:cs="Arial"/>
        </w:rPr>
        <w:t xml:space="preserve"> and the daily firm price </w:t>
      </w:r>
      <w:r>
        <w:rPr>
          <w:rFonts w:cs="Arial"/>
        </w:rPr>
        <w:t>at</w:t>
      </w:r>
      <w:r w:rsidRPr="00C0479A">
        <w:rPr>
          <w:rFonts w:cs="Arial"/>
        </w:rPr>
        <w:t xml:space="preserve"> </w:t>
      </w:r>
      <w:r>
        <w:rPr>
          <w:rFonts w:cs="Arial"/>
        </w:rPr>
        <w:t xml:space="preserve">the relevant </w:t>
      </w:r>
      <w:r w:rsidRPr="00C0479A">
        <w:rPr>
          <w:rFonts w:cs="Arial"/>
        </w:rPr>
        <w:t>Exit</w:t>
      </w:r>
      <w:r>
        <w:rPr>
          <w:rFonts w:cs="Arial"/>
        </w:rPr>
        <w:t xml:space="preserve"> Point</w:t>
      </w:r>
      <w:r w:rsidRPr="00C0479A">
        <w:rPr>
          <w:rFonts w:cs="Arial"/>
        </w:rPr>
        <w:t xml:space="preserve">). </w:t>
      </w:r>
    </w:p>
    <w:p w14:paraId="3E90183E" w14:textId="77777777" w:rsidR="00512985" w:rsidRPr="005C695E" w:rsidRDefault="00512985" w:rsidP="00512985">
      <w:pPr>
        <w:autoSpaceDE w:val="0"/>
        <w:autoSpaceDN w:val="0"/>
        <w:rPr>
          <w:rFonts w:cs="Arial"/>
        </w:rPr>
      </w:pPr>
      <w:r w:rsidRPr="005C695E">
        <w:rPr>
          <w:rFonts w:cs="Arial"/>
        </w:rPr>
        <w:t>It is proposed that when determining the level of discount applied in respect of Interruptible</w:t>
      </w:r>
      <w:r>
        <w:rPr>
          <w:rFonts w:cs="Arial"/>
        </w:rPr>
        <w:t xml:space="preserve"> and </w:t>
      </w:r>
      <w:r w:rsidRPr="005C695E">
        <w:rPr>
          <w:rFonts w:cs="Arial"/>
        </w:rPr>
        <w:t xml:space="preserve">Off </w:t>
      </w:r>
      <w:r>
        <w:rPr>
          <w:rFonts w:cs="Arial"/>
        </w:rPr>
        <w:t>P</w:t>
      </w:r>
      <w:r w:rsidRPr="005C695E">
        <w:rPr>
          <w:rFonts w:cs="Arial"/>
        </w:rPr>
        <w:t xml:space="preserve">eak Capacity from </w:t>
      </w:r>
      <w:r>
        <w:rPr>
          <w:rFonts w:cs="Arial"/>
        </w:rPr>
        <w:t>0</w:t>
      </w:r>
      <w:r w:rsidRPr="005C695E">
        <w:rPr>
          <w:rFonts w:cs="Arial"/>
        </w:rPr>
        <w:t xml:space="preserve">1 October 2019, the likelihood of interruption and the estimated economic value of the </w:t>
      </w:r>
      <w:r>
        <w:rPr>
          <w:rFonts w:cs="Arial"/>
        </w:rPr>
        <w:t>I</w:t>
      </w:r>
      <w:r w:rsidRPr="005C695E">
        <w:rPr>
          <w:rFonts w:cs="Arial"/>
        </w:rPr>
        <w:t>nterruptible</w:t>
      </w:r>
      <w:r>
        <w:rPr>
          <w:rFonts w:cs="Arial"/>
        </w:rPr>
        <w:t xml:space="preserve"> or O</w:t>
      </w:r>
      <w:r w:rsidRPr="005C695E">
        <w:rPr>
          <w:rFonts w:cs="Arial"/>
        </w:rPr>
        <w:t>ff</w:t>
      </w:r>
      <w:r>
        <w:rPr>
          <w:rFonts w:cs="Arial"/>
        </w:rPr>
        <w:t xml:space="preserve"> P</w:t>
      </w:r>
      <w:r w:rsidRPr="005C695E">
        <w:rPr>
          <w:rFonts w:cs="Arial"/>
        </w:rPr>
        <w:t>eak capacity product</w:t>
      </w:r>
      <w:r>
        <w:rPr>
          <w:rFonts w:cs="Arial"/>
        </w:rPr>
        <w:t>s</w:t>
      </w:r>
      <w:r w:rsidRPr="005C695E">
        <w:rPr>
          <w:rFonts w:cs="Arial"/>
        </w:rPr>
        <w:t xml:space="preserve"> are used to determine a discount value (as per Article 16 of EU Regulation 2017/460). It is further proposed to adopt a ‘banding approach’ for the period commencing </w:t>
      </w:r>
      <w:r>
        <w:rPr>
          <w:rFonts w:cs="Arial"/>
        </w:rPr>
        <w:t>0</w:t>
      </w:r>
      <w:r w:rsidRPr="005C695E">
        <w:rPr>
          <w:rFonts w:cs="Arial"/>
        </w:rPr>
        <w:t xml:space="preserve">1 October 2019 and for subsequent years, such that the proposed discount value will be rounded up to the nearest 10%: </w:t>
      </w:r>
    </w:p>
    <w:p w14:paraId="38FECB5B" w14:textId="77777777" w:rsidR="00512985" w:rsidRPr="005C695E" w:rsidRDefault="00512985" w:rsidP="00512985">
      <w:pPr>
        <w:autoSpaceDE w:val="0"/>
        <w:autoSpaceDN w:val="0"/>
        <w:rPr>
          <w:rFonts w:cs="Arial"/>
        </w:rPr>
      </w:pPr>
      <w:r w:rsidRPr="005C695E">
        <w:rPr>
          <w:rFonts w:cs="Arial"/>
        </w:rPr>
        <w:t xml:space="preserve">It is proposed that: </w:t>
      </w:r>
    </w:p>
    <w:p w14:paraId="21CC2AD1" w14:textId="77777777" w:rsidR="00512985" w:rsidRPr="005C695E" w:rsidRDefault="00512985" w:rsidP="00BD3FB5">
      <w:pPr>
        <w:pStyle w:val="ListParagraph"/>
        <w:numPr>
          <w:ilvl w:val="0"/>
          <w:numId w:val="29"/>
        </w:numPr>
        <w:autoSpaceDE w:val="0"/>
        <w:autoSpaceDN w:val="0"/>
        <w:rPr>
          <w:rFonts w:cs="Arial"/>
        </w:rPr>
      </w:pPr>
      <w:r w:rsidRPr="005C695E">
        <w:rPr>
          <w:rFonts w:cs="Arial"/>
        </w:rPr>
        <w:t xml:space="preserve">for the period commencing </w:t>
      </w:r>
      <w:r>
        <w:rPr>
          <w:rFonts w:cs="Arial"/>
        </w:rPr>
        <w:t>0</w:t>
      </w:r>
      <w:r w:rsidRPr="005C695E">
        <w:rPr>
          <w:rFonts w:cs="Arial"/>
        </w:rPr>
        <w:t>1</w:t>
      </w:r>
      <w:r>
        <w:rPr>
          <w:rFonts w:cs="Arial"/>
        </w:rPr>
        <w:t xml:space="preserve"> </w:t>
      </w:r>
      <w:r w:rsidRPr="005C695E">
        <w:rPr>
          <w:rFonts w:cs="Arial"/>
        </w:rPr>
        <w:t>October 2019 until 30 September 2020 (inclusive) the discount applied in respect of Interruptible</w:t>
      </w:r>
      <w:r>
        <w:rPr>
          <w:rFonts w:cs="Arial"/>
        </w:rPr>
        <w:t xml:space="preserve"> and </w:t>
      </w:r>
      <w:r w:rsidRPr="005C695E">
        <w:rPr>
          <w:rFonts w:cs="Arial"/>
        </w:rPr>
        <w:t>Off</w:t>
      </w:r>
      <w:r>
        <w:rPr>
          <w:rFonts w:cs="Arial"/>
        </w:rPr>
        <w:t xml:space="preserve"> P</w:t>
      </w:r>
      <w:r w:rsidRPr="005C695E">
        <w:rPr>
          <w:rFonts w:cs="Arial"/>
        </w:rPr>
        <w:t xml:space="preserve">eak Capacity: </w:t>
      </w:r>
    </w:p>
    <w:p w14:paraId="309355B7" w14:textId="77777777" w:rsidR="00512985" w:rsidRPr="005C695E" w:rsidRDefault="00512985" w:rsidP="00BD3FB5">
      <w:pPr>
        <w:pStyle w:val="ListParagraph"/>
        <w:numPr>
          <w:ilvl w:val="1"/>
          <w:numId w:val="29"/>
        </w:numPr>
        <w:autoSpaceDE w:val="0"/>
        <w:autoSpaceDN w:val="0"/>
        <w:rPr>
          <w:rFonts w:cs="Arial"/>
        </w:rPr>
      </w:pPr>
      <w:r w:rsidRPr="005C695E">
        <w:rPr>
          <w:rFonts w:cs="Arial"/>
        </w:rPr>
        <w:t xml:space="preserve">at Entry Points is 10%; and </w:t>
      </w:r>
    </w:p>
    <w:p w14:paraId="1F4C1364" w14:textId="77777777" w:rsidR="00512985" w:rsidRDefault="00512985" w:rsidP="00BD3FB5">
      <w:pPr>
        <w:pStyle w:val="ListParagraph"/>
        <w:numPr>
          <w:ilvl w:val="1"/>
          <w:numId w:val="29"/>
        </w:numPr>
        <w:autoSpaceDE w:val="0"/>
        <w:autoSpaceDN w:val="0"/>
        <w:rPr>
          <w:rFonts w:cs="Arial"/>
        </w:rPr>
      </w:pPr>
      <w:r w:rsidRPr="005C695E">
        <w:rPr>
          <w:rFonts w:cs="Arial"/>
        </w:rPr>
        <w:t xml:space="preserve">at Exit Points is 10%. </w:t>
      </w:r>
    </w:p>
    <w:p w14:paraId="4490A8DD" w14:textId="77777777" w:rsidR="00512985" w:rsidRPr="005C695E" w:rsidRDefault="00512985" w:rsidP="00512985">
      <w:pPr>
        <w:pStyle w:val="ListParagraph"/>
        <w:autoSpaceDE w:val="0"/>
        <w:autoSpaceDN w:val="0"/>
        <w:ind w:left="1440"/>
        <w:rPr>
          <w:rFonts w:cs="Arial"/>
        </w:rPr>
      </w:pPr>
    </w:p>
    <w:p w14:paraId="7CAAEF56" w14:textId="77777777" w:rsidR="00512985" w:rsidRDefault="00512985" w:rsidP="00BD3FB5">
      <w:pPr>
        <w:pStyle w:val="ListParagraph"/>
        <w:numPr>
          <w:ilvl w:val="0"/>
          <w:numId w:val="29"/>
        </w:numPr>
        <w:autoSpaceDE w:val="0"/>
        <w:autoSpaceDN w:val="0"/>
        <w:rPr>
          <w:rFonts w:cs="Arial"/>
        </w:rPr>
      </w:pPr>
      <w:r w:rsidRPr="005C695E">
        <w:rPr>
          <w:rFonts w:cs="Arial"/>
        </w:rPr>
        <w:lastRenderedPageBreak/>
        <w:t xml:space="preserve">for the period commencing </w:t>
      </w:r>
      <w:r>
        <w:rPr>
          <w:rFonts w:cs="Arial"/>
        </w:rPr>
        <w:t>0</w:t>
      </w:r>
      <w:r w:rsidRPr="005C695E">
        <w:rPr>
          <w:rFonts w:cs="Arial"/>
        </w:rPr>
        <w:t>1 October 2020 onwards, the level of discount applied in respect of Interruptible</w:t>
      </w:r>
      <w:r>
        <w:rPr>
          <w:rFonts w:cs="Arial"/>
        </w:rPr>
        <w:t xml:space="preserve"> and O</w:t>
      </w:r>
      <w:r w:rsidRPr="005C695E">
        <w:rPr>
          <w:rFonts w:cs="Arial"/>
        </w:rPr>
        <w:t>ff</w:t>
      </w:r>
      <w:r>
        <w:rPr>
          <w:rFonts w:cs="Arial"/>
        </w:rPr>
        <w:t xml:space="preserve"> P</w:t>
      </w:r>
      <w:r w:rsidRPr="005C695E">
        <w:rPr>
          <w:rFonts w:cs="Arial"/>
        </w:rPr>
        <w:t xml:space="preserve">eak Capacity will be subject to an annual consultation. Once approved [method to be determined], they will be published in the </w:t>
      </w:r>
      <w:r>
        <w:rPr>
          <w:rFonts w:cs="Arial"/>
        </w:rPr>
        <w:t>Transportation S</w:t>
      </w:r>
      <w:r w:rsidRPr="005C695E">
        <w:rPr>
          <w:rFonts w:cs="Arial"/>
        </w:rPr>
        <w:t xml:space="preserve">tatement. </w:t>
      </w:r>
    </w:p>
    <w:p w14:paraId="44ACBA44" w14:textId="77777777" w:rsidR="00512985" w:rsidRDefault="00512985" w:rsidP="00512985">
      <w:pPr>
        <w:pStyle w:val="ListParagraph"/>
        <w:autoSpaceDE w:val="0"/>
        <w:autoSpaceDN w:val="0"/>
        <w:rPr>
          <w:rFonts w:cs="Arial"/>
        </w:rPr>
      </w:pPr>
    </w:p>
    <w:p w14:paraId="31729EA4" w14:textId="77777777" w:rsidR="00512985" w:rsidRPr="00D1570A"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Specific Capacity Discounts</w:t>
      </w:r>
      <w:r>
        <w:rPr>
          <w:rFonts w:ascii="Arial" w:eastAsia="Times New Roman" w:hAnsi="Arial" w:cs="Arial"/>
          <w:i w:val="0"/>
          <w:iCs w:val="0"/>
          <w:color w:val="008576"/>
          <w:sz w:val="24"/>
          <w:szCs w:val="28"/>
        </w:rPr>
        <w:t xml:space="preserve"> (see paras 3.19 to 3.20 in section 3)</w:t>
      </w:r>
    </w:p>
    <w:p w14:paraId="153CCE8D" w14:textId="77777777" w:rsidR="00512985" w:rsidRDefault="00512985" w:rsidP="00512985">
      <w:pPr>
        <w:rPr>
          <w:rFonts w:cs="Arial"/>
        </w:rPr>
      </w:pPr>
      <w:r>
        <w:rPr>
          <w:rFonts w:cs="Arial"/>
        </w:rPr>
        <w:t xml:space="preserve">It is proposed that </w:t>
      </w:r>
      <w:r w:rsidRPr="00E93F0D">
        <w:rPr>
          <w:rFonts w:cs="Arial"/>
        </w:rPr>
        <w:t>Specific Capacity Discounts</w:t>
      </w:r>
      <w:r>
        <w:rPr>
          <w:rFonts w:cs="Arial"/>
        </w:rPr>
        <w:t xml:space="preserve"> will be applied to the [Reserve] Prices in respect of Firm and Interruptible or Off Peak Capacity at the Points detailed below.</w:t>
      </w:r>
    </w:p>
    <w:p w14:paraId="58CCA9F3" w14:textId="77777777" w:rsidR="00512985" w:rsidRDefault="00512985" w:rsidP="00512985">
      <w:pPr>
        <w:autoSpaceDE w:val="0"/>
        <w:autoSpaceDN w:val="0"/>
        <w:adjustRightInd w:val="0"/>
        <w:rPr>
          <w:rFonts w:eastAsia="Cambria" w:cs="Arial"/>
          <w:szCs w:val="20"/>
        </w:rPr>
      </w:pPr>
      <w:r w:rsidRPr="003E0C75">
        <w:rPr>
          <w:rFonts w:eastAsia="Cambria" w:cs="Arial"/>
          <w:szCs w:val="20"/>
        </w:rPr>
        <w:t>It is proposed that</w:t>
      </w:r>
      <w:r>
        <w:rPr>
          <w:rFonts w:eastAsia="Cambria" w:cs="Arial"/>
          <w:szCs w:val="20"/>
        </w:rPr>
        <w:t xml:space="preserve"> in respect of </w:t>
      </w:r>
      <w:r w:rsidRPr="006D031E">
        <w:rPr>
          <w:rFonts w:eastAsia="Cambria" w:cs="Arial"/>
          <w:b/>
          <w:szCs w:val="20"/>
        </w:rPr>
        <w:t>storage sites</w:t>
      </w:r>
      <w:r>
        <w:rPr>
          <w:rFonts w:eastAsia="Cambria" w:cs="Arial"/>
          <w:szCs w:val="20"/>
        </w:rPr>
        <w:t>, (</w:t>
      </w:r>
      <w:r w:rsidRPr="002E22B6">
        <w:rPr>
          <w:rFonts w:cs="Arial"/>
        </w:rPr>
        <w:t>locations where the type of Entry point/Offtake is designated as a ‘Storage Site’ in National Grid’s Licence (Special Condition 5F Table 4B for Entry Points, and Special Condition 5G Table 8 for Exit Points)</w:t>
      </w:r>
      <w:r>
        <w:rPr>
          <w:rFonts w:eastAsia="Cambria" w:cs="Arial"/>
          <w:szCs w:val="20"/>
        </w:rPr>
        <w:t xml:space="preserve"> </w:t>
      </w:r>
      <w:r w:rsidRPr="00CA4909">
        <w:rPr>
          <w:rFonts w:eastAsia="Cambria" w:cs="Arial"/>
          <w:szCs w:val="20"/>
        </w:rPr>
        <w:t>the applicable Specific Capacity Discount for a given gas year will be</w:t>
      </w:r>
      <w:r>
        <w:rPr>
          <w:rFonts w:eastAsia="Cambria" w:cs="Arial"/>
          <w:szCs w:val="20"/>
        </w:rPr>
        <w:t xml:space="preserve"> equal to </w:t>
      </w:r>
      <w:r w:rsidRPr="00CA4909">
        <w:rPr>
          <w:rFonts w:eastAsia="Cambria" w:cs="Arial"/>
          <w:szCs w:val="20"/>
        </w:rPr>
        <w:t>50%</w:t>
      </w:r>
      <w:r>
        <w:rPr>
          <w:rFonts w:eastAsia="Cambria" w:cs="Arial"/>
          <w:szCs w:val="20"/>
        </w:rPr>
        <w:t xml:space="preserve">. </w:t>
      </w:r>
    </w:p>
    <w:p w14:paraId="3EA0A7FE" w14:textId="77777777" w:rsidR="00512985" w:rsidRDefault="00512985" w:rsidP="00512985">
      <w:pPr>
        <w:rPr>
          <w:rFonts w:cs="Arial"/>
        </w:rPr>
      </w:pPr>
      <w:r w:rsidRPr="003E0C75">
        <w:rPr>
          <w:rFonts w:eastAsia="Cambria" w:cs="Arial"/>
          <w:szCs w:val="20"/>
        </w:rPr>
        <w:t>It is proposed that</w:t>
      </w:r>
      <w:r>
        <w:rPr>
          <w:rFonts w:eastAsia="Cambria" w:cs="Arial"/>
          <w:szCs w:val="20"/>
        </w:rPr>
        <w:t xml:space="preserve"> in respect of </w:t>
      </w:r>
      <w:r w:rsidRPr="006D031E">
        <w:rPr>
          <w:rFonts w:eastAsia="Cambria" w:cs="Arial"/>
          <w:b/>
          <w:szCs w:val="20"/>
        </w:rPr>
        <w:t>Liquefied Natural Gas (LNG) sites</w:t>
      </w:r>
      <w:r>
        <w:rPr>
          <w:rFonts w:eastAsia="Cambria" w:cs="Arial"/>
          <w:szCs w:val="20"/>
        </w:rPr>
        <w:t>, (</w:t>
      </w:r>
      <w:r w:rsidRPr="002E22B6">
        <w:rPr>
          <w:rFonts w:cs="Arial"/>
        </w:rPr>
        <w:t>locations where</w:t>
      </w:r>
      <w:r w:rsidRPr="00CA4909">
        <w:rPr>
          <w:rFonts w:cs="Arial"/>
        </w:rPr>
        <w:t xml:space="preserve"> </w:t>
      </w:r>
      <w:r w:rsidRPr="00A6117D">
        <w:rPr>
          <w:rFonts w:cs="Arial"/>
        </w:rPr>
        <w:t>the type of Entry point is designated as a ‘</w:t>
      </w:r>
      <w:r>
        <w:rPr>
          <w:rFonts w:cs="Arial"/>
        </w:rPr>
        <w:t>LNG Importation Terminal</w:t>
      </w:r>
      <w:r w:rsidRPr="00A6117D">
        <w:rPr>
          <w:rFonts w:cs="Arial"/>
        </w:rPr>
        <w:t>’ in National Grid’s Licence (Special Condition 5F Table 4B</w:t>
      </w:r>
      <w:r>
        <w:rPr>
          <w:rFonts w:cs="Arial"/>
        </w:rPr>
        <w:t>)):</w:t>
      </w:r>
    </w:p>
    <w:p w14:paraId="34599783" w14:textId="77777777" w:rsidR="00512985" w:rsidRDefault="00512985" w:rsidP="00512985">
      <w:pPr>
        <w:rPr>
          <w:rFonts w:cs="Arial"/>
        </w:rPr>
      </w:pPr>
    </w:p>
    <w:p w14:paraId="6C164711" w14:textId="77777777" w:rsidR="00512985" w:rsidRDefault="00512985" w:rsidP="00512985">
      <w:pPr>
        <w:pStyle w:val="ListParagraph"/>
        <w:autoSpaceDE w:val="0"/>
        <w:autoSpaceDN w:val="0"/>
        <w:adjustRightInd w:val="0"/>
        <w:rPr>
          <w:rFonts w:eastAsia="Cambria" w:cs="Arial"/>
          <w:szCs w:val="20"/>
        </w:rPr>
      </w:pPr>
    </w:p>
    <w:p w14:paraId="2DB14625" w14:textId="77777777" w:rsidR="00512985" w:rsidRDefault="00512985" w:rsidP="00512985">
      <w:pPr>
        <w:pStyle w:val="ListParagraph"/>
        <w:autoSpaceDE w:val="0"/>
        <w:autoSpaceDN w:val="0"/>
        <w:adjustRightInd w:val="0"/>
        <w:rPr>
          <w:rFonts w:eastAsia="Cambria" w:cs="Arial"/>
          <w:szCs w:val="20"/>
        </w:rPr>
      </w:pPr>
    </w:p>
    <w:p w14:paraId="04DCD3BC" w14:textId="77777777" w:rsidR="00512985" w:rsidRDefault="00512985" w:rsidP="00BD3FB5">
      <w:pPr>
        <w:pStyle w:val="ListParagraph"/>
        <w:numPr>
          <w:ilvl w:val="0"/>
          <w:numId w:val="26"/>
        </w:numPr>
        <w:autoSpaceDE w:val="0"/>
        <w:autoSpaceDN w:val="0"/>
        <w:adjustRightInd w:val="0"/>
        <w:rPr>
          <w:rFonts w:eastAsia="Cambria" w:cs="Arial"/>
          <w:szCs w:val="20"/>
        </w:rPr>
      </w:pPr>
      <w:r w:rsidRPr="00551074">
        <w:rPr>
          <w:rFonts w:eastAsia="Cambria" w:cs="Arial"/>
          <w:szCs w:val="20"/>
        </w:rPr>
        <w:t xml:space="preserve">for the period commencing </w:t>
      </w:r>
      <w:r>
        <w:rPr>
          <w:rFonts w:eastAsia="Cambria" w:cs="Arial"/>
          <w:szCs w:val="20"/>
        </w:rPr>
        <w:t>0</w:t>
      </w:r>
      <w:r w:rsidRPr="00551074">
        <w:rPr>
          <w:rFonts w:eastAsia="Cambria" w:cs="Arial"/>
          <w:szCs w:val="20"/>
        </w:rPr>
        <w:t>1 October 2019 until 30 September 2020 (inclusive)</w:t>
      </w:r>
      <w:r>
        <w:rPr>
          <w:rFonts w:eastAsia="Cambria" w:cs="Arial"/>
          <w:szCs w:val="20"/>
        </w:rPr>
        <w:t xml:space="preserve">, </w:t>
      </w:r>
      <w:r w:rsidRPr="00CA4909">
        <w:rPr>
          <w:rFonts w:eastAsia="Cambria" w:cs="Arial"/>
          <w:szCs w:val="20"/>
        </w:rPr>
        <w:t>the applicable Specific Capacity Discount for a given gas year will be</w:t>
      </w:r>
      <w:r>
        <w:rPr>
          <w:rFonts w:eastAsia="Cambria" w:cs="Arial"/>
          <w:szCs w:val="20"/>
        </w:rPr>
        <w:t xml:space="preserve"> equal to </w:t>
      </w:r>
      <w:r w:rsidRPr="00CA4909">
        <w:rPr>
          <w:rFonts w:eastAsia="Cambria" w:cs="Arial"/>
          <w:szCs w:val="20"/>
        </w:rPr>
        <w:t>0%</w:t>
      </w:r>
      <w:r>
        <w:rPr>
          <w:rFonts w:eastAsia="Cambria" w:cs="Arial"/>
          <w:szCs w:val="20"/>
        </w:rPr>
        <w:t xml:space="preserve">; and </w:t>
      </w:r>
    </w:p>
    <w:p w14:paraId="26B3820E" w14:textId="77777777" w:rsidR="00512985" w:rsidRDefault="00512985" w:rsidP="00512985">
      <w:pPr>
        <w:pStyle w:val="ListParagraph"/>
        <w:autoSpaceDE w:val="0"/>
        <w:autoSpaceDN w:val="0"/>
        <w:adjustRightInd w:val="0"/>
        <w:rPr>
          <w:rFonts w:eastAsia="Cambria" w:cs="Arial"/>
          <w:szCs w:val="20"/>
        </w:rPr>
      </w:pPr>
    </w:p>
    <w:p w14:paraId="4F9113C0" w14:textId="77777777" w:rsidR="00512985" w:rsidRPr="00551074" w:rsidRDefault="00512985" w:rsidP="00BD3FB5">
      <w:pPr>
        <w:pStyle w:val="ListParagraph"/>
        <w:numPr>
          <w:ilvl w:val="0"/>
          <w:numId w:val="26"/>
        </w:numPr>
        <w:autoSpaceDE w:val="0"/>
        <w:autoSpaceDN w:val="0"/>
        <w:adjustRightInd w:val="0"/>
        <w:rPr>
          <w:rFonts w:eastAsia="Cambria" w:cs="Arial"/>
          <w:szCs w:val="20"/>
        </w:rPr>
      </w:pPr>
      <w:r w:rsidRPr="00CA4909">
        <w:rPr>
          <w:rFonts w:eastAsia="Cambria" w:cs="Arial"/>
          <w:szCs w:val="20"/>
        </w:rPr>
        <w:t xml:space="preserve">for the period commencing </w:t>
      </w:r>
      <w:r>
        <w:rPr>
          <w:rFonts w:eastAsia="Cambria" w:cs="Arial"/>
          <w:szCs w:val="20"/>
        </w:rPr>
        <w:t>0</w:t>
      </w:r>
      <w:r w:rsidRPr="00CA4909">
        <w:rPr>
          <w:rFonts w:eastAsia="Cambria" w:cs="Arial"/>
          <w:szCs w:val="20"/>
        </w:rPr>
        <w:t xml:space="preserve">1 October 2020 onwards, the applicable Specific Capacity Discount for a given gas year will be subject to an annual consultation. Once </w:t>
      </w:r>
      <w:r>
        <w:rPr>
          <w:rFonts w:eastAsia="Cambria" w:cs="Arial"/>
          <w:szCs w:val="20"/>
        </w:rPr>
        <w:t>approved [method to be determined]</w:t>
      </w:r>
      <w:r w:rsidRPr="00CA4909">
        <w:rPr>
          <w:rFonts w:eastAsia="Cambria" w:cs="Arial"/>
          <w:szCs w:val="20"/>
        </w:rPr>
        <w:t xml:space="preserve">, they will be published in the </w:t>
      </w:r>
      <w:r>
        <w:rPr>
          <w:rFonts w:eastAsia="Cambria" w:cs="Arial"/>
          <w:szCs w:val="20"/>
        </w:rPr>
        <w:t>Transportation</w:t>
      </w:r>
      <w:r w:rsidRPr="00CA4909">
        <w:rPr>
          <w:rFonts w:eastAsia="Cambria" w:cs="Arial"/>
          <w:szCs w:val="20"/>
        </w:rPr>
        <w:t xml:space="preserve"> </w:t>
      </w:r>
      <w:r>
        <w:rPr>
          <w:rFonts w:eastAsia="Cambria" w:cs="Arial"/>
          <w:szCs w:val="20"/>
        </w:rPr>
        <w:t>S</w:t>
      </w:r>
      <w:r w:rsidRPr="00CA4909">
        <w:rPr>
          <w:rFonts w:eastAsia="Cambria" w:cs="Arial"/>
          <w:szCs w:val="20"/>
        </w:rPr>
        <w:t>tatement.</w:t>
      </w:r>
    </w:p>
    <w:p w14:paraId="0BAF7D3A" w14:textId="77777777" w:rsidR="00512985" w:rsidRDefault="00512985" w:rsidP="00512985">
      <w:pPr>
        <w:autoSpaceDE w:val="0"/>
        <w:autoSpaceDN w:val="0"/>
        <w:adjustRightInd w:val="0"/>
        <w:rPr>
          <w:rFonts w:eastAsia="Cambria" w:cs="Arial"/>
          <w:szCs w:val="20"/>
        </w:rPr>
      </w:pPr>
      <w:r>
        <w:rPr>
          <w:rFonts w:eastAsia="Cambria" w:cs="Arial"/>
          <w:szCs w:val="20"/>
        </w:rPr>
        <w:t>It is proposed that n</w:t>
      </w:r>
      <w:r w:rsidRPr="004A3E5F">
        <w:rPr>
          <w:rFonts w:eastAsia="Cambria" w:cs="Arial"/>
          <w:szCs w:val="20"/>
        </w:rPr>
        <w:t xml:space="preserve">o other </w:t>
      </w:r>
      <w:r>
        <w:rPr>
          <w:rFonts w:eastAsia="Cambria" w:cs="Arial"/>
          <w:szCs w:val="20"/>
        </w:rPr>
        <w:t>S</w:t>
      </w:r>
      <w:r w:rsidRPr="004A3E5F">
        <w:rPr>
          <w:rFonts w:eastAsia="Cambria" w:cs="Arial"/>
          <w:szCs w:val="20"/>
        </w:rPr>
        <w:t xml:space="preserve">pecific </w:t>
      </w:r>
      <w:r>
        <w:rPr>
          <w:rFonts w:eastAsia="Cambria" w:cs="Arial"/>
          <w:szCs w:val="20"/>
        </w:rPr>
        <w:t>C</w:t>
      </w:r>
      <w:r w:rsidRPr="004A3E5F">
        <w:rPr>
          <w:rFonts w:eastAsia="Cambria" w:cs="Arial"/>
          <w:szCs w:val="20"/>
        </w:rPr>
        <w:t xml:space="preserve">apacity </w:t>
      </w:r>
      <w:r>
        <w:rPr>
          <w:rFonts w:eastAsia="Cambria" w:cs="Arial"/>
          <w:szCs w:val="20"/>
        </w:rPr>
        <w:t>D</w:t>
      </w:r>
      <w:r w:rsidRPr="004A3E5F">
        <w:rPr>
          <w:rFonts w:eastAsia="Cambria" w:cs="Arial"/>
          <w:szCs w:val="20"/>
        </w:rPr>
        <w:t xml:space="preserve">iscounts </w:t>
      </w:r>
      <w:r>
        <w:rPr>
          <w:rFonts w:eastAsia="Cambria" w:cs="Arial"/>
          <w:szCs w:val="20"/>
        </w:rPr>
        <w:t>are</w:t>
      </w:r>
      <w:r w:rsidRPr="004A3E5F">
        <w:rPr>
          <w:rFonts w:eastAsia="Cambria" w:cs="Arial"/>
          <w:szCs w:val="20"/>
        </w:rPr>
        <w:t xml:space="preserve"> applied.</w:t>
      </w:r>
    </w:p>
    <w:p w14:paraId="6663D0B1" w14:textId="122DBDF4" w:rsidR="00512985" w:rsidRDefault="00D114DF" w:rsidP="00512985">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 xml:space="preserve">Additional Calculation Step under CWD for </w:t>
      </w:r>
      <w:r w:rsidR="00E53B37">
        <w:rPr>
          <w:rFonts w:ascii="Arial" w:eastAsia="Times New Roman" w:hAnsi="Arial" w:cs="Arial"/>
          <w:i w:val="0"/>
          <w:iCs w:val="0"/>
          <w:color w:val="008576"/>
          <w:sz w:val="24"/>
          <w:szCs w:val="28"/>
        </w:rPr>
        <w:t xml:space="preserve">Reference </w:t>
      </w:r>
      <w:r w:rsidR="00964651">
        <w:rPr>
          <w:rFonts w:ascii="Arial" w:eastAsia="Times New Roman" w:hAnsi="Arial" w:cs="Arial"/>
          <w:i w:val="0"/>
          <w:iCs w:val="0"/>
          <w:color w:val="008576"/>
          <w:sz w:val="24"/>
          <w:szCs w:val="28"/>
        </w:rPr>
        <w:t xml:space="preserve">/ Reserve </w:t>
      </w:r>
      <w:r w:rsidR="00E53B37">
        <w:rPr>
          <w:rFonts w:ascii="Arial" w:eastAsia="Times New Roman" w:hAnsi="Arial" w:cs="Arial"/>
          <w:i w:val="0"/>
          <w:iCs w:val="0"/>
          <w:color w:val="008576"/>
          <w:sz w:val="24"/>
          <w:szCs w:val="28"/>
        </w:rPr>
        <w:t>Prices</w:t>
      </w:r>
      <w:r>
        <w:rPr>
          <w:rFonts w:ascii="Arial" w:eastAsia="Times New Roman" w:hAnsi="Arial" w:cs="Arial"/>
          <w:i w:val="0"/>
          <w:iCs w:val="0"/>
          <w:color w:val="008576"/>
          <w:sz w:val="24"/>
          <w:szCs w:val="28"/>
        </w:rPr>
        <w:t xml:space="preserve"> applicable from 01 October 2021</w:t>
      </w:r>
      <w:r w:rsidR="000444E8">
        <w:rPr>
          <w:rFonts w:ascii="Arial" w:eastAsia="Times New Roman" w:hAnsi="Arial" w:cs="Arial"/>
          <w:i w:val="0"/>
          <w:iCs w:val="0"/>
          <w:color w:val="008576"/>
          <w:sz w:val="24"/>
          <w:szCs w:val="28"/>
        </w:rPr>
        <w:t xml:space="preserve"> (see para 3.24 in section 3)</w:t>
      </w:r>
    </w:p>
    <w:p w14:paraId="78BE288F" w14:textId="7D4BF860" w:rsidR="00D114DF" w:rsidRPr="009C5B9B" w:rsidRDefault="00D114DF" w:rsidP="009C5B9B">
      <w:r>
        <w:t xml:space="preserve">This step is only applicable for Capacity </w:t>
      </w:r>
      <w:r w:rsidR="00964651">
        <w:t xml:space="preserve">reference </w:t>
      </w:r>
      <w:r>
        <w:t xml:space="preserve">prices from October 2021 in line with the time when the </w:t>
      </w:r>
      <w:r w:rsidR="00964651">
        <w:t>FCC</w:t>
      </w:r>
      <w:r>
        <w:t xml:space="preserve"> is updated to be based on a more informed forecast. Once the reserve prices have been calculated taking into account all the required multipliers and discounts there will be an under recovery driven by the levels of discounts (e.g. interruptible and specific capacity discounts). The anticipated under recovery will result in an adjustment being applied to the </w:t>
      </w:r>
      <w:r w:rsidR="00964651">
        <w:t>CWD calculation</w:t>
      </w:r>
      <w:r>
        <w:t xml:space="preserve"> in order to recalculate</w:t>
      </w:r>
      <w:r w:rsidR="00964651">
        <w:t xml:space="preserve"> reference prices, and therefore reserve prices,</w:t>
      </w:r>
      <w:r>
        <w:t xml:space="preserve"> so that th</w:t>
      </w:r>
      <w:r w:rsidR="00CE6899">
        <w:t>e</w:t>
      </w:r>
      <w:r>
        <w:t xml:space="preserve"> under recovery is estimated to be zero or close to zero to minimise the size of the Transmission Services </w:t>
      </w:r>
      <w:r w:rsidR="00CE6899">
        <w:t xml:space="preserve">Entry and Exit </w:t>
      </w:r>
      <w:r>
        <w:t xml:space="preserve">Revenue Recovery charges. This will be applied to the Entry and Exit Capacity calculations to recalculate the Entry and Exit Capacity </w:t>
      </w:r>
      <w:r w:rsidR="00CE6899">
        <w:t xml:space="preserve">reference / </w:t>
      </w:r>
      <w:r>
        <w:t xml:space="preserve">reserve prices for all Entry and Exit points. </w:t>
      </w:r>
    </w:p>
    <w:p w14:paraId="1E4A001A"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Summary of Reserve Price Derivation</w:t>
      </w:r>
    </w:p>
    <w:p w14:paraId="17F2AB35" w14:textId="77777777" w:rsidR="00512985" w:rsidRDefault="00512985" w:rsidP="00512985">
      <w:r>
        <w:t>The following diagram summarises the proposed approach to the derivation of Reserve Prices (from the applicable Reference Price) for both Firm and Interruptible Capacity products (including Capacity at Storage and LNG sites).</w:t>
      </w:r>
    </w:p>
    <w:p w14:paraId="539EC7DA" w14:textId="77777777" w:rsidR="00512985" w:rsidRDefault="00512985" w:rsidP="00512985">
      <w:pPr>
        <w:pStyle w:val="Heading4"/>
        <w:keepLines w:val="0"/>
        <w:numPr>
          <w:ilvl w:val="0"/>
          <w:numId w:val="0"/>
        </w:numPr>
        <w:spacing w:before="240"/>
        <w:jc w:val="center"/>
        <w:rPr>
          <w:rFonts w:ascii="Arial" w:eastAsia="Times New Roman" w:hAnsi="Arial" w:cs="Arial"/>
          <w:i w:val="0"/>
          <w:iCs w:val="0"/>
          <w:color w:val="008576"/>
          <w:sz w:val="24"/>
          <w:szCs w:val="28"/>
        </w:rPr>
      </w:pPr>
      <w:r>
        <w:rPr>
          <w:rFonts w:ascii="Arial" w:eastAsia="Times New Roman" w:hAnsi="Arial" w:cs="Arial"/>
          <w:i w:val="0"/>
          <w:iCs w:val="0"/>
          <w:noProof/>
          <w:color w:val="008576"/>
          <w:sz w:val="24"/>
          <w:szCs w:val="28"/>
        </w:rPr>
        <w:lastRenderedPageBreak/>
        <w:drawing>
          <wp:inline distT="0" distB="0" distL="0" distR="0" wp14:anchorId="41F3313B" wp14:editId="29B48F0F">
            <wp:extent cx="5233916" cy="2454324"/>
            <wp:effectExtent l="0" t="0" r="508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3774" cy="2454257"/>
                    </a:xfrm>
                    <a:prstGeom prst="rect">
                      <a:avLst/>
                    </a:prstGeom>
                    <a:noFill/>
                    <a:ln>
                      <a:noFill/>
                    </a:ln>
                  </pic:spPr>
                </pic:pic>
              </a:graphicData>
            </a:graphic>
          </wp:inline>
        </w:drawing>
      </w:r>
    </w:p>
    <w:p w14:paraId="0D65C77F"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p>
    <w:p w14:paraId="14A309B0"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Transmission Services Revenue Recovery Charges</w:t>
      </w:r>
    </w:p>
    <w:p w14:paraId="4DB76167" w14:textId="77777777" w:rsidR="00512985" w:rsidRDefault="00512985" w:rsidP="00512985">
      <w:r>
        <w:t xml:space="preserve">It is proposed that where a proportion of revenue could be under/over recovered (i.e. compared to the target Transmission Services revenues) as a consequence of application of Reserve Prices applicable for the following gas year, a revenue recovery mechanism is applied. </w:t>
      </w:r>
    </w:p>
    <w:p w14:paraId="0F209CAA" w14:textId="0590C2C9" w:rsidR="00512985" w:rsidRPr="00C0479A" w:rsidRDefault="00512985" w:rsidP="00512985">
      <w:pPr>
        <w:rPr>
          <w:rFonts w:cs="Arial"/>
          <w:b/>
        </w:rPr>
      </w:pPr>
      <w:r w:rsidRPr="006D031E">
        <w:rPr>
          <w:rFonts w:cs="Arial"/>
        </w:rPr>
        <w:t>The Transmission Services Revenue Recovery charge</w:t>
      </w:r>
      <w:r w:rsidR="004403EF">
        <w:rPr>
          <w:rFonts w:cs="Arial"/>
        </w:rPr>
        <w:t>s (</w:t>
      </w:r>
      <w:r w:rsidR="004403EF" w:rsidRPr="006D031E">
        <w:rPr>
          <w:rFonts w:cs="Arial"/>
        </w:rPr>
        <w:t xml:space="preserve">Transmission Services </w:t>
      </w:r>
      <w:r w:rsidR="004403EF">
        <w:rPr>
          <w:rFonts w:cs="Arial"/>
        </w:rPr>
        <w:t xml:space="preserve">Entry </w:t>
      </w:r>
      <w:r w:rsidR="004403EF" w:rsidRPr="006D031E">
        <w:rPr>
          <w:rFonts w:cs="Arial"/>
        </w:rPr>
        <w:t>Revenue Recovery charge</w:t>
      </w:r>
      <w:r w:rsidR="004403EF">
        <w:rPr>
          <w:rFonts w:cs="Arial"/>
        </w:rPr>
        <w:t xml:space="preserve"> and </w:t>
      </w:r>
      <w:r w:rsidR="004403EF" w:rsidRPr="006D031E">
        <w:rPr>
          <w:rFonts w:cs="Arial"/>
        </w:rPr>
        <w:t xml:space="preserve">Transmission Services </w:t>
      </w:r>
      <w:r w:rsidR="004403EF">
        <w:rPr>
          <w:rFonts w:cs="Arial"/>
        </w:rPr>
        <w:t xml:space="preserve">Exit </w:t>
      </w:r>
      <w:r w:rsidR="004403EF" w:rsidRPr="006D031E">
        <w:rPr>
          <w:rFonts w:cs="Arial"/>
        </w:rPr>
        <w:t>Revenue Recovery charge</w:t>
      </w:r>
      <w:r w:rsidR="004403EF">
        <w:rPr>
          <w:rFonts w:cs="Arial"/>
        </w:rPr>
        <w:t>)</w:t>
      </w:r>
      <w:r w:rsidRPr="006D031E">
        <w:rPr>
          <w:rFonts w:cs="Arial"/>
        </w:rPr>
        <w:t xml:space="preserve"> will be calculated after the </w:t>
      </w:r>
      <w:r>
        <w:rPr>
          <w:rFonts w:cs="Arial"/>
        </w:rPr>
        <w:t>R</w:t>
      </w:r>
      <w:r w:rsidRPr="006D031E">
        <w:rPr>
          <w:rFonts w:cs="Arial"/>
        </w:rPr>
        <w:t xml:space="preserve">eserve </w:t>
      </w:r>
      <w:r>
        <w:rPr>
          <w:rFonts w:cs="Arial"/>
        </w:rPr>
        <w:t>P</w:t>
      </w:r>
      <w:r w:rsidRPr="006D031E">
        <w:rPr>
          <w:rFonts w:cs="Arial"/>
        </w:rPr>
        <w:t xml:space="preserve">rices have been </w:t>
      </w:r>
      <w:r>
        <w:rPr>
          <w:rFonts w:cs="Arial"/>
        </w:rPr>
        <w:t>determined</w:t>
      </w:r>
      <w:r w:rsidRPr="006D031E">
        <w:rPr>
          <w:rFonts w:cs="Arial"/>
        </w:rPr>
        <w:t xml:space="preserve"> and will be calculated as follows</w:t>
      </w:r>
      <w:r w:rsidR="004403EF">
        <w:rPr>
          <w:rFonts w:cs="Arial"/>
        </w:rPr>
        <w:t xml:space="preserve"> for Entry and Exit in the same way</w:t>
      </w:r>
      <w:r w:rsidRPr="006D031E">
        <w:rPr>
          <w:rFonts w:cs="Arial"/>
        </w:rPr>
        <w:t>:</w:t>
      </w:r>
    </w:p>
    <w:p w14:paraId="7126DCFA"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p>
    <w:p w14:paraId="7AF85E00"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Pr>
          <w:noProof/>
        </w:rPr>
        <w:drawing>
          <wp:inline distT="0" distB="0" distL="0" distR="0" wp14:anchorId="0EE0F823" wp14:editId="679C0757">
            <wp:extent cx="3433313" cy="3025373"/>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2980" cy="3025079"/>
                    </a:xfrm>
                    <a:prstGeom prst="rect">
                      <a:avLst/>
                    </a:prstGeom>
                    <a:noFill/>
                  </pic:spPr>
                </pic:pic>
              </a:graphicData>
            </a:graphic>
          </wp:inline>
        </w:drawing>
      </w:r>
    </w:p>
    <w:p w14:paraId="253B1785" w14:textId="77777777" w:rsidR="00512985" w:rsidRDefault="00512985" w:rsidP="00512985">
      <w:r>
        <w:t xml:space="preserve">It is proposed that the ‘Anticipated Bookings’ value will be based on National Grid’s forecast of capacity bookings and therefore used to forecast the anticipated under or over recovery. </w:t>
      </w:r>
    </w:p>
    <w:p w14:paraId="746EC5A2" w14:textId="212BFAAD" w:rsidR="00E90813" w:rsidRPr="00BF4604" w:rsidRDefault="00512985" w:rsidP="00412883">
      <w:r w:rsidRPr="00226457">
        <w:t>It is proposed that</w:t>
      </w:r>
      <w:r w:rsidR="00412883">
        <w:t xml:space="preserve"> f</w:t>
      </w:r>
      <w:r w:rsidRPr="00226457">
        <w:t xml:space="preserve">or the period commencing </w:t>
      </w:r>
      <w:r>
        <w:t>0</w:t>
      </w:r>
      <w:r w:rsidRPr="00226457">
        <w:t xml:space="preserve">1 October 2019 until 30 September 2021 (inclusive) </w:t>
      </w:r>
      <w:r>
        <w:t>the transmission services revenue recovery mechanism is</w:t>
      </w:r>
      <w:r w:rsidR="00DB382D">
        <w:t xml:space="preserve"> calculated in a number of steps and applied </w:t>
      </w:r>
      <w:r w:rsidR="00DB382D" w:rsidRPr="00BF4604">
        <w:t>differently to Interconnection Points and Non Interconnection Points</w:t>
      </w:r>
      <w:r w:rsidR="00E90813" w:rsidRPr="00BF4604">
        <w:t xml:space="preserve">: </w:t>
      </w:r>
    </w:p>
    <w:p w14:paraId="2F3C7625" w14:textId="61D32971" w:rsidR="00DB382D" w:rsidRPr="00BF4604" w:rsidRDefault="00DB382D" w:rsidP="00BD3FB5">
      <w:pPr>
        <w:pStyle w:val="ListParagraph"/>
        <w:numPr>
          <w:ilvl w:val="0"/>
          <w:numId w:val="30"/>
        </w:numPr>
        <w:rPr>
          <w:rFonts w:cs="Arial"/>
        </w:rPr>
      </w:pPr>
      <w:r w:rsidRPr="00BF4604">
        <w:rPr>
          <w:rFonts w:cs="Arial"/>
        </w:rPr>
        <w:t xml:space="preserve">The required revenue </w:t>
      </w:r>
      <w:r w:rsidR="008D72F1" w:rsidRPr="00BF4604">
        <w:rPr>
          <w:rFonts w:cs="Arial"/>
        </w:rPr>
        <w:t xml:space="preserve">to be </w:t>
      </w:r>
      <w:r w:rsidR="00954B9C" w:rsidRPr="00BF4604">
        <w:rPr>
          <w:rFonts w:cs="Arial"/>
        </w:rPr>
        <w:t xml:space="preserve">applied to the </w:t>
      </w:r>
      <w:r w:rsidRPr="00BF4604">
        <w:rPr>
          <w:rFonts w:cs="Arial"/>
        </w:rPr>
        <w:t xml:space="preserve">transmission services revenue recovery mechanism will be determined </w:t>
      </w:r>
      <w:r w:rsidR="00195001">
        <w:rPr>
          <w:rFonts w:cs="Arial"/>
        </w:rPr>
        <w:t xml:space="preserve">in the same manner for </w:t>
      </w:r>
      <w:r w:rsidRPr="00BF4604">
        <w:rPr>
          <w:rFonts w:cs="Arial"/>
        </w:rPr>
        <w:t>Entry and for Exit</w:t>
      </w:r>
      <w:r w:rsidR="00954B9C" w:rsidRPr="00BF4604">
        <w:rPr>
          <w:rFonts w:cs="Arial"/>
        </w:rPr>
        <w:t xml:space="preserve"> in the steps highlighted above</w:t>
      </w:r>
      <w:r w:rsidRPr="00BF4604">
        <w:rPr>
          <w:rFonts w:cs="Arial"/>
        </w:rPr>
        <w:t xml:space="preserve">. </w:t>
      </w:r>
      <w:r w:rsidR="00954B9C" w:rsidRPr="00BF4604">
        <w:rPr>
          <w:rFonts w:cs="Arial"/>
        </w:rPr>
        <w:t>The steps below apply to both Entry and to Exit</w:t>
      </w:r>
      <w:r w:rsidR="004814BE">
        <w:rPr>
          <w:rFonts w:cs="Arial"/>
        </w:rPr>
        <w:t xml:space="preserve"> to produce Transmission Services Entry Revenue Recovery charges and to produce Transmission Services Exit Revenue Recovery charges</w:t>
      </w:r>
      <w:r w:rsidR="00954B9C" w:rsidRPr="00BF4604">
        <w:rPr>
          <w:rFonts w:cs="Arial"/>
        </w:rPr>
        <w:t xml:space="preserve">. </w:t>
      </w:r>
    </w:p>
    <w:p w14:paraId="50655A74" w14:textId="7E2B5B70" w:rsidR="00954B9C" w:rsidRPr="00BF4604" w:rsidRDefault="00954B9C" w:rsidP="00BD3FB5">
      <w:pPr>
        <w:pStyle w:val="ListParagraph"/>
        <w:numPr>
          <w:ilvl w:val="0"/>
          <w:numId w:val="30"/>
        </w:numPr>
        <w:rPr>
          <w:rFonts w:cs="Arial"/>
        </w:rPr>
      </w:pPr>
      <w:r w:rsidRPr="00BF4604">
        <w:rPr>
          <w:rFonts w:cs="Arial"/>
        </w:rPr>
        <w:t xml:space="preserve">The total anticipated flows on the NTS excluding Storage flows unless it is flowed as “own use” gas at the Storage point will be used as the main denominator. </w:t>
      </w:r>
    </w:p>
    <w:p w14:paraId="655D58F6" w14:textId="1EF17C64" w:rsidR="00954B9C" w:rsidRPr="00BF4604" w:rsidRDefault="00954B9C" w:rsidP="00BD3FB5">
      <w:pPr>
        <w:pStyle w:val="ListParagraph"/>
        <w:numPr>
          <w:ilvl w:val="1"/>
          <w:numId w:val="30"/>
        </w:numPr>
        <w:rPr>
          <w:rFonts w:cs="Arial"/>
        </w:rPr>
      </w:pPr>
      <w:r w:rsidRPr="00BF4604">
        <w:rPr>
          <w:rFonts w:cs="Arial"/>
        </w:rPr>
        <w:t xml:space="preserve">For Non interconnection points, the anticipated Non Interconnection Point flows as a proportion of </w:t>
      </w:r>
      <w:r w:rsidR="007B640E">
        <w:rPr>
          <w:rFonts w:cs="Arial"/>
        </w:rPr>
        <w:t>the total anticipated flows</w:t>
      </w:r>
      <w:r w:rsidRPr="00195001">
        <w:rPr>
          <w:rFonts w:cs="Arial"/>
        </w:rPr>
        <w:t xml:space="preserve"> on the NTS </w:t>
      </w:r>
      <w:r w:rsidR="00552BC0">
        <w:rPr>
          <w:rFonts w:cs="Arial"/>
        </w:rPr>
        <w:t xml:space="preserve">will be applied to the required revenue from the transmission services revenue recovery mechanism to </w:t>
      </w:r>
      <w:r w:rsidRPr="00195001">
        <w:rPr>
          <w:rFonts w:cs="Arial"/>
        </w:rPr>
        <w:t>determine the revenue to be collected from Non Interconnection</w:t>
      </w:r>
      <w:r w:rsidR="00063A1A">
        <w:rPr>
          <w:rFonts w:cs="Arial"/>
        </w:rPr>
        <w:t xml:space="preserve"> points</w:t>
      </w:r>
      <w:r w:rsidRPr="00195001">
        <w:rPr>
          <w:rFonts w:cs="Arial"/>
        </w:rPr>
        <w:t>.</w:t>
      </w:r>
      <w:r w:rsidRPr="00552BC0">
        <w:rPr>
          <w:rFonts w:cs="Arial"/>
        </w:rPr>
        <w:t xml:space="preserve"> </w:t>
      </w:r>
      <w:r w:rsidRPr="00BF4604">
        <w:rPr>
          <w:rFonts w:cs="Arial"/>
        </w:rPr>
        <w:t xml:space="preserve">This amount divided </w:t>
      </w:r>
      <w:r w:rsidR="00063A1A">
        <w:rPr>
          <w:rFonts w:cs="Arial"/>
        </w:rPr>
        <w:t xml:space="preserve">by </w:t>
      </w:r>
      <w:r w:rsidRPr="00BF4604">
        <w:rPr>
          <w:rFonts w:cs="Arial"/>
        </w:rPr>
        <w:t xml:space="preserve">the applicable </w:t>
      </w:r>
      <w:r w:rsidRPr="00BF4604">
        <w:t xml:space="preserve">Non Interconnection Point flows shall determine </w:t>
      </w:r>
      <w:r w:rsidRPr="00BF4604">
        <w:rPr>
          <w:rFonts w:cs="Arial"/>
        </w:rPr>
        <w:t>the Transmission Services Entry and Exit revenue recovery charges for Non Interconnection Points for the relevant period. This charge shall be applied to all Non Interconnection Point flows except Storage flows not considered “own use” gas at the storage point. The Transmission Services Entry and Exit revenue recovery charges for Non Interconnection Points will be produced in p/kWh.</w:t>
      </w:r>
    </w:p>
    <w:p w14:paraId="73067752" w14:textId="77777777" w:rsidR="00BF4604" w:rsidRPr="00BF4604" w:rsidRDefault="00BF4604" w:rsidP="00BF4604">
      <w:pPr>
        <w:pStyle w:val="ListParagraph"/>
        <w:ind w:left="1497"/>
        <w:rPr>
          <w:rFonts w:cs="Arial"/>
          <w:highlight w:val="yellow"/>
        </w:rPr>
      </w:pPr>
    </w:p>
    <w:p w14:paraId="535FBD00" w14:textId="4DE65DA5" w:rsidR="00512985" w:rsidRPr="00BF4604" w:rsidRDefault="00BF4604" w:rsidP="00BD3FB5">
      <w:pPr>
        <w:pStyle w:val="ListParagraph"/>
        <w:numPr>
          <w:ilvl w:val="1"/>
          <w:numId w:val="30"/>
        </w:numPr>
        <w:rPr>
          <w:rFonts w:cs="Arial"/>
        </w:rPr>
      </w:pPr>
      <w:r w:rsidRPr="00BF4604">
        <w:rPr>
          <w:rFonts w:cs="Arial"/>
        </w:rPr>
        <w:t xml:space="preserve">For interconnection points, the anticipated Interconnection Point flows as a proportion of </w:t>
      </w:r>
      <w:r w:rsidR="007B640E">
        <w:rPr>
          <w:rFonts w:cs="Arial"/>
        </w:rPr>
        <w:t>the total anticipated flows</w:t>
      </w:r>
      <w:r w:rsidR="007B640E" w:rsidRPr="00195001">
        <w:rPr>
          <w:rFonts w:cs="Arial"/>
        </w:rPr>
        <w:t xml:space="preserve"> </w:t>
      </w:r>
      <w:r w:rsidRPr="00BF4604">
        <w:rPr>
          <w:rFonts w:cs="Arial"/>
        </w:rPr>
        <w:t xml:space="preserve">on the NTS </w:t>
      </w:r>
      <w:r w:rsidR="00A2589F">
        <w:rPr>
          <w:rFonts w:cs="Arial"/>
        </w:rPr>
        <w:t xml:space="preserve">will be applied to the required revenue from the transmission services revenue recovery mechanism to </w:t>
      </w:r>
      <w:r w:rsidRPr="00195001">
        <w:rPr>
          <w:rFonts w:cs="Arial"/>
        </w:rPr>
        <w:t>determine the r</w:t>
      </w:r>
      <w:r w:rsidRPr="00552BC0">
        <w:rPr>
          <w:rFonts w:cs="Arial"/>
        </w:rPr>
        <w:t>evenue to be collected from Interconnection Points</w:t>
      </w:r>
      <w:r w:rsidR="007E0140">
        <w:rPr>
          <w:rFonts w:cs="Arial"/>
        </w:rPr>
        <w:t xml:space="preserve">. </w:t>
      </w:r>
      <w:r w:rsidR="00DB382D" w:rsidRPr="00BF4604">
        <w:rPr>
          <w:rFonts w:cs="Arial"/>
        </w:rPr>
        <w:t>This amount</w:t>
      </w:r>
      <w:r w:rsidR="0061091C" w:rsidRPr="00BF4604">
        <w:rPr>
          <w:rFonts w:cs="Arial"/>
        </w:rPr>
        <w:t xml:space="preserve"> </w:t>
      </w:r>
      <w:r w:rsidR="004403EF" w:rsidRPr="00BF4604">
        <w:rPr>
          <w:rFonts w:cs="Arial"/>
        </w:rPr>
        <w:t>divided by an aggregate forecast of bookings at Interconnection points</w:t>
      </w:r>
      <w:r w:rsidR="0061091C" w:rsidRPr="00BF4604">
        <w:rPr>
          <w:rFonts w:cs="Arial"/>
        </w:rPr>
        <w:t xml:space="preserve"> </w:t>
      </w:r>
      <w:r w:rsidRPr="00BF4604">
        <w:rPr>
          <w:rFonts w:cs="Arial"/>
        </w:rPr>
        <w:t xml:space="preserve">shall determine the Transmission Services Entry and Exit revenue recovery charges for Interconnection Points for the relevant period. This charge shall be applied to all Interconnection Point bookings. </w:t>
      </w:r>
      <w:r w:rsidR="0061091C" w:rsidRPr="00BF4604">
        <w:rPr>
          <w:rFonts w:cs="Arial"/>
        </w:rPr>
        <w:t xml:space="preserve">The Transmission Services </w:t>
      </w:r>
      <w:r w:rsidR="0061091C" w:rsidRPr="00BF4604">
        <w:rPr>
          <w:rFonts w:cs="Arial"/>
        </w:rPr>
        <w:lastRenderedPageBreak/>
        <w:t xml:space="preserve">Entry and Exit revenue recovery charges at Interconnection Points for this period will be produced in p/kWh/d. </w:t>
      </w:r>
      <w:r w:rsidR="00E90813" w:rsidRPr="00BF4604">
        <w:rPr>
          <w:rFonts w:cs="Arial"/>
        </w:rPr>
        <w:t xml:space="preserve"> </w:t>
      </w:r>
    </w:p>
    <w:p w14:paraId="02A4D709" w14:textId="10615866" w:rsidR="00512985" w:rsidRDefault="00E90813" w:rsidP="000676C2">
      <w:pPr>
        <w:pStyle w:val="Heading4"/>
        <w:keepLines w:val="0"/>
        <w:numPr>
          <w:ilvl w:val="0"/>
          <w:numId w:val="0"/>
        </w:numPr>
        <w:spacing w:before="240"/>
        <w:rPr>
          <w:rFonts w:ascii="Arial" w:eastAsia="Times New Roman" w:hAnsi="Arial"/>
          <w:b w:val="0"/>
          <w:bCs w:val="0"/>
          <w:i w:val="0"/>
          <w:iCs w:val="0"/>
          <w:color w:val="000000"/>
        </w:rPr>
      </w:pPr>
      <w:r w:rsidRPr="000676C2">
        <w:rPr>
          <w:rFonts w:ascii="Arial" w:eastAsia="Times New Roman" w:hAnsi="Arial"/>
          <w:b w:val="0"/>
          <w:bCs w:val="0"/>
          <w:i w:val="0"/>
          <w:iCs w:val="0"/>
          <w:color w:val="000000"/>
        </w:rPr>
        <w:t xml:space="preserve">It is proposed </w:t>
      </w:r>
      <w:r w:rsidR="00512985" w:rsidRPr="000676C2">
        <w:rPr>
          <w:rFonts w:ascii="Arial" w:eastAsia="Times New Roman" w:hAnsi="Arial"/>
          <w:b w:val="0"/>
          <w:bCs w:val="0"/>
          <w:i w:val="0"/>
          <w:iCs w:val="0"/>
          <w:color w:val="000000"/>
        </w:rPr>
        <w:t>for the period commencing 01 October 2021 onwards, the transmission services revenue recovery mechanism is capacity based and applied as additional capacity charges</w:t>
      </w:r>
      <w:r>
        <w:rPr>
          <w:rFonts w:ascii="Arial" w:eastAsia="Times New Roman" w:hAnsi="Arial"/>
          <w:b w:val="0"/>
          <w:bCs w:val="0"/>
          <w:i w:val="0"/>
          <w:iCs w:val="0"/>
          <w:color w:val="000000"/>
        </w:rPr>
        <w:t xml:space="preserve"> to all booked capacity except Historical </w:t>
      </w:r>
      <w:r w:rsidR="006F3DA3">
        <w:rPr>
          <w:rFonts w:ascii="Arial" w:eastAsia="Times New Roman" w:hAnsi="Arial"/>
          <w:b w:val="0"/>
          <w:bCs w:val="0"/>
          <w:i w:val="0"/>
          <w:iCs w:val="0"/>
          <w:color w:val="000000"/>
        </w:rPr>
        <w:t xml:space="preserve">Contracts for </w:t>
      </w:r>
      <w:r>
        <w:rPr>
          <w:rFonts w:ascii="Arial" w:eastAsia="Times New Roman" w:hAnsi="Arial"/>
          <w:b w:val="0"/>
          <w:bCs w:val="0"/>
          <w:i w:val="0"/>
          <w:iCs w:val="0"/>
          <w:color w:val="000000"/>
        </w:rPr>
        <w:t>Storage</w:t>
      </w:r>
      <w:r w:rsidR="00512985" w:rsidRPr="000676C2">
        <w:rPr>
          <w:rFonts w:ascii="Arial" w:eastAsia="Times New Roman" w:hAnsi="Arial"/>
          <w:b w:val="0"/>
          <w:bCs w:val="0"/>
          <w:i w:val="0"/>
          <w:iCs w:val="0"/>
          <w:color w:val="000000"/>
        </w:rPr>
        <w:t xml:space="preserve">. The Transmission Services </w:t>
      </w:r>
      <w:r w:rsidR="0061091C">
        <w:rPr>
          <w:rFonts w:ascii="Arial" w:eastAsia="Times New Roman" w:hAnsi="Arial"/>
          <w:b w:val="0"/>
          <w:bCs w:val="0"/>
          <w:i w:val="0"/>
          <w:iCs w:val="0"/>
          <w:color w:val="000000"/>
        </w:rPr>
        <w:t xml:space="preserve">Entry and Exit </w:t>
      </w:r>
      <w:r w:rsidR="00512985" w:rsidRPr="000676C2">
        <w:rPr>
          <w:rFonts w:ascii="Arial" w:eastAsia="Times New Roman" w:hAnsi="Arial"/>
          <w:b w:val="0"/>
          <w:bCs w:val="0"/>
          <w:i w:val="0"/>
          <w:iCs w:val="0"/>
          <w:color w:val="000000"/>
        </w:rPr>
        <w:t xml:space="preserve">revenue recovery charges for this period will be produced in p/kWh/d. For the avoidance of doubt, any Entry Capacity </w:t>
      </w:r>
      <w:r w:rsidR="0061091C">
        <w:rPr>
          <w:rFonts w:ascii="Arial" w:eastAsia="Times New Roman" w:hAnsi="Arial"/>
          <w:b w:val="0"/>
          <w:bCs w:val="0"/>
          <w:i w:val="0"/>
          <w:iCs w:val="0"/>
          <w:color w:val="000000"/>
        </w:rPr>
        <w:t xml:space="preserve">(except Historical </w:t>
      </w:r>
      <w:r w:rsidR="0048304A">
        <w:rPr>
          <w:rFonts w:ascii="Arial" w:eastAsia="Times New Roman" w:hAnsi="Arial"/>
          <w:b w:val="0"/>
          <w:bCs w:val="0"/>
          <w:i w:val="0"/>
          <w:iCs w:val="0"/>
          <w:color w:val="000000"/>
        </w:rPr>
        <w:t xml:space="preserve">Contracts for </w:t>
      </w:r>
      <w:r w:rsidR="0061091C">
        <w:rPr>
          <w:rFonts w:ascii="Arial" w:eastAsia="Times New Roman" w:hAnsi="Arial"/>
          <w:b w:val="0"/>
          <w:bCs w:val="0"/>
          <w:i w:val="0"/>
          <w:iCs w:val="0"/>
          <w:color w:val="000000"/>
        </w:rPr>
        <w:t xml:space="preserve">Storage) </w:t>
      </w:r>
      <w:r w:rsidR="00512985" w:rsidRPr="000676C2">
        <w:rPr>
          <w:rFonts w:ascii="Arial" w:eastAsia="Times New Roman" w:hAnsi="Arial"/>
          <w:b w:val="0"/>
          <w:bCs w:val="0"/>
          <w:i w:val="0"/>
          <w:iCs w:val="0"/>
          <w:color w:val="000000"/>
        </w:rPr>
        <w:t xml:space="preserve">or Exit Capacity booked for the applicable year (irrespective of when this capacity was procured from National Grid) would be subject to Revenue Recovery charges.  </w:t>
      </w:r>
    </w:p>
    <w:p w14:paraId="02BD2E39" w14:textId="77777777" w:rsidR="00E90813" w:rsidRPr="00E90813" w:rsidRDefault="00E90813" w:rsidP="00E90813"/>
    <w:p w14:paraId="08DA20DB" w14:textId="618038D5" w:rsidR="00512985" w:rsidRDefault="00512985" w:rsidP="00512985">
      <w:r w:rsidRPr="009C5B9B">
        <w:t>[Further consideration is to be given to the application of Transmission Entry and Exit Revenue Recovery charges at IPs</w:t>
      </w:r>
      <w:r w:rsidR="0061091C" w:rsidRPr="009C5B9B">
        <w:t xml:space="preserve">, </w:t>
      </w:r>
      <w:r w:rsidR="00DB220B" w:rsidRPr="009C5B9B">
        <w:t>and specifically its interaction with the NTS Optional Charge as outlined in this solution</w:t>
      </w:r>
      <w:r w:rsidRPr="009C5B9B">
        <w:t xml:space="preserve">. </w:t>
      </w:r>
      <w:r w:rsidR="00B51A5A" w:rsidRPr="009C5B9B">
        <w:t>This</w:t>
      </w:r>
      <w:r w:rsidRPr="009C5B9B">
        <w:t xml:space="preserve"> will be discussed through </w:t>
      </w:r>
      <w:r w:rsidR="009C5B9B">
        <w:t>the UNC0621 workgroup</w:t>
      </w:r>
      <w:r w:rsidRPr="009C5B9B">
        <w:t>].</w:t>
      </w:r>
      <w:r>
        <w:t xml:space="preserve"> </w:t>
      </w:r>
    </w:p>
    <w:p w14:paraId="332B27F6" w14:textId="77777777" w:rsidR="00512985" w:rsidRDefault="00512985" w:rsidP="00512985"/>
    <w:p w14:paraId="19A8CDE5"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p>
    <w:p w14:paraId="7BEF83FF" w14:textId="77777777" w:rsidR="00512985" w:rsidRDefault="00512985" w:rsidP="00512985">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NTS Optional Charge (see paras 3.25 to 3.28 in Section 3)</w:t>
      </w:r>
    </w:p>
    <w:p w14:paraId="2EA7BFDE" w14:textId="25C08F1F" w:rsidR="00512985" w:rsidRDefault="00512985" w:rsidP="00512985">
      <w:pPr>
        <w:pStyle w:val="Heading4"/>
        <w:keepLines w:val="0"/>
        <w:numPr>
          <w:ilvl w:val="0"/>
          <w:numId w:val="0"/>
        </w:numPr>
        <w:spacing w:before="240"/>
        <w:rPr>
          <w:rFonts w:ascii="Arial" w:eastAsia="Times New Roman" w:hAnsi="Arial"/>
          <w:b w:val="0"/>
          <w:bCs w:val="0"/>
          <w:i w:val="0"/>
          <w:iCs w:val="0"/>
          <w:color w:val="000000"/>
        </w:rPr>
      </w:pPr>
      <w:r w:rsidRPr="00636F80">
        <w:rPr>
          <w:rFonts w:ascii="Arial" w:eastAsia="Times New Roman" w:hAnsi="Arial"/>
          <w:b w:val="0"/>
          <w:bCs w:val="0"/>
          <w:i w:val="0"/>
          <w:iCs w:val="0"/>
          <w:color w:val="000000"/>
        </w:rPr>
        <w:t xml:space="preserve">It is proposed that </w:t>
      </w:r>
      <w:r>
        <w:rPr>
          <w:rFonts w:ascii="Arial" w:eastAsia="Times New Roman" w:hAnsi="Arial"/>
          <w:b w:val="0"/>
          <w:bCs w:val="0"/>
          <w:i w:val="0"/>
          <w:iCs w:val="0"/>
          <w:color w:val="000000"/>
        </w:rPr>
        <w:t xml:space="preserve">for the period up until and including 30 September 2021, </w:t>
      </w:r>
      <w:r w:rsidR="0045324C">
        <w:rPr>
          <w:rFonts w:ascii="Arial" w:eastAsia="Times New Roman" w:hAnsi="Arial"/>
          <w:b w:val="0"/>
          <w:bCs w:val="0"/>
          <w:i w:val="0"/>
          <w:iCs w:val="0"/>
          <w:color w:val="000000"/>
        </w:rPr>
        <w:t xml:space="preserve">the NTS Optional Charge </w:t>
      </w:r>
      <w:r>
        <w:rPr>
          <w:rFonts w:ascii="Arial" w:eastAsia="Times New Roman" w:hAnsi="Arial"/>
          <w:b w:val="0"/>
          <w:bCs w:val="0"/>
          <w:i w:val="0"/>
          <w:iCs w:val="0"/>
          <w:color w:val="000000"/>
        </w:rPr>
        <w:t xml:space="preserve">is available as an alternative to the flow based Transmission Services Revenue Recovery charges (entry and exit). </w:t>
      </w:r>
      <w:r w:rsidR="0045324C">
        <w:rPr>
          <w:rFonts w:ascii="Arial" w:eastAsia="Times New Roman" w:hAnsi="Arial"/>
          <w:b w:val="0"/>
          <w:bCs w:val="0"/>
          <w:i w:val="0"/>
          <w:iCs w:val="0"/>
          <w:color w:val="000000"/>
        </w:rPr>
        <w:t xml:space="preserve">The principles that underpin the NTS Optional Charge will take into consideration those items referred to in paragraphs 3.25 to 3.28. </w:t>
      </w:r>
    </w:p>
    <w:p w14:paraId="74786B02" w14:textId="1435A167" w:rsidR="00512985" w:rsidRDefault="0045324C" w:rsidP="00512985">
      <w:pPr>
        <w:pStyle w:val="Heading4"/>
        <w:keepLines w:val="0"/>
        <w:numPr>
          <w:ilvl w:val="0"/>
          <w:numId w:val="0"/>
        </w:numPr>
        <w:spacing w:before="240"/>
        <w:rPr>
          <w:rFonts w:ascii="Arial" w:eastAsia="Times New Roman" w:hAnsi="Arial"/>
          <w:b w:val="0"/>
          <w:bCs w:val="0"/>
          <w:i w:val="0"/>
          <w:iCs w:val="0"/>
          <w:color w:val="000000"/>
        </w:rPr>
      </w:pPr>
      <w:r w:rsidRPr="0045324C">
        <w:rPr>
          <w:rFonts w:ascii="Arial" w:eastAsia="Times New Roman" w:hAnsi="Arial"/>
          <w:b w:val="0"/>
          <w:bCs w:val="0"/>
          <w:i w:val="0"/>
          <w:iCs w:val="0"/>
          <w:color w:val="000000"/>
        </w:rPr>
        <w:t xml:space="preserve">The method of updating the NTS Optional Charge for the relevant year </w:t>
      </w:r>
      <w:r w:rsidR="00E1252A">
        <w:rPr>
          <w:rFonts w:ascii="Arial" w:eastAsia="Times New Roman" w:hAnsi="Arial"/>
          <w:b w:val="0"/>
          <w:bCs w:val="0"/>
          <w:i w:val="0"/>
          <w:iCs w:val="0"/>
          <w:color w:val="000000"/>
        </w:rPr>
        <w:t xml:space="preserve">in the transition period will be </w:t>
      </w:r>
      <w:r w:rsidRPr="0045324C">
        <w:rPr>
          <w:rFonts w:ascii="Arial" w:eastAsia="Times New Roman" w:hAnsi="Arial"/>
          <w:b w:val="0"/>
          <w:bCs w:val="0"/>
          <w:i w:val="0"/>
          <w:iCs w:val="0"/>
          <w:color w:val="000000"/>
        </w:rPr>
        <w:t>to follow the following formula structure</w:t>
      </w:r>
      <w:r w:rsidR="00E1252A">
        <w:rPr>
          <w:rFonts w:ascii="Arial" w:eastAsia="Times New Roman" w:hAnsi="Arial"/>
          <w:b w:val="0"/>
          <w:bCs w:val="0"/>
          <w:i w:val="0"/>
          <w:iCs w:val="0"/>
          <w:color w:val="000000"/>
        </w:rPr>
        <w:t xml:space="preserve"> and indexation approach to provide an updated formula to be applicable in the relevant year</w:t>
      </w:r>
      <w:r w:rsidR="004E169D">
        <w:rPr>
          <w:rFonts w:ascii="Arial" w:eastAsia="Times New Roman" w:hAnsi="Arial"/>
          <w:b w:val="0"/>
          <w:bCs w:val="0"/>
          <w:i w:val="0"/>
          <w:iCs w:val="0"/>
          <w:color w:val="000000"/>
        </w:rPr>
        <w:t>.</w:t>
      </w:r>
    </w:p>
    <w:p w14:paraId="3932CB00" w14:textId="71727234" w:rsidR="004E169D" w:rsidRPr="009C5B9B" w:rsidRDefault="004E169D" w:rsidP="009C5B9B">
      <w:pPr>
        <w:ind w:left="567"/>
      </w:pPr>
      <w:r>
        <w:t>Formula Structure to apply whilst NTS Optional Charge is applicable as an alternative to the flow based Transmission Services Revenue Recovery charges:</w:t>
      </w:r>
    </w:p>
    <w:p w14:paraId="12CA69F9" w14:textId="51553C83" w:rsidR="00512985" w:rsidRPr="00FD29C5" w:rsidRDefault="001A72C2" w:rsidP="00512985">
      <w:pPr>
        <w:ind w:left="567"/>
        <w:rPr>
          <w:color w:val="000000"/>
        </w:rPr>
      </w:pPr>
      <w:r w:rsidRPr="00FD29C5">
        <w:rPr>
          <w:b/>
          <w:bCs/>
          <w:i/>
          <w:iCs/>
          <w:color w:val="000000"/>
        </w:rPr>
        <w:t>2086.59</w:t>
      </w:r>
      <w:r w:rsidRPr="00FD29C5">
        <w:rPr>
          <w:bCs/>
          <w:i/>
          <w:iCs/>
          <w:color w:val="000000"/>
        </w:rPr>
        <w:t>*(M^</w:t>
      </w:r>
      <w:r w:rsidRPr="00FD29C5">
        <w:rPr>
          <w:b/>
          <w:bCs/>
          <w:i/>
          <w:iCs/>
          <w:color w:val="000000"/>
        </w:rPr>
        <w:t>-0.835</w:t>
      </w:r>
      <w:r w:rsidRPr="00FD29C5">
        <w:rPr>
          <w:bCs/>
          <w:i/>
          <w:iCs/>
          <w:color w:val="000000"/>
        </w:rPr>
        <w:t xml:space="preserve">)*D + </w:t>
      </w:r>
      <w:r w:rsidRPr="00FD29C5">
        <w:rPr>
          <w:b/>
          <w:bCs/>
          <w:i/>
          <w:iCs/>
          <w:color w:val="000000"/>
        </w:rPr>
        <w:t>610.70</w:t>
      </w:r>
      <w:r w:rsidRPr="00FD29C5">
        <w:rPr>
          <w:bCs/>
          <w:i/>
          <w:iCs/>
          <w:color w:val="000000"/>
        </w:rPr>
        <w:t>*(M^</w:t>
      </w:r>
      <w:r w:rsidRPr="00FD29C5">
        <w:rPr>
          <w:b/>
          <w:bCs/>
          <w:i/>
          <w:iCs/>
          <w:color w:val="000000"/>
        </w:rPr>
        <w:t>-0.654</w:t>
      </w:r>
      <w:r w:rsidRPr="00FD29C5">
        <w:rPr>
          <w:bCs/>
          <w:i/>
          <w:iCs/>
          <w:color w:val="000000"/>
        </w:rPr>
        <w:t xml:space="preserve">) </w:t>
      </w:r>
      <w:r w:rsidR="00512985" w:rsidRPr="00FD29C5">
        <w:rPr>
          <w:color w:val="000000"/>
        </w:rPr>
        <w:t>where:</w:t>
      </w:r>
    </w:p>
    <w:p w14:paraId="7A502DF3" w14:textId="77777777" w:rsidR="00512985" w:rsidRPr="00636F80" w:rsidRDefault="00512985" w:rsidP="00512985">
      <w:pPr>
        <w:ind w:left="567"/>
        <w:rPr>
          <w:color w:val="000000"/>
        </w:rPr>
      </w:pPr>
      <w:r w:rsidRPr="00636F80">
        <w:rPr>
          <w:color w:val="000000"/>
        </w:rPr>
        <w:t xml:space="preserve">D means the direct </w:t>
      </w:r>
      <w:r>
        <w:rPr>
          <w:color w:val="000000"/>
        </w:rPr>
        <w:t xml:space="preserve">(‘as the crow flies’) </w:t>
      </w:r>
      <w:r w:rsidRPr="00636F80">
        <w:rPr>
          <w:color w:val="000000"/>
        </w:rPr>
        <w:t>distance from the site or non-National Grid NTS pipeline to the Specified Entry Point in km (up to a maximum distance of 60km);</w:t>
      </w:r>
    </w:p>
    <w:p w14:paraId="70FFC1D4" w14:textId="77777777" w:rsidR="00512985" w:rsidRPr="00636F80" w:rsidRDefault="00512985" w:rsidP="00512985">
      <w:pPr>
        <w:ind w:left="567"/>
        <w:rPr>
          <w:color w:val="000000"/>
        </w:rPr>
      </w:pPr>
      <w:r w:rsidRPr="00636F80">
        <w:rPr>
          <w:color w:val="000000"/>
        </w:rPr>
        <w:t>M means the Maximum NTS Exit Point Offtake Rate (MNEPOR) converted into kWh/day at the site as specified in the relevant Network Exit Agreement; and</w:t>
      </w:r>
    </w:p>
    <w:p w14:paraId="1EBBDA47" w14:textId="77777777" w:rsidR="00512985" w:rsidRDefault="00512985" w:rsidP="00512985">
      <w:pPr>
        <w:ind w:left="567"/>
        <w:rPr>
          <w:color w:val="000000"/>
        </w:rPr>
      </w:pPr>
      <w:r w:rsidRPr="00636F80">
        <w:rPr>
          <w:color w:val="000000"/>
        </w:rPr>
        <w:t>^ means to the power of</w:t>
      </w:r>
    </w:p>
    <w:p w14:paraId="60F240B8" w14:textId="6454A44B" w:rsidR="00925E82" w:rsidRDefault="00925E82" w:rsidP="00512985">
      <w:pPr>
        <w:rPr>
          <w:color w:val="000000"/>
        </w:rPr>
      </w:pPr>
      <w:r>
        <w:rPr>
          <w:color w:val="000000"/>
        </w:rPr>
        <w:t xml:space="preserve">Indexation approach: </w:t>
      </w:r>
    </w:p>
    <w:p w14:paraId="27B19DCD" w14:textId="0783AFE1" w:rsidR="00512985" w:rsidRPr="00A234D7" w:rsidRDefault="00512985" w:rsidP="009C5B9B">
      <w:pPr>
        <w:ind w:left="567"/>
        <w:rPr>
          <w:color w:val="000000"/>
        </w:rPr>
      </w:pPr>
      <w:r>
        <w:rPr>
          <w:color w:val="000000"/>
        </w:rPr>
        <w:t xml:space="preserve">It is proposed that the estimated costs (of </w:t>
      </w:r>
      <w:r w:rsidRPr="00D7155C">
        <w:rPr>
          <w:color w:val="000000"/>
        </w:rPr>
        <w:t>laying and operating a dedicated pipeline of NTS specification</w:t>
      </w:r>
      <w:r>
        <w:rPr>
          <w:color w:val="000000"/>
        </w:rPr>
        <w:t>) which underpin the calculation that derives the four numeric values in bold above (which are based on costs for the gas Year commencing 1</w:t>
      </w:r>
      <w:r w:rsidRPr="00636F80">
        <w:rPr>
          <w:color w:val="000000"/>
          <w:vertAlign w:val="superscript"/>
        </w:rPr>
        <w:t>st</w:t>
      </w:r>
      <w:r>
        <w:rPr>
          <w:color w:val="000000"/>
        </w:rPr>
        <w:t xml:space="preserve"> October 2017) are subject to indexation to the Retail Prices Index for the relevant charge period consistent with RIIO-T1 Licence RPI calculations. It is proposed that the updated formula for the relevant year (within the period for which the </w:t>
      </w:r>
      <w:r w:rsidR="00C04DBD">
        <w:rPr>
          <w:color w:val="000000"/>
        </w:rPr>
        <w:t xml:space="preserve">NTS Optional charge is applicable as an alternative to the flow based Transmission Services Revenue Recovery charges </w:t>
      </w:r>
      <w:r>
        <w:rPr>
          <w:color w:val="000000"/>
        </w:rPr>
        <w:t xml:space="preserve">i.e. up to 30 September 2021) are specified in the Transportation Statement.   </w:t>
      </w:r>
    </w:p>
    <w:p w14:paraId="63FF8A4D" w14:textId="77777777" w:rsidR="00512985" w:rsidRPr="00636F80" w:rsidRDefault="00512985" w:rsidP="00512985">
      <w:pPr>
        <w:pStyle w:val="Heading4"/>
        <w:keepLines w:val="0"/>
        <w:numPr>
          <w:ilvl w:val="0"/>
          <w:numId w:val="0"/>
        </w:numPr>
        <w:spacing w:before="240"/>
        <w:rPr>
          <w:rFonts w:ascii="Arial" w:eastAsia="Times New Roman" w:hAnsi="Arial"/>
          <w:b w:val="0"/>
          <w:bCs w:val="0"/>
          <w:i w:val="0"/>
          <w:iCs w:val="0"/>
          <w:color w:val="000000"/>
        </w:rPr>
      </w:pPr>
      <w:r>
        <w:rPr>
          <w:rFonts w:ascii="Arial" w:eastAsia="Times New Roman" w:hAnsi="Arial"/>
          <w:b w:val="0"/>
          <w:bCs w:val="0"/>
          <w:i w:val="0"/>
          <w:iCs w:val="0"/>
          <w:color w:val="000000"/>
        </w:rPr>
        <w:lastRenderedPageBreak/>
        <w:t xml:space="preserve">   </w:t>
      </w:r>
      <w:r w:rsidRPr="00636F80">
        <w:rPr>
          <w:rFonts w:ascii="Arial" w:eastAsia="Times New Roman" w:hAnsi="Arial"/>
          <w:b w:val="0"/>
          <w:bCs w:val="0"/>
          <w:i w:val="0"/>
          <w:iCs w:val="0"/>
          <w:color w:val="000000"/>
        </w:rPr>
        <w:t xml:space="preserve"> </w:t>
      </w:r>
    </w:p>
    <w:p w14:paraId="5D699B17" w14:textId="77777777" w:rsidR="00512985" w:rsidRPr="00D1570A" w:rsidRDefault="00512985" w:rsidP="00512985">
      <w:pPr>
        <w:pStyle w:val="Heading4"/>
        <w:keepLines w:val="0"/>
        <w:numPr>
          <w:ilvl w:val="0"/>
          <w:numId w:val="0"/>
        </w:numPr>
        <w:spacing w:before="240"/>
        <w:rPr>
          <w:rFonts w:cs="Arial"/>
        </w:rPr>
      </w:pPr>
      <w:r w:rsidRPr="00D1570A">
        <w:rPr>
          <w:rFonts w:ascii="Arial" w:eastAsia="Times New Roman" w:hAnsi="Arial" w:cs="Arial"/>
          <w:i w:val="0"/>
          <w:iCs w:val="0"/>
          <w:color w:val="008576"/>
          <w:sz w:val="24"/>
          <w:szCs w:val="28"/>
        </w:rPr>
        <w:t>Existing Contracts</w:t>
      </w:r>
      <w:r>
        <w:rPr>
          <w:rFonts w:ascii="Arial" w:eastAsia="Times New Roman" w:hAnsi="Arial" w:cs="Arial"/>
          <w:i w:val="0"/>
          <w:iCs w:val="0"/>
          <w:color w:val="008576"/>
          <w:sz w:val="24"/>
          <w:szCs w:val="28"/>
        </w:rPr>
        <w:t xml:space="preserve"> (EC) and Interim Contracts (IC) (see para 3.23 in section 3)</w:t>
      </w:r>
    </w:p>
    <w:p w14:paraId="51C6A622" w14:textId="4DFF5344" w:rsidR="00512985" w:rsidRDefault="00512985" w:rsidP="00266836">
      <w:pPr>
        <w:pStyle w:val="Default"/>
        <w:spacing w:before="120" w:after="120" w:line="300" w:lineRule="atLeast"/>
        <w:rPr>
          <w:rFonts w:eastAsia="Times New Roman" w:cs="Times New Roman"/>
          <w:sz w:val="20"/>
        </w:rPr>
      </w:pPr>
      <w:r>
        <w:rPr>
          <w:rFonts w:eastAsia="Times New Roman" w:cs="Times New Roman"/>
          <w:sz w:val="20"/>
        </w:rPr>
        <w:t xml:space="preserve">It is proposed that </w:t>
      </w:r>
      <w:r w:rsidRPr="00800308">
        <w:rPr>
          <w:rFonts w:eastAsia="Times New Roman" w:cs="Times New Roman"/>
          <w:sz w:val="20"/>
        </w:rPr>
        <w:t xml:space="preserve">before the </w:t>
      </w:r>
      <w:r>
        <w:rPr>
          <w:rFonts w:eastAsia="Times New Roman" w:cs="Times New Roman"/>
          <w:sz w:val="20"/>
        </w:rPr>
        <w:t>Base R</w:t>
      </w:r>
      <w:r w:rsidRPr="00800308">
        <w:rPr>
          <w:rFonts w:eastAsia="Times New Roman" w:cs="Times New Roman"/>
          <w:sz w:val="20"/>
        </w:rPr>
        <w:t xml:space="preserve">eference </w:t>
      </w:r>
      <w:r>
        <w:rPr>
          <w:rFonts w:eastAsia="Times New Roman" w:cs="Times New Roman"/>
          <w:sz w:val="20"/>
        </w:rPr>
        <w:t>P</w:t>
      </w:r>
      <w:r w:rsidRPr="00800308">
        <w:rPr>
          <w:rFonts w:eastAsia="Times New Roman" w:cs="Times New Roman"/>
          <w:sz w:val="20"/>
        </w:rPr>
        <w:t>rices are calculated</w:t>
      </w:r>
      <w:r>
        <w:rPr>
          <w:rFonts w:eastAsia="Times New Roman" w:cs="Times New Roman"/>
          <w:sz w:val="20"/>
        </w:rPr>
        <w:t>, in respect of Existing Contracts [and Interim Contracts]:</w:t>
      </w:r>
      <w:r w:rsidRPr="004F653C">
        <w:rPr>
          <w:rFonts w:eastAsia="Times New Roman" w:cs="Times New Roman"/>
          <w:sz w:val="20"/>
        </w:rPr>
        <w:t xml:space="preserve"> </w:t>
      </w:r>
    </w:p>
    <w:p w14:paraId="4CE0523F" w14:textId="77777777" w:rsidR="00512985" w:rsidRDefault="00512985" w:rsidP="00BD3FB5">
      <w:pPr>
        <w:pStyle w:val="Default"/>
        <w:numPr>
          <w:ilvl w:val="0"/>
          <w:numId w:val="28"/>
        </w:numPr>
        <w:spacing w:before="120" w:after="120" w:line="300" w:lineRule="atLeast"/>
        <w:rPr>
          <w:rFonts w:eastAsia="Times New Roman" w:cs="Times New Roman"/>
          <w:sz w:val="20"/>
        </w:rPr>
      </w:pPr>
      <w:r>
        <w:rPr>
          <w:rFonts w:eastAsia="Times New Roman" w:cs="Times New Roman"/>
          <w:sz w:val="20"/>
        </w:rPr>
        <w:t xml:space="preserve">the Entry Capacity booked </w:t>
      </w:r>
      <w:r w:rsidRPr="004F653C">
        <w:rPr>
          <w:rFonts w:eastAsia="Times New Roman" w:cs="Times New Roman"/>
          <w:sz w:val="20"/>
        </w:rPr>
        <w:t xml:space="preserve">will be removed from </w:t>
      </w:r>
      <w:r>
        <w:rPr>
          <w:rFonts w:eastAsia="Times New Roman" w:cs="Times New Roman"/>
          <w:sz w:val="20"/>
        </w:rPr>
        <w:t xml:space="preserve">the </w:t>
      </w:r>
      <w:r w:rsidRPr="004F653C">
        <w:rPr>
          <w:rFonts w:eastAsia="Times New Roman" w:cs="Times New Roman"/>
          <w:sz w:val="20"/>
        </w:rPr>
        <w:t xml:space="preserve">Entry </w:t>
      </w:r>
      <w:r>
        <w:rPr>
          <w:rFonts w:eastAsia="Times New Roman" w:cs="Times New Roman"/>
          <w:sz w:val="20"/>
        </w:rPr>
        <w:t>C</w:t>
      </w:r>
      <w:r w:rsidRPr="004F653C">
        <w:rPr>
          <w:rFonts w:eastAsia="Times New Roman" w:cs="Times New Roman"/>
          <w:sz w:val="20"/>
        </w:rPr>
        <w:t>apacity input into the CWD model</w:t>
      </w:r>
      <w:r>
        <w:rPr>
          <w:rFonts w:eastAsia="Times New Roman" w:cs="Times New Roman"/>
          <w:sz w:val="20"/>
        </w:rPr>
        <w:t xml:space="preserve">; </w:t>
      </w:r>
      <w:r w:rsidRPr="004F653C">
        <w:rPr>
          <w:rFonts w:eastAsia="Times New Roman" w:cs="Times New Roman"/>
          <w:sz w:val="20"/>
        </w:rPr>
        <w:t xml:space="preserve">and </w:t>
      </w:r>
    </w:p>
    <w:p w14:paraId="54C02A4E" w14:textId="77777777" w:rsidR="00512985" w:rsidRDefault="00512985" w:rsidP="00BD3FB5">
      <w:pPr>
        <w:pStyle w:val="Default"/>
        <w:numPr>
          <w:ilvl w:val="0"/>
          <w:numId w:val="28"/>
        </w:numPr>
        <w:spacing w:before="120" w:after="120" w:line="300" w:lineRule="atLeast"/>
        <w:rPr>
          <w:rFonts w:eastAsia="Times New Roman" w:cs="Times New Roman"/>
          <w:sz w:val="20"/>
        </w:rPr>
      </w:pPr>
      <w:r>
        <w:rPr>
          <w:rFonts w:eastAsia="Times New Roman" w:cs="Times New Roman"/>
          <w:sz w:val="20"/>
        </w:rPr>
        <w:t xml:space="preserve">the Entry Revenue will be removed from </w:t>
      </w:r>
      <w:r w:rsidRPr="004F653C">
        <w:rPr>
          <w:rFonts w:eastAsia="Times New Roman" w:cs="Times New Roman"/>
          <w:sz w:val="20"/>
        </w:rPr>
        <w:t xml:space="preserve">the Entry Target Revenue </w:t>
      </w:r>
      <w:r>
        <w:rPr>
          <w:rFonts w:eastAsia="Times New Roman" w:cs="Times New Roman"/>
          <w:sz w:val="20"/>
        </w:rPr>
        <w:t xml:space="preserve">input into the </w:t>
      </w:r>
      <w:r w:rsidRPr="004F653C">
        <w:rPr>
          <w:rFonts w:eastAsia="Times New Roman" w:cs="Times New Roman"/>
          <w:sz w:val="20"/>
        </w:rPr>
        <w:t xml:space="preserve">CWD </w:t>
      </w:r>
      <w:r>
        <w:rPr>
          <w:rFonts w:eastAsia="Times New Roman" w:cs="Times New Roman"/>
          <w:sz w:val="20"/>
        </w:rPr>
        <w:t xml:space="preserve">model </w:t>
      </w:r>
    </w:p>
    <w:p w14:paraId="6B23CFFE" w14:textId="77777777" w:rsidR="00512985" w:rsidRDefault="00512985" w:rsidP="00512985">
      <w:pPr>
        <w:pStyle w:val="Default"/>
        <w:spacing w:before="120" w:after="120" w:line="300" w:lineRule="atLeast"/>
        <w:rPr>
          <w:rFonts w:eastAsia="Times New Roman" w:cs="Times New Roman"/>
          <w:sz w:val="20"/>
        </w:rPr>
      </w:pPr>
      <w:r>
        <w:rPr>
          <w:rFonts w:eastAsia="Times New Roman" w:cs="Times New Roman"/>
          <w:sz w:val="20"/>
        </w:rPr>
        <w:t>It is proposed that [application of Existing and Interim Contracts in Transmission Services Revenue Recovery Charges]</w:t>
      </w:r>
    </w:p>
    <w:p w14:paraId="57EF456C" w14:textId="77777777" w:rsidR="00512985" w:rsidRPr="008E5E93" w:rsidRDefault="00512985" w:rsidP="00512985"/>
    <w:p w14:paraId="11472DB5" w14:textId="77777777" w:rsidR="00512985" w:rsidRPr="006D031E" w:rsidRDefault="00512985" w:rsidP="00512985">
      <w:pPr>
        <w:pStyle w:val="Heading4"/>
        <w:keepLines w:val="0"/>
        <w:numPr>
          <w:ilvl w:val="0"/>
          <w:numId w:val="0"/>
        </w:numPr>
        <w:spacing w:before="240"/>
        <w:rPr>
          <w:rFonts w:ascii="Arial" w:eastAsia="Times New Roman" w:hAnsi="Arial" w:cs="Arial"/>
          <w:i w:val="0"/>
          <w:iCs w:val="0"/>
          <w:color w:val="008576"/>
          <w:sz w:val="24"/>
          <w:szCs w:val="28"/>
          <w:u w:val="single"/>
        </w:rPr>
      </w:pPr>
      <w:r w:rsidRPr="006D031E">
        <w:rPr>
          <w:rFonts w:ascii="Arial" w:eastAsia="Times New Roman" w:hAnsi="Arial" w:cs="Arial"/>
          <w:i w:val="0"/>
          <w:iCs w:val="0"/>
          <w:color w:val="008576"/>
          <w:sz w:val="24"/>
          <w:szCs w:val="28"/>
          <w:u w:val="single"/>
        </w:rPr>
        <w:t>Non-Transmission Services Charging</w:t>
      </w:r>
    </w:p>
    <w:p w14:paraId="72B13AB0" w14:textId="77777777" w:rsidR="00512985" w:rsidRDefault="00512985" w:rsidP="00512985">
      <w:pPr>
        <w:rPr>
          <w:rFonts w:cs="Arial"/>
        </w:rPr>
      </w:pPr>
      <w:r>
        <w:rPr>
          <w:rFonts w:cs="Arial"/>
        </w:rPr>
        <w:t>It is proposed that revenue due for collection via N</w:t>
      </w:r>
      <w:r w:rsidRPr="002E443A">
        <w:rPr>
          <w:rFonts w:cs="Arial"/>
        </w:rPr>
        <w:t>on</w:t>
      </w:r>
      <w:r>
        <w:rPr>
          <w:rFonts w:cs="Arial"/>
        </w:rPr>
        <w:t>-</w:t>
      </w:r>
      <w:r w:rsidRPr="002E443A">
        <w:rPr>
          <w:rFonts w:cs="Arial"/>
        </w:rPr>
        <w:t>Transmission Services</w:t>
      </w:r>
      <w:r>
        <w:rPr>
          <w:rFonts w:cs="Arial"/>
        </w:rPr>
        <w:t xml:space="preserve"> Entry and Exit </w:t>
      </w:r>
      <w:r w:rsidRPr="002E443A">
        <w:rPr>
          <w:rFonts w:cs="Arial"/>
        </w:rPr>
        <w:t>Charge</w:t>
      </w:r>
      <w:r>
        <w:rPr>
          <w:rFonts w:cs="Arial"/>
        </w:rPr>
        <w:t xml:space="preserve">s will be equal to the </w:t>
      </w:r>
      <w:r w:rsidRPr="002E443A">
        <w:rPr>
          <w:rFonts w:cs="Arial"/>
        </w:rPr>
        <w:t xml:space="preserve">Non-Transmission Services revenue </w:t>
      </w:r>
      <w:r>
        <w:rPr>
          <w:rFonts w:cs="Arial"/>
        </w:rPr>
        <w:t xml:space="preserve">minus the </w:t>
      </w:r>
      <w:r w:rsidRPr="002E443A">
        <w:rPr>
          <w:rFonts w:cs="Arial"/>
        </w:rPr>
        <w:t>DN Pensions</w:t>
      </w:r>
      <w:r>
        <w:rPr>
          <w:rFonts w:cs="Arial"/>
        </w:rPr>
        <w:t xml:space="preserve"> Charges</w:t>
      </w:r>
      <w:r w:rsidRPr="002E443A">
        <w:rPr>
          <w:rFonts w:cs="Arial"/>
        </w:rPr>
        <w:t xml:space="preserve">, </w:t>
      </w:r>
      <w:r>
        <w:rPr>
          <w:rFonts w:cs="Arial"/>
        </w:rPr>
        <w:t xml:space="preserve">NTS </w:t>
      </w:r>
      <w:r w:rsidRPr="002E443A">
        <w:rPr>
          <w:rFonts w:cs="Arial"/>
        </w:rPr>
        <w:t>Meter Maintenance</w:t>
      </w:r>
      <w:r>
        <w:rPr>
          <w:rFonts w:cs="Arial"/>
        </w:rPr>
        <w:t xml:space="preserve"> Charges </w:t>
      </w:r>
      <w:r w:rsidRPr="002E443A">
        <w:rPr>
          <w:rFonts w:cs="Arial"/>
        </w:rPr>
        <w:t xml:space="preserve">and the St. Fergus </w:t>
      </w:r>
      <w:r>
        <w:rPr>
          <w:rFonts w:cs="Arial"/>
        </w:rPr>
        <w:t xml:space="preserve">Compressor Charges </w:t>
      </w:r>
    </w:p>
    <w:p w14:paraId="14256C26" w14:textId="77777777" w:rsidR="00512985" w:rsidRDefault="00512985" w:rsidP="00512985">
      <w:r>
        <w:rPr>
          <w:rFonts w:cs="Arial"/>
        </w:rPr>
        <w:t xml:space="preserve">The </w:t>
      </w:r>
      <w:r w:rsidRPr="002E443A">
        <w:rPr>
          <w:rFonts w:cs="Arial"/>
        </w:rPr>
        <w:t>revenue due for collection via Non-Transmission Services Entry and Exit Charges</w:t>
      </w:r>
      <w:r w:rsidRPr="00D1570A">
        <w:t xml:space="preserve"> </w:t>
      </w:r>
      <w:r>
        <w:t>will</w:t>
      </w:r>
      <w:r w:rsidRPr="00D1570A">
        <w:t xml:space="preserve"> be recovered through a flow based charge as a flat unit price for all </w:t>
      </w:r>
      <w:r>
        <w:t xml:space="preserve">Entry Points and Exit Points. </w:t>
      </w:r>
    </w:p>
    <w:p w14:paraId="7AB2AB2B" w14:textId="77777777" w:rsidR="00512985" w:rsidRPr="00D1570A" w:rsidRDefault="00512985" w:rsidP="00512985">
      <w:r>
        <w:t>It is proposed that this is applied to all flows excluding Storage flows unless it is flowed as “own use” gas at the Storage point.</w:t>
      </w:r>
    </w:p>
    <w:p w14:paraId="335D87C2" w14:textId="77777777" w:rsidR="00512985" w:rsidRPr="00D1570A" w:rsidRDefault="00512985" w:rsidP="00512985">
      <w:pPr>
        <w:rPr>
          <w:rFonts w:cs="Arial"/>
        </w:rPr>
      </w:pPr>
      <w:r>
        <w:rPr>
          <w:rFonts w:cs="Arial"/>
        </w:rPr>
        <w:t xml:space="preserve">The </w:t>
      </w:r>
      <w:r w:rsidRPr="00D1570A">
        <w:rPr>
          <w:rFonts w:cs="Arial"/>
        </w:rPr>
        <w:t>Non-Transmission Services charge will be produced in p/kWh</w:t>
      </w:r>
      <w:r>
        <w:rPr>
          <w:rFonts w:cs="Arial"/>
        </w:rPr>
        <w:t>.</w:t>
      </w:r>
    </w:p>
    <w:p w14:paraId="262DF020" w14:textId="77777777" w:rsidR="00512985" w:rsidRPr="006D031E" w:rsidRDefault="00512985" w:rsidP="00512985"/>
    <w:p w14:paraId="4B61BC83" w14:textId="77777777" w:rsidR="00512985" w:rsidRPr="006D031E" w:rsidRDefault="00512985" w:rsidP="00512985">
      <w:pPr>
        <w:pStyle w:val="Heading4"/>
        <w:keepLines w:val="0"/>
        <w:numPr>
          <w:ilvl w:val="0"/>
          <w:numId w:val="0"/>
        </w:numPr>
        <w:spacing w:before="240"/>
        <w:rPr>
          <w:rFonts w:ascii="Arial" w:eastAsia="Times New Roman" w:hAnsi="Arial" w:cs="Arial"/>
          <w:i w:val="0"/>
          <w:iCs w:val="0"/>
          <w:color w:val="008576"/>
          <w:sz w:val="24"/>
          <w:szCs w:val="28"/>
          <w:u w:val="single"/>
        </w:rPr>
      </w:pPr>
      <w:r w:rsidRPr="006D031E">
        <w:rPr>
          <w:rFonts w:ascii="Arial" w:eastAsia="Times New Roman" w:hAnsi="Arial" w:cs="Arial"/>
          <w:i w:val="0"/>
          <w:iCs w:val="0"/>
          <w:color w:val="008576"/>
          <w:sz w:val="24"/>
          <w:szCs w:val="28"/>
          <w:u w:val="single"/>
        </w:rPr>
        <w:t>Treatment of under/over recovery (K) – after each formula year</w:t>
      </w:r>
    </w:p>
    <w:p w14:paraId="7F89D2F7" w14:textId="77777777" w:rsidR="00512985" w:rsidRDefault="00512985" w:rsidP="00512985">
      <w:pPr>
        <w:rPr>
          <w:rFonts w:cs="Arial"/>
        </w:rPr>
      </w:pPr>
      <w:r>
        <w:rPr>
          <w:rFonts w:cs="Arial"/>
        </w:rPr>
        <w:t>It is proposed that a</w:t>
      </w:r>
      <w:r w:rsidRPr="00D1570A">
        <w:rPr>
          <w:rFonts w:cs="Arial"/>
        </w:rPr>
        <w:t xml:space="preserve"> separate under or over revenue recovery (otherwise known as the “K” value) will be calculated for Transmission Services and Non-Transmission Services</w:t>
      </w:r>
      <w:r>
        <w:rPr>
          <w:rFonts w:cs="Arial"/>
        </w:rPr>
        <w:t xml:space="preserve"> for the formula year</w:t>
      </w:r>
      <w:r w:rsidRPr="00D1570A">
        <w:rPr>
          <w:rFonts w:cs="Arial"/>
        </w:rPr>
        <w:t xml:space="preserve">. This will be different to the TO and SO “K” values however the principle of reconciling Transmission Entry and Exit revenues separately will remain. </w:t>
      </w:r>
    </w:p>
    <w:p w14:paraId="656F44B7" w14:textId="77777777" w:rsidR="00512985" w:rsidRPr="00D1570A" w:rsidRDefault="00512985" w:rsidP="00512985">
      <w:pPr>
        <w:rPr>
          <w:rFonts w:cs="Arial"/>
        </w:rPr>
      </w:pPr>
      <w:r>
        <w:rPr>
          <w:rFonts w:cs="Arial"/>
        </w:rPr>
        <w:t xml:space="preserve">It is proposed that the approach and calculation will be specified in the </w:t>
      </w:r>
      <w:r w:rsidRPr="00D1570A">
        <w:rPr>
          <w:rFonts w:cs="Arial"/>
        </w:rPr>
        <w:t xml:space="preserve">UNC, to be approved by </w:t>
      </w:r>
      <w:r>
        <w:rPr>
          <w:rFonts w:cs="Arial"/>
        </w:rPr>
        <w:t>Ofgem. In addition to Transmission and Non Transmission being reconciled this modification also proposes to have reconciliation</w:t>
      </w:r>
      <w:r w:rsidRPr="00D1570A">
        <w:rPr>
          <w:rFonts w:cs="Arial"/>
        </w:rPr>
        <w:t xml:space="preserve"> between </w:t>
      </w:r>
      <w:r>
        <w:rPr>
          <w:rFonts w:cs="Arial"/>
        </w:rPr>
        <w:t>Entry and Exit under</w:t>
      </w:r>
      <w:r w:rsidRPr="00D1570A">
        <w:rPr>
          <w:rFonts w:cs="Arial"/>
        </w:rPr>
        <w:t xml:space="preserve"> Transmission Services. </w:t>
      </w:r>
    </w:p>
    <w:p w14:paraId="78AC0B66" w14:textId="77777777" w:rsidR="00512985" w:rsidRDefault="00512985" w:rsidP="00512985">
      <w:pPr>
        <w:rPr>
          <w:rFonts w:cs="Arial"/>
          <w:b/>
          <w:i/>
        </w:rPr>
      </w:pPr>
    </w:p>
    <w:p w14:paraId="7B3E4FF9" w14:textId="77777777" w:rsidR="00512985" w:rsidRPr="00D1570A" w:rsidRDefault="00512985" w:rsidP="00512985">
      <w:pPr>
        <w:rPr>
          <w:rFonts w:cs="Arial"/>
          <w:b/>
          <w:i/>
        </w:rPr>
      </w:pPr>
      <w:r w:rsidRPr="00D1570A">
        <w:rPr>
          <w:rFonts w:cs="Arial"/>
          <w:b/>
          <w:i/>
        </w:rPr>
        <w:t>Transmission Services Revenue:</w:t>
      </w:r>
    </w:p>
    <w:p w14:paraId="208EF07B" w14:textId="77777777" w:rsidR="00512985" w:rsidRPr="00D1570A" w:rsidRDefault="00512985" w:rsidP="00512985">
      <w:pPr>
        <w:rPr>
          <w:rFonts w:cs="Arial"/>
        </w:rPr>
      </w:pPr>
      <w:r w:rsidRPr="00D1570A">
        <w:rPr>
          <w:rFonts w:cs="Arial"/>
        </w:rPr>
        <w:t xml:space="preserve">It is proposed to maintain 50/50 split between Entry and Exit (for the purposes of allocating revenues to the charges to recover Transmission Services Entry and Exit Revenues). It is also proposed to maintain the reconciliation of Entry and Exit for Transmission Services, </w:t>
      </w:r>
      <w:r>
        <w:rPr>
          <w:rFonts w:cs="Arial"/>
        </w:rPr>
        <w:t>as per</w:t>
      </w:r>
      <w:r w:rsidRPr="00D1570A">
        <w:rPr>
          <w:rFonts w:cs="Arial"/>
        </w:rPr>
        <w:t xml:space="preserve"> the current approach for TO charges. This would continue to mean that Entry and Exit, under Transmission Services, when reconciled would not result in Entry impacting Exit or vice versa. </w:t>
      </w:r>
    </w:p>
    <w:p w14:paraId="26AC5D40" w14:textId="77777777" w:rsidR="00512985" w:rsidRDefault="00512985" w:rsidP="00512985">
      <w:pPr>
        <w:rPr>
          <w:rFonts w:cs="Arial"/>
        </w:rPr>
      </w:pPr>
      <w:r w:rsidRPr="00D1570A">
        <w:rPr>
          <w:rFonts w:cs="Arial"/>
        </w:rPr>
        <w:t>The applicable years Transmission Service Revenue will be split 50:50 between revenue to collect on Entry Capacity charges and revenue to collect on Exit Capacity charges. This value will then be added to any under/over recovery (</w:t>
      </w:r>
      <w:r>
        <w:rPr>
          <w:rFonts w:cs="Arial"/>
        </w:rPr>
        <w:t xml:space="preserve">Transmission Services </w:t>
      </w:r>
      <w:r w:rsidRPr="00D1570A">
        <w:rPr>
          <w:rFonts w:cs="Arial"/>
        </w:rPr>
        <w:t xml:space="preserve">K value) which was calculated in y-2 (two years ago) </w:t>
      </w:r>
      <w:r w:rsidRPr="00D1570A">
        <w:rPr>
          <w:rFonts w:cs="Arial"/>
        </w:rPr>
        <w:lastRenderedPageBreak/>
        <w:t>and split between Entry and Exit in the correct proportion, to make the applicable revenue which will be used in the CWD model to calculate the capacity charges.</w:t>
      </w:r>
    </w:p>
    <w:p w14:paraId="3D822D6D" w14:textId="77777777" w:rsidR="00512985" w:rsidRDefault="00512985" w:rsidP="00512985">
      <w:pPr>
        <w:rPr>
          <w:rFonts w:cs="Arial"/>
        </w:rPr>
      </w:pPr>
    </w:p>
    <w:p w14:paraId="46158BE2" w14:textId="77777777" w:rsidR="00512985" w:rsidRPr="00C0479A" w:rsidRDefault="00512985" w:rsidP="00512985">
      <w:pPr>
        <w:rPr>
          <w:rFonts w:cs="Arial"/>
          <w:b/>
          <w:i/>
        </w:rPr>
      </w:pPr>
      <w:r w:rsidRPr="00C0479A">
        <w:rPr>
          <w:rFonts w:cs="Arial"/>
          <w:b/>
          <w:i/>
        </w:rPr>
        <w:t xml:space="preserve">Non Transmission Services Revenue: </w:t>
      </w:r>
    </w:p>
    <w:p w14:paraId="43A43C69" w14:textId="77777777" w:rsidR="00512985" w:rsidRDefault="00512985" w:rsidP="00512985">
      <w:pPr>
        <w:rPr>
          <w:rFonts w:cs="Arial"/>
        </w:rPr>
      </w:pPr>
      <w:r>
        <w:rPr>
          <w:rFonts w:cs="Arial"/>
        </w:rPr>
        <w:t xml:space="preserve">It is proposed that all those charges in respect of Non-Transmission Services shall contribute towards Non Transmission Services revenue recovery. All charges are set on an ex-ante basis. </w:t>
      </w:r>
    </w:p>
    <w:p w14:paraId="0EAE63C9" w14:textId="77777777" w:rsidR="00512985" w:rsidRDefault="00512985" w:rsidP="00512985">
      <w:pPr>
        <w:rPr>
          <w:rFonts w:cs="Arial"/>
        </w:rPr>
      </w:pPr>
      <w:r>
        <w:rPr>
          <w:rFonts w:cs="Arial"/>
        </w:rPr>
        <w:t>It is proposed that any under or over recovery attributed to the charges other than the Non-Transmission Services Entry and Exit Charge shall not be subject to reconciliation with any K value (Non Transmission Services K value) adjusting the Non Transmission Services Revenue recovery charge. Non Transmission Services revenue charge will be added to the Non Transmission Services K value which was calculated in y-2 (two years ago) which will be used to calculate the applicable years Non Transmission Services Revenue which will be used for calculation of the Non Transmission Services Charges.</w:t>
      </w:r>
    </w:p>
    <w:p w14:paraId="35CE28F3" w14:textId="77777777" w:rsidR="00512985" w:rsidRDefault="00512985" w:rsidP="00D96386">
      <w:pPr>
        <w:pStyle w:val="Heading4"/>
        <w:keepLines w:val="0"/>
        <w:numPr>
          <w:ilvl w:val="0"/>
          <w:numId w:val="0"/>
        </w:numPr>
        <w:spacing w:before="120"/>
        <w:rPr>
          <w:rFonts w:ascii="Arial" w:eastAsia="Cambria" w:hAnsi="Arial" w:cs="Arial"/>
          <w:b w:val="0"/>
          <w:bCs w:val="0"/>
          <w:i w:val="0"/>
          <w:iCs w:val="0"/>
          <w:color w:val="auto"/>
          <w:szCs w:val="20"/>
        </w:rPr>
      </w:pPr>
    </w:p>
    <w:p w14:paraId="4105B2B8" w14:textId="240B6D8D" w:rsidR="00512985" w:rsidRDefault="00DD02DB" w:rsidP="00D96386">
      <w:pPr>
        <w:pStyle w:val="Heading4"/>
        <w:keepLines w:val="0"/>
        <w:numPr>
          <w:ilvl w:val="0"/>
          <w:numId w:val="0"/>
        </w:numPr>
        <w:spacing w:before="120"/>
        <w:rPr>
          <w:rFonts w:ascii="Arial" w:eastAsia="Cambria" w:hAnsi="Arial" w:cs="Arial"/>
          <w:b w:val="0"/>
          <w:bCs w:val="0"/>
          <w:i w:val="0"/>
          <w:iCs w:val="0"/>
          <w:color w:val="auto"/>
          <w:szCs w:val="20"/>
        </w:rPr>
      </w:pPr>
      <w:r>
        <w:rPr>
          <w:rFonts w:ascii="Arial" w:eastAsia="Cambria" w:hAnsi="Arial" w:cs="Arial"/>
          <w:b w:val="0"/>
          <w:bCs w:val="0"/>
          <w:i w:val="0"/>
          <w:iCs w:val="0"/>
          <w:color w:val="auto"/>
          <w:szCs w:val="20"/>
        </w:rPr>
        <w:t>Features</w:t>
      </w:r>
      <w:r w:rsidR="000F4B25">
        <w:rPr>
          <w:rFonts w:ascii="Arial" w:eastAsia="Cambria" w:hAnsi="Arial" w:cs="Arial"/>
          <w:b w:val="0"/>
          <w:bCs w:val="0"/>
          <w:i w:val="0"/>
          <w:iCs w:val="0"/>
          <w:color w:val="auto"/>
          <w:szCs w:val="20"/>
        </w:rPr>
        <w:t xml:space="preserve"> Comparison Table </w:t>
      </w:r>
    </w:p>
    <w:p w14:paraId="64C27D1B" w14:textId="77777777" w:rsidR="0011357D" w:rsidRPr="00D1570A" w:rsidRDefault="0011357D" w:rsidP="006E035D">
      <w:pPr>
        <w:rPr>
          <w:rFonts w:cs="Arial"/>
        </w:rPr>
      </w:pPr>
    </w:p>
    <w:p w14:paraId="14466727" w14:textId="77777777" w:rsidR="006D75CD" w:rsidRPr="00D1570A" w:rsidRDefault="006D75CD" w:rsidP="000F4631">
      <w:pPr>
        <w:pStyle w:val="Heading02"/>
        <w:rPr>
          <w:noProof/>
        </w:rPr>
      </w:pPr>
      <w:bookmarkStart w:id="8" w:name="_Toc504395613"/>
      <w:r w:rsidRPr="00D1570A">
        <w:rPr>
          <w:noProof/>
        </w:rPr>
        <w:t xml:space="preserve">Impacts </w:t>
      </w:r>
      <w:r w:rsidR="00784486" w:rsidRPr="00D1570A">
        <w:rPr>
          <w:noProof/>
        </w:rPr>
        <w:t>&amp; Other Considerations</w:t>
      </w:r>
      <w:bookmarkEnd w:id="8"/>
    </w:p>
    <w:p w14:paraId="186BE1AB" w14:textId="77777777" w:rsidR="00962D5B" w:rsidRPr="00D1570A" w:rsidRDefault="00962D5B" w:rsidP="00962D5B">
      <w:pPr>
        <w:pStyle w:val="Heading4"/>
        <w:keepLines w:val="0"/>
        <w:numPr>
          <w:ilvl w:val="0"/>
          <w:numId w:val="0"/>
        </w:numPr>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Does this modification impact a Significant Code Review (SCR) or other significant industry change projects, if so, how?</w:t>
      </w:r>
    </w:p>
    <w:p w14:paraId="7DBD2E27" w14:textId="77777777" w:rsidR="00962D5B" w:rsidRPr="00D1570A" w:rsidRDefault="00962D5B" w:rsidP="00962D5B">
      <w:pPr>
        <w:rPr>
          <w:rFonts w:cs="Arial"/>
        </w:rPr>
      </w:pPr>
      <w:r w:rsidRPr="00D1570A">
        <w:rPr>
          <w:rFonts w:cs="Arial"/>
        </w:rPr>
        <w:t>N/A</w:t>
      </w:r>
    </w:p>
    <w:p w14:paraId="5DA08C3C" w14:textId="77777777" w:rsidR="00962D5B" w:rsidRPr="00D1570A" w:rsidRDefault="00962D5B" w:rsidP="00962D5B">
      <w:pPr>
        <w:pStyle w:val="Heading4"/>
        <w:keepLines w:val="0"/>
        <w:numPr>
          <w:ilvl w:val="0"/>
          <w:numId w:val="0"/>
        </w:numPr>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Consumer Impacts</w:t>
      </w:r>
    </w:p>
    <w:p w14:paraId="7330B7FB" w14:textId="77777777" w:rsidR="00962D5B" w:rsidRDefault="00962D5B" w:rsidP="00962D5B">
      <w:pPr>
        <w:rPr>
          <w:rFonts w:cs="Arial"/>
        </w:rPr>
      </w:pPr>
      <w:r w:rsidRPr="00D1570A">
        <w:rPr>
          <w:rFonts w:cs="Arial"/>
        </w:rPr>
        <w:t xml:space="preserve">Depending on the final proposal of the charging methodologies there will be impact on different consumer groups but the allowed revenue collected by National Grid NTS will not change. This section will be developed as this modification proposal develops. </w:t>
      </w:r>
    </w:p>
    <w:tbl>
      <w:tblPr>
        <w:tblW w:w="9494" w:type="dxa"/>
        <w:tblBorders>
          <w:top w:val="single" w:sz="8" w:space="0" w:color="CCE0DA"/>
          <w:left w:val="single" w:sz="12" w:space="0" w:color="CCE0DA"/>
          <w:bottom w:val="single" w:sz="12" w:space="0" w:color="CCE0DA"/>
          <w:right w:val="single" w:sz="12" w:space="0" w:color="CCE0DA"/>
          <w:insideH w:val="single" w:sz="8" w:space="0" w:color="CCE0DA"/>
          <w:insideV w:val="single" w:sz="8" w:space="0" w:color="CCE0DA"/>
        </w:tblBorders>
        <w:tblLayout w:type="fixed"/>
        <w:tblCellMar>
          <w:left w:w="0" w:type="dxa"/>
          <w:right w:w="0" w:type="dxa"/>
        </w:tblCellMar>
        <w:tblLook w:val="01E0" w:firstRow="1" w:lastRow="1" w:firstColumn="1" w:lastColumn="1" w:noHBand="0" w:noVBand="0"/>
      </w:tblPr>
      <w:tblGrid>
        <w:gridCol w:w="4747"/>
        <w:gridCol w:w="2373"/>
        <w:gridCol w:w="2374"/>
      </w:tblGrid>
      <w:tr w:rsidR="00962D5B" w:rsidRPr="008D54E0" w14:paraId="151B418C" w14:textId="77777777" w:rsidTr="002644B9">
        <w:trPr>
          <w:cantSplit/>
          <w:trHeight w:hRule="exact" w:val="727"/>
        </w:trPr>
        <w:tc>
          <w:tcPr>
            <w:tcW w:w="9494" w:type="dxa"/>
            <w:gridSpan w:val="3"/>
            <w:tcBorders>
              <w:bottom w:val="single" w:sz="8" w:space="0" w:color="CCE0DA"/>
            </w:tcBorders>
            <w:shd w:val="clear" w:color="auto" w:fill="CCE0DA"/>
            <w:vAlign w:val="center"/>
          </w:tcPr>
          <w:p w14:paraId="2F0EFE63" w14:textId="77777777" w:rsidR="00962D5B" w:rsidRDefault="00962D5B" w:rsidP="002644B9">
            <w:pPr>
              <w:pStyle w:val="Heading4"/>
              <w:keepLines w:val="0"/>
              <w:numPr>
                <w:ilvl w:val="0"/>
                <w:numId w:val="0"/>
              </w:numPr>
              <w:spacing w:before="0" w:after="0"/>
              <w:ind w:left="113" w:right="113"/>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Co</w:t>
            </w:r>
            <w:r w:rsidRPr="008D54E0">
              <w:rPr>
                <w:rFonts w:ascii="Arial" w:eastAsia="Times New Roman" w:hAnsi="Arial" w:cs="Arial"/>
                <w:i w:val="0"/>
                <w:iCs w:val="0"/>
                <w:color w:val="008576"/>
                <w:sz w:val="24"/>
                <w:szCs w:val="28"/>
              </w:rPr>
              <w:t>nsumer Impact</w:t>
            </w:r>
            <w:r>
              <w:rPr>
                <w:rFonts w:ascii="Arial" w:eastAsia="Times New Roman" w:hAnsi="Arial" w:cs="Arial"/>
                <w:i w:val="0"/>
                <w:iCs w:val="0"/>
                <w:color w:val="008576"/>
                <w:sz w:val="24"/>
                <w:szCs w:val="28"/>
              </w:rPr>
              <w:t xml:space="preserve"> Assessment </w:t>
            </w:r>
          </w:p>
          <w:p w14:paraId="6D41EC83" w14:textId="77777777" w:rsidR="00962D5B" w:rsidRPr="008D54E0" w:rsidRDefault="00962D5B" w:rsidP="002644B9">
            <w:pPr>
              <w:pStyle w:val="Heading4"/>
              <w:keepLines w:val="0"/>
              <w:numPr>
                <w:ilvl w:val="0"/>
                <w:numId w:val="0"/>
              </w:numPr>
              <w:spacing w:before="0" w:after="0"/>
              <w:ind w:left="113" w:right="113"/>
              <w:rPr>
                <w:rFonts w:ascii="Arial" w:hAnsi="Arial" w:cs="Arial"/>
              </w:rPr>
            </w:pPr>
            <w:r w:rsidRPr="00156CE2">
              <w:rPr>
                <w:rFonts w:ascii="Arial" w:eastAsia="Times New Roman" w:hAnsi="Arial" w:cs="Arial"/>
                <w:b w:val="0"/>
                <w:iCs w:val="0"/>
                <w:color w:val="008576"/>
                <w:szCs w:val="20"/>
              </w:rPr>
              <w:t>(</w:t>
            </w:r>
            <w:r w:rsidRPr="005164DC">
              <w:rPr>
                <w:rFonts w:cs="Arial"/>
                <w:b w:val="0"/>
                <w:bCs w:val="0"/>
                <w:color w:val="008576"/>
                <w:szCs w:val="20"/>
              </w:rPr>
              <w:t>Workgroup assessment of proposer initial view or subsequent information)</w:t>
            </w:r>
          </w:p>
        </w:tc>
      </w:tr>
      <w:tr w:rsidR="00962D5B" w:rsidRPr="008D54E0" w14:paraId="74785FE7" w14:textId="77777777" w:rsidTr="002644B9">
        <w:trPr>
          <w:cantSplit/>
          <w:trHeight w:hRule="exact" w:val="397"/>
        </w:trPr>
        <w:tc>
          <w:tcPr>
            <w:tcW w:w="4747" w:type="dxa"/>
            <w:tcBorders>
              <w:bottom w:val="single" w:sz="8" w:space="0" w:color="CCE0DA"/>
            </w:tcBorders>
            <w:shd w:val="clear" w:color="auto" w:fill="CCE0DA"/>
            <w:vAlign w:val="center"/>
          </w:tcPr>
          <w:p w14:paraId="51AE5753" w14:textId="77777777" w:rsidR="00962D5B" w:rsidRPr="008D54E0" w:rsidRDefault="00962D5B" w:rsidP="002644B9">
            <w:pPr>
              <w:pStyle w:val="Heading4"/>
              <w:keepLines w:val="0"/>
              <w:numPr>
                <w:ilvl w:val="0"/>
                <w:numId w:val="0"/>
              </w:numPr>
              <w:spacing w:before="0" w:after="0"/>
              <w:ind w:left="113" w:right="113"/>
              <w:rPr>
                <w:rFonts w:ascii="Arial" w:eastAsia="Times New Roman" w:hAnsi="Arial" w:cs="Arial"/>
                <w:i w:val="0"/>
                <w:iCs w:val="0"/>
                <w:color w:val="008576"/>
                <w:sz w:val="24"/>
                <w:szCs w:val="28"/>
              </w:rPr>
            </w:pPr>
            <w:r w:rsidRPr="005164DC">
              <w:rPr>
                <w:rFonts w:ascii="Arial" w:eastAsia="Times New Roman" w:hAnsi="Arial" w:cs="Arial"/>
                <w:i w:val="0"/>
                <w:iCs w:val="0"/>
                <w:color w:val="008576"/>
                <w:sz w:val="24"/>
                <w:szCs w:val="28"/>
              </w:rPr>
              <w:t>Criteria</w:t>
            </w:r>
          </w:p>
        </w:tc>
        <w:tc>
          <w:tcPr>
            <w:tcW w:w="4747" w:type="dxa"/>
            <w:gridSpan w:val="2"/>
            <w:tcBorders>
              <w:bottom w:val="single" w:sz="8" w:space="0" w:color="CCE0DA"/>
            </w:tcBorders>
            <w:shd w:val="clear" w:color="auto" w:fill="CCE0DA"/>
            <w:vAlign w:val="center"/>
          </w:tcPr>
          <w:p w14:paraId="2858DF39" w14:textId="77777777" w:rsidR="00962D5B" w:rsidRPr="008D54E0" w:rsidRDefault="00962D5B" w:rsidP="002644B9">
            <w:pPr>
              <w:pStyle w:val="Heading4"/>
              <w:keepLines w:val="0"/>
              <w:numPr>
                <w:ilvl w:val="0"/>
                <w:numId w:val="0"/>
              </w:numPr>
              <w:spacing w:before="0" w:after="0"/>
              <w:ind w:left="113" w:right="113"/>
              <w:rPr>
                <w:rFonts w:ascii="Arial" w:eastAsia="Times New Roman" w:hAnsi="Arial" w:cs="Arial"/>
                <w:i w:val="0"/>
                <w:iCs w:val="0"/>
                <w:color w:val="008576"/>
                <w:sz w:val="24"/>
                <w:szCs w:val="28"/>
              </w:rPr>
            </w:pPr>
            <w:r w:rsidRPr="00845DD5">
              <w:rPr>
                <w:rFonts w:ascii="Arial" w:eastAsia="Times New Roman" w:hAnsi="Arial" w:cs="Arial"/>
                <w:i w:val="0"/>
                <w:iCs w:val="0"/>
                <w:color w:val="008576"/>
                <w:sz w:val="24"/>
                <w:szCs w:val="28"/>
              </w:rPr>
              <w:t>Extent of Impact</w:t>
            </w:r>
          </w:p>
        </w:tc>
      </w:tr>
      <w:tr w:rsidR="00962D5B" w:rsidRPr="008D54E0" w14:paraId="03CA7419" w14:textId="77777777" w:rsidTr="002644B9">
        <w:trPr>
          <w:cantSplit/>
          <w:trHeight w:val="397"/>
        </w:trPr>
        <w:tc>
          <w:tcPr>
            <w:tcW w:w="4747" w:type="dxa"/>
          </w:tcPr>
          <w:p w14:paraId="490404B9" w14:textId="77777777" w:rsidR="00962D5B" w:rsidRPr="00845DD5" w:rsidRDefault="00962D5B" w:rsidP="002644B9">
            <w:pPr>
              <w:pStyle w:val="Tablebodycopy"/>
              <w:spacing w:after="40"/>
              <w:rPr>
                <w:rFonts w:cs="Arial"/>
                <w:bCs/>
              </w:rPr>
            </w:pPr>
            <w:r>
              <w:rPr>
                <w:rFonts w:cs="Arial"/>
                <w:bCs/>
              </w:rPr>
              <w:t>W</w:t>
            </w:r>
            <w:r w:rsidRPr="00845DD5">
              <w:rPr>
                <w:rFonts w:cs="Arial"/>
                <w:bCs/>
              </w:rPr>
              <w:t>hich Consumer groups are affected?</w:t>
            </w:r>
          </w:p>
          <w:p w14:paraId="3A3604F3" w14:textId="77777777" w:rsidR="00962D5B" w:rsidRPr="00845DD5" w:rsidRDefault="00962D5B" w:rsidP="002644B9">
            <w:pPr>
              <w:pStyle w:val="Tablebodycopy"/>
              <w:spacing w:after="40"/>
              <w:rPr>
                <w:rFonts w:cs="Arial"/>
                <w:bCs/>
              </w:rPr>
            </w:pPr>
          </w:p>
        </w:tc>
        <w:tc>
          <w:tcPr>
            <w:tcW w:w="4747" w:type="dxa"/>
            <w:gridSpan w:val="2"/>
          </w:tcPr>
          <w:p w14:paraId="4568ACA7" w14:textId="77777777" w:rsidR="00962D5B" w:rsidRDefault="00962D5B" w:rsidP="002644B9">
            <w:pPr>
              <w:pStyle w:val="Heading4"/>
              <w:keepLines w:val="0"/>
              <w:numPr>
                <w:ilvl w:val="0"/>
                <w:numId w:val="0"/>
              </w:numPr>
              <w:spacing w:before="40" w:after="40"/>
              <w:ind w:left="57"/>
              <w:rPr>
                <w:rFonts w:ascii="Arial" w:eastAsia="Times New Roman" w:hAnsi="Arial" w:cs="Arial"/>
                <w:b w:val="0"/>
                <w:bCs w:val="0"/>
                <w:iCs w:val="0"/>
                <w:color w:val="00B274"/>
                <w:szCs w:val="20"/>
              </w:rPr>
            </w:pPr>
            <w:r w:rsidRPr="00845DD5">
              <w:rPr>
                <w:rFonts w:ascii="Arial" w:eastAsia="Times New Roman" w:hAnsi="Arial" w:cs="Arial"/>
                <w:b w:val="0"/>
                <w:bCs w:val="0"/>
                <w:iCs w:val="0"/>
                <w:color w:val="00B274"/>
                <w:szCs w:val="20"/>
              </w:rPr>
              <w:t>Please consider each group and delete if not applicable.</w:t>
            </w:r>
          </w:p>
          <w:p w14:paraId="5BB45C5B" w14:textId="77777777" w:rsidR="00962D5B" w:rsidRPr="0019022E" w:rsidRDefault="00962D5B" w:rsidP="00BD3FB5">
            <w:pPr>
              <w:pStyle w:val="ListParagraph"/>
              <w:numPr>
                <w:ilvl w:val="0"/>
                <w:numId w:val="31"/>
              </w:numPr>
              <w:spacing w:before="40" w:after="40" w:line="240" w:lineRule="auto"/>
              <w:rPr>
                <w:rFonts w:cs="Arial"/>
              </w:rPr>
            </w:pPr>
            <w:r w:rsidRPr="0019022E">
              <w:rPr>
                <w:rFonts w:cs="Arial"/>
              </w:rPr>
              <w:t>Domestic Consumers</w:t>
            </w:r>
          </w:p>
          <w:p w14:paraId="3147F929" w14:textId="77777777" w:rsidR="00962D5B" w:rsidRPr="0019022E" w:rsidRDefault="00962D5B" w:rsidP="00BD3FB5">
            <w:pPr>
              <w:pStyle w:val="ListParagraph"/>
              <w:numPr>
                <w:ilvl w:val="0"/>
                <w:numId w:val="31"/>
              </w:numPr>
              <w:spacing w:before="40" w:after="40" w:line="240" w:lineRule="auto"/>
              <w:rPr>
                <w:rFonts w:cs="Arial"/>
              </w:rPr>
            </w:pPr>
            <w:r w:rsidRPr="0019022E">
              <w:rPr>
                <w:rFonts w:cs="Arial"/>
              </w:rPr>
              <w:t>Small non-domestic Consumers</w:t>
            </w:r>
          </w:p>
          <w:p w14:paraId="312E552A" w14:textId="77777777" w:rsidR="00962D5B" w:rsidRPr="00E56E99" w:rsidRDefault="00962D5B" w:rsidP="00BD3FB5">
            <w:pPr>
              <w:pStyle w:val="ListParagraph"/>
              <w:numPr>
                <w:ilvl w:val="0"/>
                <w:numId w:val="31"/>
              </w:numPr>
              <w:spacing w:before="40" w:after="40" w:line="240" w:lineRule="auto"/>
              <w:rPr>
                <w:rFonts w:cs="Arial"/>
                <w:i/>
                <w:szCs w:val="20"/>
              </w:rPr>
            </w:pPr>
            <w:r w:rsidRPr="00E56E99">
              <w:rPr>
                <w:rFonts w:cs="Arial"/>
                <w:szCs w:val="20"/>
              </w:rPr>
              <w:t>Large non-domestic Consumers</w:t>
            </w:r>
          </w:p>
          <w:p w14:paraId="5985F9BC" w14:textId="77777777" w:rsidR="00962D5B" w:rsidRPr="00E56E99" w:rsidRDefault="00962D5B" w:rsidP="00BD3FB5">
            <w:pPr>
              <w:pStyle w:val="ListParagraph"/>
              <w:numPr>
                <w:ilvl w:val="0"/>
                <w:numId w:val="31"/>
              </w:numPr>
              <w:spacing w:before="40" w:after="40" w:line="240" w:lineRule="auto"/>
              <w:rPr>
                <w:rFonts w:cs="Arial"/>
                <w:i/>
                <w:szCs w:val="20"/>
              </w:rPr>
            </w:pPr>
            <w:r w:rsidRPr="00E56E99">
              <w:rPr>
                <w:rFonts w:cs="Arial"/>
                <w:szCs w:val="20"/>
              </w:rPr>
              <w:t>Ver</w:t>
            </w:r>
            <w:r>
              <w:rPr>
                <w:rFonts w:cs="Arial"/>
                <w:szCs w:val="20"/>
              </w:rPr>
              <w:t xml:space="preserve">y Large Consumers </w:t>
            </w:r>
          </w:p>
        </w:tc>
      </w:tr>
      <w:tr w:rsidR="00962D5B" w:rsidRPr="008D54E0" w14:paraId="7EFED695" w14:textId="77777777" w:rsidTr="002644B9">
        <w:trPr>
          <w:cantSplit/>
          <w:trHeight w:val="397"/>
        </w:trPr>
        <w:tc>
          <w:tcPr>
            <w:tcW w:w="4747" w:type="dxa"/>
          </w:tcPr>
          <w:p w14:paraId="08D48B8C" w14:textId="77777777" w:rsidR="00962D5B" w:rsidRPr="00845DD5" w:rsidRDefault="00962D5B" w:rsidP="002644B9">
            <w:pPr>
              <w:pStyle w:val="Tablebodycopy"/>
              <w:spacing w:after="40"/>
              <w:rPr>
                <w:rFonts w:cs="Arial"/>
                <w:bCs/>
              </w:rPr>
            </w:pPr>
            <w:r w:rsidRPr="00845DD5">
              <w:rPr>
                <w:rFonts w:cs="Arial"/>
                <w:bCs/>
              </w:rPr>
              <w:t>What costs or benefits will pass through to them?</w:t>
            </w:r>
          </w:p>
        </w:tc>
        <w:tc>
          <w:tcPr>
            <w:tcW w:w="4747" w:type="dxa"/>
            <w:gridSpan w:val="2"/>
          </w:tcPr>
          <w:p w14:paraId="5CFA30A1" w14:textId="77777777" w:rsidR="00962D5B" w:rsidRPr="00923B0B" w:rsidRDefault="00962D5B" w:rsidP="002644B9">
            <w:pPr>
              <w:spacing w:before="40" w:after="40"/>
              <w:ind w:left="141"/>
              <w:rPr>
                <w:rFonts w:cs="Arial"/>
                <w:i/>
                <w:color w:val="00B274"/>
                <w:szCs w:val="20"/>
              </w:rPr>
            </w:pPr>
            <w:r w:rsidRPr="00923B0B">
              <w:rPr>
                <w:rFonts w:cs="Arial"/>
                <w:i/>
                <w:color w:val="00B274"/>
                <w:szCs w:val="20"/>
              </w:rPr>
              <w:t>Please explain what costs will ultimately flow through to each Consumer group. If no costs pass through to Consumers, please explain why. Use the General Market Assumptions approved by Panel to express as ‘cost per consumer’.</w:t>
            </w:r>
          </w:p>
          <w:p w14:paraId="0528883A" w14:textId="77777777" w:rsidR="00962D5B" w:rsidRPr="0019022E" w:rsidRDefault="00962D5B" w:rsidP="002644B9">
            <w:pPr>
              <w:spacing w:before="40" w:after="40"/>
              <w:ind w:left="113" w:right="113"/>
              <w:rPr>
                <w:rFonts w:cs="Arial"/>
              </w:rPr>
            </w:pPr>
            <w:r w:rsidRPr="0019022E">
              <w:rPr>
                <w:rFonts w:cs="Arial"/>
              </w:rPr>
              <w:t>Insert text here</w:t>
            </w:r>
          </w:p>
        </w:tc>
      </w:tr>
      <w:tr w:rsidR="00962D5B" w:rsidRPr="008D54E0" w14:paraId="42565C71" w14:textId="77777777" w:rsidTr="002644B9">
        <w:trPr>
          <w:cantSplit/>
          <w:trHeight w:val="397"/>
        </w:trPr>
        <w:tc>
          <w:tcPr>
            <w:tcW w:w="4747" w:type="dxa"/>
          </w:tcPr>
          <w:p w14:paraId="117B1734" w14:textId="77777777" w:rsidR="00962D5B" w:rsidRPr="00845DD5" w:rsidRDefault="00962D5B" w:rsidP="002644B9">
            <w:pPr>
              <w:pStyle w:val="Tablebodycopy"/>
              <w:spacing w:after="40"/>
              <w:rPr>
                <w:rFonts w:cs="Arial"/>
                <w:bCs/>
              </w:rPr>
            </w:pPr>
            <w:r w:rsidRPr="00845DD5">
              <w:rPr>
                <w:rFonts w:cs="Arial"/>
                <w:bCs/>
              </w:rPr>
              <w:lastRenderedPageBreak/>
              <w:t>When will these costs/benefits impact upon consumers?</w:t>
            </w:r>
          </w:p>
        </w:tc>
        <w:tc>
          <w:tcPr>
            <w:tcW w:w="4747" w:type="dxa"/>
            <w:gridSpan w:val="2"/>
          </w:tcPr>
          <w:p w14:paraId="3A35F025" w14:textId="77777777" w:rsidR="00962D5B" w:rsidRPr="00923B0B" w:rsidRDefault="00962D5B" w:rsidP="002644B9">
            <w:pPr>
              <w:spacing w:before="40" w:after="40"/>
              <w:ind w:left="141"/>
              <w:rPr>
                <w:rFonts w:cs="Arial"/>
                <w:i/>
                <w:color w:val="00B274"/>
                <w:szCs w:val="20"/>
              </w:rPr>
            </w:pPr>
            <w:r w:rsidRPr="00923B0B">
              <w:rPr>
                <w:rFonts w:cs="Arial"/>
                <w:i/>
                <w:color w:val="00B274"/>
                <w:szCs w:val="20"/>
              </w:rPr>
              <w:t>Unless this is ‘immediately on implementation’, please explain any deferred impact.</w:t>
            </w:r>
          </w:p>
          <w:p w14:paraId="424A9581" w14:textId="77777777" w:rsidR="00962D5B" w:rsidRPr="0019022E" w:rsidRDefault="00962D5B" w:rsidP="002644B9">
            <w:pPr>
              <w:spacing w:before="40" w:after="40"/>
              <w:ind w:left="113" w:right="113"/>
              <w:rPr>
                <w:rFonts w:cs="Arial"/>
              </w:rPr>
            </w:pPr>
            <w:r w:rsidRPr="0019022E">
              <w:rPr>
                <w:rFonts w:cs="Arial"/>
              </w:rPr>
              <w:t>Insert text here</w:t>
            </w:r>
          </w:p>
        </w:tc>
      </w:tr>
      <w:tr w:rsidR="00962D5B" w:rsidRPr="008D54E0" w14:paraId="74061819" w14:textId="77777777" w:rsidTr="002644B9">
        <w:trPr>
          <w:cantSplit/>
          <w:trHeight w:val="397"/>
        </w:trPr>
        <w:tc>
          <w:tcPr>
            <w:tcW w:w="4747" w:type="dxa"/>
          </w:tcPr>
          <w:p w14:paraId="06252815" w14:textId="77777777" w:rsidR="00962D5B" w:rsidRPr="00845DD5" w:rsidRDefault="00962D5B" w:rsidP="002644B9">
            <w:pPr>
              <w:pStyle w:val="Tablebodycopy"/>
              <w:spacing w:after="40"/>
              <w:rPr>
                <w:rFonts w:cs="Arial"/>
                <w:bCs/>
              </w:rPr>
            </w:pPr>
            <w:r w:rsidRPr="00845DD5">
              <w:rPr>
                <w:rFonts w:cs="Arial"/>
                <w:bCs/>
              </w:rPr>
              <w:t>Are there any other Consumer Impacts?</w:t>
            </w:r>
          </w:p>
        </w:tc>
        <w:tc>
          <w:tcPr>
            <w:tcW w:w="4747" w:type="dxa"/>
            <w:gridSpan w:val="2"/>
          </w:tcPr>
          <w:p w14:paraId="5A7F569D" w14:textId="77777777" w:rsidR="00962D5B" w:rsidRPr="00923B0B" w:rsidRDefault="00962D5B" w:rsidP="002644B9">
            <w:pPr>
              <w:spacing w:before="40" w:after="40"/>
              <w:ind w:left="141"/>
              <w:rPr>
                <w:rFonts w:cs="Arial"/>
                <w:i/>
                <w:color w:val="00B274"/>
                <w:szCs w:val="20"/>
              </w:rPr>
            </w:pPr>
            <w:r w:rsidRPr="00923B0B">
              <w:rPr>
                <w:rFonts w:cs="Arial"/>
                <w:i/>
                <w:color w:val="00B274"/>
                <w:szCs w:val="20"/>
              </w:rPr>
              <w:t>Prompts:</w:t>
            </w:r>
          </w:p>
          <w:p w14:paraId="622AAC96" w14:textId="77777777" w:rsidR="00962D5B" w:rsidRPr="00923B0B" w:rsidRDefault="00962D5B" w:rsidP="002644B9">
            <w:pPr>
              <w:spacing w:before="40" w:after="40"/>
              <w:ind w:left="141"/>
              <w:rPr>
                <w:rFonts w:cs="Arial"/>
                <w:i/>
                <w:color w:val="00B274"/>
                <w:szCs w:val="20"/>
              </w:rPr>
            </w:pPr>
            <w:r w:rsidRPr="00923B0B">
              <w:rPr>
                <w:rFonts w:cs="Arial"/>
                <w:i/>
                <w:color w:val="00B274"/>
                <w:szCs w:val="20"/>
              </w:rPr>
              <w:t>Are there any impacts on switching?</w:t>
            </w:r>
          </w:p>
          <w:p w14:paraId="1A2BD162" w14:textId="77777777" w:rsidR="00962D5B" w:rsidRPr="00923B0B" w:rsidRDefault="00962D5B" w:rsidP="002644B9">
            <w:pPr>
              <w:spacing w:before="40" w:after="40"/>
              <w:ind w:left="141"/>
              <w:rPr>
                <w:rFonts w:cs="Arial"/>
                <w:i/>
                <w:color w:val="00B274"/>
                <w:szCs w:val="20"/>
              </w:rPr>
            </w:pPr>
            <w:r w:rsidRPr="00923B0B">
              <w:rPr>
                <w:rFonts w:cs="Arial"/>
                <w:i/>
                <w:color w:val="00B274"/>
                <w:szCs w:val="20"/>
              </w:rPr>
              <w:t>Is the provision of information affected?</w:t>
            </w:r>
          </w:p>
          <w:p w14:paraId="1E0C5CBE" w14:textId="77777777" w:rsidR="00962D5B" w:rsidRPr="00923B0B" w:rsidRDefault="00962D5B" w:rsidP="002644B9">
            <w:pPr>
              <w:spacing w:before="40" w:after="40"/>
              <w:ind w:left="141"/>
              <w:rPr>
                <w:rFonts w:cs="Arial"/>
                <w:i/>
                <w:color w:val="00B274"/>
                <w:szCs w:val="20"/>
              </w:rPr>
            </w:pPr>
            <w:r w:rsidRPr="00923B0B">
              <w:rPr>
                <w:rFonts w:cs="Arial"/>
                <w:i/>
                <w:color w:val="00B274"/>
                <w:szCs w:val="20"/>
              </w:rPr>
              <w:t>Are Product Classes affected?</w:t>
            </w:r>
          </w:p>
          <w:p w14:paraId="5B4EAB14" w14:textId="77777777" w:rsidR="00962D5B" w:rsidRPr="00C216E5" w:rsidRDefault="00962D5B" w:rsidP="002644B9">
            <w:pPr>
              <w:spacing w:before="40" w:after="40"/>
              <w:ind w:left="113" w:right="113"/>
              <w:rPr>
                <w:rFonts w:cs="Arial"/>
              </w:rPr>
            </w:pPr>
            <w:r w:rsidRPr="0019022E">
              <w:rPr>
                <w:rFonts w:cs="Arial"/>
              </w:rPr>
              <w:t>Insert text here</w:t>
            </w:r>
          </w:p>
        </w:tc>
      </w:tr>
      <w:tr w:rsidR="00962D5B" w:rsidRPr="008D54E0" w14:paraId="6947E875" w14:textId="77777777" w:rsidTr="002644B9">
        <w:trPr>
          <w:cantSplit/>
          <w:trHeight w:val="422"/>
        </w:trPr>
        <w:tc>
          <w:tcPr>
            <w:tcW w:w="9494" w:type="dxa"/>
            <w:gridSpan w:val="3"/>
          </w:tcPr>
          <w:p w14:paraId="28D75E43" w14:textId="77777777" w:rsidR="00962D5B" w:rsidRPr="00BE0C5F" w:rsidRDefault="00962D5B" w:rsidP="002644B9">
            <w:pPr>
              <w:pStyle w:val="Tablebodycopy"/>
              <w:spacing w:after="40"/>
              <w:ind w:left="57"/>
              <w:rPr>
                <w:i/>
              </w:rPr>
            </w:pPr>
            <w:r w:rsidRPr="00BE0C5F">
              <w:rPr>
                <w:b/>
                <w:i/>
              </w:rPr>
              <w:t xml:space="preserve"> </w:t>
            </w:r>
            <w:r w:rsidRPr="00BE0C5F">
              <w:rPr>
                <w:rFonts w:cs="Arial"/>
                <w:b/>
                <w:bCs/>
                <w:i/>
              </w:rPr>
              <w:t xml:space="preserve">General Market Assumptions as at December 2016 </w:t>
            </w:r>
            <w:r w:rsidRPr="00BE0C5F">
              <w:rPr>
                <w:rFonts w:cs="Arial"/>
                <w:bCs/>
                <w:i/>
              </w:rPr>
              <w:t>(to underpin the Costs analysis)</w:t>
            </w:r>
          </w:p>
        </w:tc>
      </w:tr>
      <w:tr w:rsidR="00962D5B" w:rsidRPr="008D54E0" w14:paraId="6C4E6340" w14:textId="77777777" w:rsidTr="002644B9">
        <w:trPr>
          <w:cantSplit/>
          <w:trHeight w:val="386"/>
        </w:trPr>
        <w:tc>
          <w:tcPr>
            <w:tcW w:w="7120" w:type="dxa"/>
            <w:gridSpan w:val="2"/>
          </w:tcPr>
          <w:p w14:paraId="06ADD295" w14:textId="77777777" w:rsidR="00962D5B" w:rsidRPr="00BE0C5F" w:rsidRDefault="00962D5B" w:rsidP="002644B9">
            <w:pPr>
              <w:pStyle w:val="Tablebodycopy"/>
              <w:spacing w:after="40"/>
              <w:rPr>
                <w:rFonts w:cs="Arial"/>
                <w:bCs/>
                <w:i/>
              </w:rPr>
            </w:pPr>
            <w:r w:rsidRPr="00BE0C5F">
              <w:rPr>
                <w:rFonts w:cs="Arial"/>
                <w:bCs/>
                <w:i/>
              </w:rPr>
              <w:t xml:space="preserve">Number of Domestic consumers </w:t>
            </w:r>
          </w:p>
        </w:tc>
        <w:tc>
          <w:tcPr>
            <w:tcW w:w="2374" w:type="dxa"/>
          </w:tcPr>
          <w:p w14:paraId="55745E31" w14:textId="77777777" w:rsidR="00962D5B" w:rsidRPr="00BE0C5F" w:rsidRDefault="00962D5B" w:rsidP="002644B9">
            <w:pPr>
              <w:pStyle w:val="Tablebodycopy"/>
              <w:spacing w:after="40"/>
              <w:ind w:left="57"/>
              <w:rPr>
                <w:rFonts w:cs="Arial"/>
                <w:bCs/>
                <w:i/>
              </w:rPr>
            </w:pPr>
            <w:r w:rsidRPr="00BE0C5F">
              <w:rPr>
                <w:rFonts w:cs="Arial"/>
                <w:bCs/>
                <w:i/>
              </w:rPr>
              <w:t>21</w:t>
            </w:r>
            <w:r>
              <w:rPr>
                <w:rFonts w:cs="Arial"/>
                <w:bCs/>
                <w:i/>
              </w:rPr>
              <w:t xml:space="preserve"> </w:t>
            </w:r>
            <w:r w:rsidRPr="00BE0C5F">
              <w:rPr>
                <w:rFonts w:cs="Arial"/>
                <w:bCs/>
                <w:i/>
              </w:rPr>
              <w:t>million</w:t>
            </w:r>
          </w:p>
        </w:tc>
      </w:tr>
      <w:tr w:rsidR="00962D5B" w:rsidRPr="008D54E0" w14:paraId="1390811B" w14:textId="77777777" w:rsidTr="002644B9">
        <w:trPr>
          <w:cantSplit/>
          <w:trHeight w:val="421"/>
        </w:trPr>
        <w:tc>
          <w:tcPr>
            <w:tcW w:w="7120" w:type="dxa"/>
            <w:gridSpan w:val="2"/>
          </w:tcPr>
          <w:p w14:paraId="16428C35" w14:textId="77777777" w:rsidR="00962D5B" w:rsidRPr="00BE0C5F" w:rsidRDefault="00962D5B" w:rsidP="002644B9">
            <w:pPr>
              <w:pStyle w:val="Tablebodycopy"/>
              <w:spacing w:after="40"/>
              <w:rPr>
                <w:rFonts w:cs="Arial"/>
                <w:bCs/>
                <w:i/>
              </w:rPr>
            </w:pPr>
            <w:r w:rsidRPr="00BE0C5F">
              <w:rPr>
                <w:rFonts w:cs="Arial"/>
                <w:bCs/>
                <w:i/>
              </w:rPr>
              <w:t xml:space="preserve">Number of non-domestic consumers &lt;73,200 kWh/annum </w:t>
            </w:r>
          </w:p>
        </w:tc>
        <w:tc>
          <w:tcPr>
            <w:tcW w:w="2374" w:type="dxa"/>
          </w:tcPr>
          <w:p w14:paraId="12098DC5" w14:textId="77777777" w:rsidR="00962D5B" w:rsidRPr="00BE0C5F" w:rsidRDefault="00962D5B" w:rsidP="002644B9">
            <w:pPr>
              <w:pStyle w:val="Tablebodycopy"/>
              <w:spacing w:after="40"/>
              <w:ind w:left="57"/>
              <w:rPr>
                <w:rFonts w:cs="Arial"/>
                <w:bCs/>
                <w:i/>
              </w:rPr>
            </w:pPr>
            <w:r w:rsidRPr="00BE0C5F">
              <w:rPr>
                <w:rFonts w:cs="Arial"/>
                <w:bCs/>
                <w:i/>
              </w:rPr>
              <w:t>500,000</w:t>
            </w:r>
          </w:p>
        </w:tc>
      </w:tr>
      <w:tr w:rsidR="00962D5B" w:rsidRPr="008D54E0" w14:paraId="2B140693" w14:textId="77777777" w:rsidTr="002644B9">
        <w:trPr>
          <w:cantSplit/>
          <w:trHeight w:val="399"/>
        </w:trPr>
        <w:tc>
          <w:tcPr>
            <w:tcW w:w="7120" w:type="dxa"/>
            <w:gridSpan w:val="2"/>
          </w:tcPr>
          <w:p w14:paraId="29B5A7AD" w14:textId="77777777" w:rsidR="00962D5B" w:rsidRPr="00BE0C5F" w:rsidRDefault="00962D5B" w:rsidP="002644B9">
            <w:pPr>
              <w:pStyle w:val="Tablebodycopy"/>
              <w:spacing w:after="40"/>
              <w:rPr>
                <w:rFonts w:cs="Arial"/>
                <w:bCs/>
                <w:i/>
              </w:rPr>
            </w:pPr>
            <w:r w:rsidRPr="00BE0C5F">
              <w:rPr>
                <w:rFonts w:cs="Arial"/>
                <w:bCs/>
                <w:i/>
              </w:rPr>
              <w:t xml:space="preserve">Number of consumers between 73,200 and 732,000 kWh/annum </w:t>
            </w:r>
          </w:p>
        </w:tc>
        <w:tc>
          <w:tcPr>
            <w:tcW w:w="2374" w:type="dxa"/>
          </w:tcPr>
          <w:p w14:paraId="38EE5A89" w14:textId="77777777" w:rsidR="00962D5B" w:rsidRPr="00BE0C5F" w:rsidRDefault="00962D5B" w:rsidP="002644B9">
            <w:pPr>
              <w:pStyle w:val="Tablebodycopy"/>
              <w:spacing w:after="40"/>
              <w:ind w:left="57"/>
              <w:rPr>
                <w:rFonts w:cs="Arial"/>
                <w:bCs/>
                <w:i/>
              </w:rPr>
            </w:pPr>
            <w:r w:rsidRPr="00BE0C5F">
              <w:rPr>
                <w:rFonts w:cs="Arial"/>
                <w:bCs/>
                <w:i/>
              </w:rPr>
              <w:t>250,000</w:t>
            </w:r>
          </w:p>
        </w:tc>
      </w:tr>
      <w:tr w:rsidR="00962D5B" w:rsidRPr="008D54E0" w14:paraId="1898FA5E" w14:textId="77777777" w:rsidTr="002644B9">
        <w:trPr>
          <w:cantSplit/>
          <w:trHeight w:val="404"/>
        </w:trPr>
        <w:tc>
          <w:tcPr>
            <w:tcW w:w="7120" w:type="dxa"/>
            <w:gridSpan w:val="2"/>
          </w:tcPr>
          <w:p w14:paraId="3A4CEFD9" w14:textId="77777777" w:rsidR="00962D5B" w:rsidRPr="00BE0C5F" w:rsidRDefault="00962D5B" w:rsidP="002644B9">
            <w:pPr>
              <w:pStyle w:val="Tablebodycopy"/>
              <w:spacing w:after="40"/>
              <w:rPr>
                <w:rFonts w:cs="Arial"/>
                <w:bCs/>
                <w:i/>
              </w:rPr>
            </w:pPr>
            <w:r w:rsidRPr="00BE0C5F">
              <w:rPr>
                <w:rFonts w:cs="Arial"/>
                <w:bCs/>
                <w:i/>
              </w:rPr>
              <w:t>Number of very large consumers &gt;732,000 kWh/annum</w:t>
            </w:r>
          </w:p>
        </w:tc>
        <w:tc>
          <w:tcPr>
            <w:tcW w:w="2374" w:type="dxa"/>
          </w:tcPr>
          <w:p w14:paraId="349A2562" w14:textId="77777777" w:rsidR="00962D5B" w:rsidRPr="00BE0C5F" w:rsidRDefault="00962D5B" w:rsidP="002644B9">
            <w:pPr>
              <w:pStyle w:val="Tablebodycopy"/>
              <w:spacing w:after="40"/>
              <w:ind w:left="57"/>
              <w:rPr>
                <w:rFonts w:cs="Arial"/>
                <w:bCs/>
                <w:i/>
              </w:rPr>
            </w:pPr>
            <w:r w:rsidRPr="00BE0C5F">
              <w:rPr>
                <w:rFonts w:cs="Arial"/>
                <w:bCs/>
                <w:i/>
              </w:rPr>
              <w:t>26,000</w:t>
            </w:r>
          </w:p>
        </w:tc>
      </w:tr>
      <w:tr w:rsidR="00002418" w:rsidRPr="008D54E0" w14:paraId="6E48A21F" w14:textId="77777777" w:rsidTr="002644B9">
        <w:trPr>
          <w:cantSplit/>
          <w:trHeight w:val="404"/>
        </w:trPr>
        <w:tc>
          <w:tcPr>
            <w:tcW w:w="7120" w:type="dxa"/>
            <w:gridSpan w:val="2"/>
          </w:tcPr>
          <w:p w14:paraId="262DB995" w14:textId="05B6CDE5" w:rsidR="00002418" w:rsidRPr="00002418" w:rsidRDefault="00002418" w:rsidP="002644B9">
            <w:pPr>
              <w:pStyle w:val="Tablebodycopy"/>
              <w:spacing w:after="40"/>
              <w:rPr>
                <w:rFonts w:cs="Arial"/>
                <w:bCs/>
                <w:i/>
                <w:color w:val="FF0000"/>
              </w:rPr>
            </w:pPr>
            <w:r w:rsidRPr="00002418">
              <w:rPr>
                <w:rFonts w:cs="Arial"/>
                <w:bCs/>
                <w:i/>
                <w:color w:val="FF0000"/>
              </w:rPr>
              <w:t xml:space="preserve">Number of connections </w:t>
            </w:r>
          </w:p>
        </w:tc>
        <w:tc>
          <w:tcPr>
            <w:tcW w:w="2374" w:type="dxa"/>
          </w:tcPr>
          <w:p w14:paraId="43354945" w14:textId="49B0F21D" w:rsidR="00002418" w:rsidRPr="00002418" w:rsidRDefault="00002418" w:rsidP="00002418">
            <w:pPr>
              <w:pStyle w:val="Tablebodycopy"/>
              <w:spacing w:after="40"/>
              <w:ind w:left="57"/>
              <w:rPr>
                <w:rFonts w:cs="Arial"/>
                <w:bCs/>
                <w:i/>
                <w:color w:val="FF0000"/>
              </w:rPr>
            </w:pPr>
            <w:r w:rsidRPr="00002418">
              <w:rPr>
                <w:rFonts w:cs="Arial"/>
                <w:bCs/>
                <w:i/>
                <w:color w:val="FF0000"/>
              </w:rPr>
              <w:t xml:space="preserve">DN -  NTS - </w:t>
            </w:r>
          </w:p>
        </w:tc>
      </w:tr>
      <w:tr w:rsidR="00002418" w:rsidRPr="008D54E0" w14:paraId="4F1E52A5" w14:textId="77777777" w:rsidTr="002644B9">
        <w:trPr>
          <w:cantSplit/>
          <w:trHeight w:val="404"/>
        </w:trPr>
        <w:tc>
          <w:tcPr>
            <w:tcW w:w="7120" w:type="dxa"/>
            <w:gridSpan w:val="2"/>
          </w:tcPr>
          <w:p w14:paraId="43CD171D" w14:textId="3EB028A7" w:rsidR="00002418" w:rsidRPr="00002418" w:rsidRDefault="00002418" w:rsidP="002644B9">
            <w:pPr>
              <w:pStyle w:val="Tablebodycopy"/>
              <w:spacing w:after="40"/>
              <w:rPr>
                <w:rFonts w:cs="Arial"/>
                <w:bCs/>
                <w:i/>
                <w:color w:val="FF0000"/>
              </w:rPr>
            </w:pPr>
            <w:r>
              <w:rPr>
                <w:rFonts w:cs="Arial"/>
                <w:bCs/>
                <w:i/>
                <w:color w:val="FF0000"/>
              </w:rPr>
              <w:t>total AQ</w:t>
            </w:r>
          </w:p>
        </w:tc>
        <w:tc>
          <w:tcPr>
            <w:tcW w:w="2374" w:type="dxa"/>
          </w:tcPr>
          <w:p w14:paraId="2DFC9CF6" w14:textId="77777777" w:rsidR="00002418" w:rsidRPr="00002418" w:rsidRDefault="00002418" w:rsidP="00002418">
            <w:pPr>
              <w:pStyle w:val="Tablebodycopy"/>
              <w:spacing w:after="40"/>
              <w:ind w:left="57"/>
              <w:rPr>
                <w:rFonts w:cs="Arial"/>
                <w:bCs/>
                <w:i/>
                <w:color w:val="FF0000"/>
              </w:rPr>
            </w:pPr>
          </w:p>
        </w:tc>
      </w:tr>
    </w:tbl>
    <w:p w14:paraId="3FC9B2DA" w14:textId="77777777" w:rsidR="00962D5B" w:rsidRDefault="00962D5B" w:rsidP="00962D5B"/>
    <w:p w14:paraId="37DF32B5" w14:textId="77777777" w:rsidR="00962D5B" w:rsidRDefault="00962D5B" w:rsidP="00962D5B"/>
    <w:p w14:paraId="08A9179C" w14:textId="77777777" w:rsidR="00962D5B" w:rsidRDefault="00962D5B" w:rsidP="00962D5B"/>
    <w:p w14:paraId="59FB6495" w14:textId="77777777" w:rsidR="00962D5B" w:rsidRPr="00D1570A" w:rsidRDefault="00962D5B" w:rsidP="00962D5B">
      <w:pPr>
        <w:pStyle w:val="Heading4"/>
        <w:keepLines w:val="0"/>
        <w:numPr>
          <w:ilvl w:val="0"/>
          <w:numId w:val="0"/>
        </w:numPr>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Cross Code Impacts</w:t>
      </w:r>
    </w:p>
    <w:p w14:paraId="1C4E88B7" w14:textId="77777777" w:rsidR="00962D5B" w:rsidRPr="00D1570A" w:rsidRDefault="00962D5B" w:rsidP="00962D5B">
      <w:pPr>
        <w:rPr>
          <w:rFonts w:cs="Arial"/>
        </w:rPr>
      </w:pPr>
      <w:r w:rsidRPr="00D1570A">
        <w:rPr>
          <w:rFonts w:cs="Arial"/>
        </w:rPr>
        <w:t>None</w:t>
      </w:r>
    </w:p>
    <w:p w14:paraId="0BDF8D21" w14:textId="77777777" w:rsidR="00962D5B" w:rsidRPr="00D1570A" w:rsidRDefault="00962D5B" w:rsidP="00962D5B">
      <w:pPr>
        <w:pStyle w:val="Heading4"/>
        <w:keepLines w:val="0"/>
        <w:numPr>
          <w:ilvl w:val="0"/>
          <w:numId w:val="0"/>
        </w:numPr>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EU Code Impacts</w:t>
      </w:r>
    </w:p>
    <w:p w14:paraId="1A35EAC1" w14:textId="77777777" w:rsidR="00962D5B" w:rsidRPr="00D1570A" w:rsidRDefault="00962D5B" w:rsidP="00962D5B">
      <w:pPr>
        <w:rPr>
          <w:rFonts w:cs="Arial"/>
        </w:rPr>
      </w:pPr>
      <w:r w:rsidRPr="00D1570A">
        <w:rPr>
          <w:rFonts w:cs="Arial"/>
        </w:rPr>
        <w:t>EU Tariff Code compliance is considered as part of this modification proposal.</w:t>
      </w:r>
    </w:p>
    <w:p w14:paraId="217BB7B2" w14:textId="77777777" w:rsidR="00962D5B" w:rsidRDefault="00962D5B" w:rsidP="00962D5B">
      <w:pPr>
        <w:pStyle w:val="Heading4"/>
        <w:keepLines w:val="0"/>
        <w:numPr>
          <w:ilvl w:val="0"/>
          <w:numId w:val="0"/>
        </w:numPr>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Central Systems Impacts</w:t>
      </w:r>
    </w:p>
    <w:p w14:paraId="2242E961" w14:textId="77777777" w:rsidR="00962D5B" w:rsidRDefault="00962D5B" w:rsidP="00962D5B">
      <w:r>
        <w:t>There will be impacts on Gemini and UK Link invoicing systems. Discussions on these impacts are already underway.</w:t>
      </w:r>
    </w:p>
    <w:p w14:paraId="7BFFED2D" w14:textId="77777777" w:rsidR="00962D5B" w:rsidRDefault="00962D5B" w:rsidP="00962D5B">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br w:type="page"/>
      </w:r>
    </w:p>
    <w:p w14:paraId="243AC75E" w14:textId="77777777" w:rsidR="00962D5B" w:rsidRDefault="00962D5B" w:rsidP="00962D5B">
      <w:pPr>
        <w:pStyle w:val="Heading4"/>
        <w:keepLines w:val="0"/>
        <w:numPr>
          <w:ilvl w:val="0"/>
          <w:numId w:val="0"/>
        </w:numPr>
        <w:spacing w:before="240"/>
        <w:rPr>
          <w:rFonts w:ascii="Arial" w:eastAsia="Times New Roman" w:hAnsi="Arial" w:cs="Arial"/>
          <w:i w:val="0"/>
          <w:iCs w:val="0"/>
          <w:color w:val="008576"/>
          <w:sz w:val="24"/>
          <w:szCs w:val="28"/>
        </w:rPr>
      </w:pPr>
    </w:p>
    <w:p w14:paraId="06510DB8" w14:textId="77777777" w:rsidR="005B60A0" w:rsidRPr="001213B8" w:rsidRDefault="005B60A0" w:rsidP="005B60A0">
      <w:pPr>
        <w:pStyle w:val="Heading4"/>
        <w:keepLines w:val="0"/>
        <w:numPr>
          <w:ilvl w:val="0"/>
          <w:numId w:val="0"/>
        </w:numPr>
        <w:spacing w:before="240"/>
        <w:rPr>
          <w:rFonts w:ascii="Arial" w:eastAsia="Times New Roman" w:hAnsi="Arial" w:cs="Arial"/>
          <w:b w:val="0"/>
          <w:color w:val="00B274"/>
          <w:szCs w:val="20"/>
        </w:rPr>
      </w:pPr>
      <w:r w:rsidRPr="008D54E0">
        <w:rPr>
          <w:rFonts w:ascii="Arial" w:eastAsia="Times New Roman" w:hAnsi="Arial" w:cs="Arial"/>
          <w:i w:val="0"/>
          <w:iCs w:val="0"/>
          <w:color w:val="008576"/>
          <w:sz w:val="24"/>
          <w:szCs w:val="28"/>
        </w:rPr>
        <w:t xml:space="preserve">Workgroup Impact Assessment </w:t>
      </w:r>
    </w:p>
    <w:p w14:paraId="5D365108" w14:textId="4A9C00D9" w:rsidR="00620021" w:rsidRPr="00057A29" w:rsidRDefault="00620021" w:rsidP="00620021">
      <w:pPr>
        <w:pStyle w:val="NormalWeb"/>
        <w:spacing w:before="100" w:beforeAutospacing="1" w:after="100" w:afterAutospacing="1" w:line="240" w:lineRule="auto"/>
        <w:ind w:left="360"/>
        <w:rPr>
          <w:rFonts w:ascii="ArialMT" w:hAnsi="ArialMT" w:cs="ArialMT"/>
          <w:i/>
          <w:color w:val="000000" w:themeColor="text1"/>
          <w:sz w:val="22"/>
          <w:szCs w:val="22"/>
        </w:rPr>
      </w:pPr>
      <w:r w:rsidRPr="00057A29">
        <w:rPr>
          <w:rFonts w:ascii="ArialMT" w:hAnsi="ArialMT" w:cs="ArialMT"/>
          <w:i/>
          <w:color w:val="000000" w:themeColor="text1"/>
          <w:sz w:val="22"/>
          <w:szCs w:val="22"/>
        </w:rPr>
        <w:t>Checklist of what the workgroup impact assessment should cover (some items may need to be covered by Ofgem RIA)</w:t>
      </w:r>
    </w:p>
    <w:p w14:paraId="3C7A4522" w14:textId="07CF861D" w:rsidR="00620021" w:rsidRPr="00057A29" w:rsidRDefault="00620021" w:rsidP="00620021">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The Impact of Mod 621 and any alternates need to be assessed against the counterfactual of the current methodology. </w:t>
      </w:r>
    </w:p>
    <w:p w14:paraId="39BAFA93" w14:textId="77777777" w:rsidR="00620021" w:rsidRPr="00057A29" w:rsidRDefault="00620021" w:rsidP="00620021">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Intended and unintended consequences need to be identified </w:t>
      </w:r>
    </w:p>
    <w:p w14:paraId="552BAF58" w14:textId="77777777" w:rsidR="00620021" w:rsidRPr="00057A29" w:rsidRDefault="00620021" w:rsidP="00620021">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Wherever possible the impacts should be quantified as transparently as possible </w:t>
      </w:r>
    </w:p>
    <w:p w14:paraId="07F2A9ED" w14:textId="77777777" w:rsidR="00620021" w:rsidRPr="00057A29" w:rsidRDefault="00620021" w:rsidP="00620021">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The impact on the GB gas market in terms of: </w:t>
      </w:r>
    </w:p>
    <w:p w14:paraId="3C33D721" w14:textId="4AF12B4B" w:rsidR="00620021" w:rsidRPr="00057A29" w:rsidRDefault="00620021" w:rsidP="00620021">
      <w:pPr>
        <w:pStyle w:val="NormalWeb"/>
        <w:numPr>
          <w:ilvl w:val="1"/>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NBP liquidity; including in relation to other hubs in NW Europe, especially TTF </w:t>
      </w:r>
    </w:p>
    <w:p w14:paraId="05B8E146" w14:textId="02AD1DF3" w:rsidR="00620021" w:rsidRPr="00057A29" w:rsidRDefault="00620021" w:rsidP="00620021">
      <w:pPr>
        <w:pStyle w:val="NormalWeb"/>
        <w:numPr>
          <w:ilvl w:val="1"/>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GB competitiveness in relation to NW European markets </w:t>
      </w:r>
    </w:p>
    <w:p w14:paraId="3D7220EE" w14:textId="6786F100" w:rsidR="00620021" w:rsidRPr="00057A29" w:rsidRDefault="00620021" w:rsidP="00620021">
      <w:pPr>
        <w:pStyle w:val="NormalWeb"/>
        <w:numPr>
          <w:ilvl w:val="1"/>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Wholesale prices, including volatility and risk of extreme prices </w:t>
      </w:r>
    </w:p>
    <w:p w14:paraId="5E66213A" w14:textId="77777777" w:rsidR="00620021" w:rsidRPr="00057A29" w:rsidRDefault="00620021" w:rsidP="00620021">
      <w:pPr>
        <w:pStyle w:val="NormalWeb"/>
        <w:numPr>
          <w:ilvl w:val="1"/>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Wholesale market competition </w:t>
      </w:r>
    </w:p>
    <w:p w14:paraId="0F1594F3" w14:textId="77777777" w:rsidR="00620021" w:rsidRPr="00057A29" w:rsidRDefault="00620021" w:rsidP="00620021">
      <w:pPr>
        <w:pStyle w:val="NormalWeb"/>
        <w:numPr>
          <w:ilvl w:val="1"/>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Competition in supply </w:t>
      </w:r>
    </w:p>
    <w:p w14:paraId="7AC640CA" w14:textId="58AD7302" w:rsidR="00620021" w:rsidRPr="00057A29" w:rsidRDefault="00620021" w:rsidP="00620021">
      <w:pPr>
        <w:pStyle w:val="NormalWeb"/>
        <w:numPr>
          <w:ilvl w:val="1"/>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Attractiveness of GB as a destination for gas, within EU and globally </w:t>
      </w:r>
    </w:p>
    <w:p w14:paraId="65896546" w14:textId="5C51824C" w:rsidR="00620021" w:rsidRPr="00057A29" w:rsidRDefault="00620021" w:rsidP="00620021">
      <w:pPr>
        <w:pStyle w:val="NormalWeb"/>
        <w:numPr>
          <w:ilvl w:val="1"/>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Security of Supply / price </w:t>
      </w:r>
    </w:p>
    <w:p w14:paraId="62FF1D2C" w14:textId="77777777" w:rsidR="00620021" w:rsidRPr="00057A29" w:rsidRDefault="00620021" w:rsidP="00620021">
      <w:pPr>
        <w:pStyle w:val="NormalWeb"/>
        <w:numPr>
          <w:ilvl w:val="0"/>
          <w:numId w:val="36"/>
        </w:numPr>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Impact on the availability of flexible gas and on the operation of the NTS </w:t>
      </w:r>
    </w:p>
    <w:p w14:paraId="6B4889FA" w14:textId="77777777" w:rsidR="00620021" w:rsidRPr="00057A29" w:rsidRDefault="00620021" w:rsidP="00620021">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Impact on gas balancing costs </w:t>
      </w:r>
    </w:p>
    <w:p w14:paraId="78E95226" w14:textId="4B246FBB" w:rsidR="00620021" w:rsidRPr="00057A29" w:rsidRDefault="00620021" w:rsidP="00620021">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Impact on the volatility and</w:t>
      </w:r>
      <w:r w:rsidRPr="00057A29">
        <w:rPr>
          <w:rFonts w:ascii="ArialMT" w:hAnsi="ArialMT" w:cs="ArialMT"/>
          <w:i/>
          <w:color w:val="000000" w:themeColor="text1"/>
          <w:sz w:val="28"/>
          <w:szCs w:val="28"/>
        </w:rPr>
        <w:t xml:space="preserve"> </w:t>
      </w:r>
      <w:r w:rsidRPr="00057A29">
        <w:rPr>
          <w:rFonts w:ascii="ArialMT" w:hAnsi="ArialMT" w:cs="ArialMT"/>
          <w:i/>
          <w:color w:val="000000" w:themeColor="text1"/>
          <w:sz w:val="22"/>
          <w:szCs w:val="22"/>
        </w:rPr>
        <w:t xml:space="preserve">price level at the NBP </w:t>
      </w:r>
    </w:p>
    <w:p w14:paraId="15EB0B4E" w14:textId="7CA1180C" w:rsidR="00620021" w:rsidRPr="00057A29" w:rsidRDefault="00620021" w:rsidP="00620021">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Impact on the volatility and price level of the and electricity market </w:t>
      </w:r>
    </w:p>
    <w:p w14:paraId="07A60639" w14:textId="7E51E88E" w:rsidR="00620021" w:rsidRPr="00057A29" w:rsidRDefault="00620021" w:rsidP="00620021">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Impact on the SoS and on required network investment to pass N-1 test </w:t>
      </w:r>
    </w:p>
    <w:p w14:paraId="28604662" w14:textId="641FA0D1" w:rsidR="00620021" w:rsidRPr="00057A29" w:rsidRDefault="00620021" w:rsidP="00620021">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The impact on stakeholders by type, existing and new </w:t>
      </w:r>
    </w:p>
    <w:p w14:paraId="0A328D51" w14:textId="2297E39E" w:rsidR="00620021" w:rsidRPr="00057A29" w:rsidRDefault="00620021" w:rsidP="00620021">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Cross market impacts with electricity; impact on electricity wholesale prices, capacity mechanism, balancing costs and any issues arising from different approaches to charging </w:t>
      </w:r>
    </w:p>
    <w:p w14:paraId="50640077" w14:textId="77777777" w:rsidR="00620021" w:rsidRPr="00057A29" w:rsidRDefault="00620021" w:rsidP="00620021">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Cost allocation in context of cost reflectivity, and cost reflectivity in the context of Article 8 relevant flow scenarios </w:t>
      </w:r>
    </w:p>
    <w:p w14:paraId="2772BD3C" w14:textId="77777777" w:rsidR="00620021" w:rsidRPr="00057A29" w:rsidRDefault="00620021" w:rsidP="00620021">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Environmental impacts, if any? </w:t>
      </w:r>
    </w:p>
    <w:p w14:paraId="5C8A7957" w14:textId="7B5CF8C0" w:rsidR="00620021" w:rsidRPr="00057A29" w:rsidRDefault="00620021" w:rsidP="00620021">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Regional impact of the cost re-distribution on customer bills </w:t>
      </w:r>
    </w:p>
    <w:p w14:paraId="475DED6D" w14:textId="77777777" w:rsidR="00620021" w:rsidRPr="00057A29" w:rsidRDefault="00620021" w:rsidP="00620021">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The ability to accurately forecast costs </w:t>
      </w:r>
    </w:p>
    <w:p w14:paraId="796A3ADF" w14:textId="77777777" w:rsidR="00620021" w:rsidRPr="00057A29" w:rsidRDefault="00620021" w:rsidP="00620021">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Cost reflectivity </w:t>
      </w:r>
    </w:p>
    <w:p w14:paraId="7B6179C4" w14:textId="77777777" w:rsidR="00620021" w:rsidRPr="00057A29" w:rsidRDefault="00620021" w:rsidP="00620021">
      <w:pPr>
        <w:pStyle w:val="NormalWeb"/>
        <w:numPr>
          <w:ilvl w:val="0"/>
          <w:numId w:val="36"/>
        </w:numPr>
        <w:spacing w:before="100" w:beforeAutospacing="1" w:after="100" w:afterAutospacing="1" w:line="240" w:lineRule="auto"/>
        <w:rPr>
          <w:rFonts w:ascii="ArialMT" w:hAnsi="ArialMT" w:cs="ArialMT"/>
          <w:i/>
          <w:color w:val="000000" w:themeColor="text1"/>
          <w:sz w:val="22"/>
          <w:szCs w:val="22"/>
        </w:rPr>
      </w:pPr>
      <w:r w:rsidRPr="00057A29">
        <w:rPr>
          <w:rFonts w:ascii="ArialMT" w:hAnsi="ArialMT" w:cs="ArialMT"/>
          <w:i/>
          <w:color w:val="000000" w:themeColor="text1"/>
          <w:sz w:val="22"/>
          <w:szCs w:val="22"/>
        </w:rPr>
        <w:t xml:space="preserve">The impacts of the level of K. </w:t>
      </w:r>
    </w:p>
    <w:p w14:paraId="65893EAD" w14:textId="77777777" w:rsidR="00620021" w:rsidRDefault="00620021" w:rsidP="00620021"/>
    <w:p w14:paraId="3E46C82D" w14:textId="77777777" w:rsidR="00620021" w:rsidRDefault="00620021" w:rsidP="005B60A0">
      <w:pPr>
        <w:spacing w:before="240"/>
        <w:rPr>
          <w:rFonts w:cs="Arial"/>
          <w:b/>
          <w:color w:val="000000" w:themeColor="text1"/>
        </w:rPr>
      </w:pPr>
    </w:p>
    <w:p w14:paraId="6E880E9A" w14:textId="77777777" w:rsidR="005B60A0" w:rsidRPr="007D2DB4" w:rsidRDefault="005B60A0" w:rsidP="005B60A0">
      <w:pPr>
        <w:spacing w:before="240"/>
        <w:rPr>
          <w:rFonts w:cs="Arial"/>
          <w:b/>
          <w:color w:val="000000" w:themeColor="text1"/>
        </w:rPr>
      </w:pPr>
      <w:r w:rsidRPr="007D2DB4">
        <w:rPr>
          <w:rFonts w:cs="Arial"/>
          <w:b/>
          <w:color w:val="000000" w:themeColor="text1"/>
        </w:rPr>
        <w:t>Objectives</w:t>
      </w:r>
    </w:p>
    <w:p w14:paraId="74A52413" w14:textId="77777777" w:rsidR="005B60A0" w:rsidRPr="007D2DB4" w:rsidRDefault="005B60A0" w:rsidP="005B60A0">
      <w:pPr>
        <w:widowControl w:val="0"/>
        <w:autoSpaceDE w:val="0"/>
        <w:autoSpaceDN w:val="0"/>
        <w:adjustRightInd w:val="0"/>
        <w:spacing w:before="0" w:after="240" w:line="240" w:lineRule="atLeast"/>
        <w:rPr>
          <w:rFonts w:eastAsia="Cambria" w:cs="Arial"/>
          <w:color w:val="000000" w:themeColor="text1"/>
          <w:sz w:val="21"/>
          <w:szCs w:val="21"/>
        </w:rPr>
      </w:pPr>
    </w:p>
    <w:p w14:paraId="525C5309" w14:textId="08863CD4" w:rsidR="00B120EF" w:rsidRPr="00057A29" w:rsidRDefault="005B60A0" w:rsidP="005B60A0">
      <w:pPr>
        <w:widowControl w:val="0"/>
        <w:autoSpaceDE w:val="0"/>
        <w:autoSpaceDN w:val="0"/>
        <w:adjustRightInd w:val="0"/>
        <w:spacing w:before="0" w:after="240" w:line="240" w:lineRule="atLeast"/>
        <w:rPr>
          <w:rFonts w:eastAsia="Cambria" w:cs="Arial"/>
          <w:color w:val="000000" w:themeColor="text1"/>
          <w:sz w:val="21"/>
          <w:szCs w:val="21"/>
        </w:rPr>
      </w:pPr>
      <w:r w:rsidRPr="007D2DB4">
        <w:rPr>
          <w:rFonts w:eastAsia="Cambria" w:cs="Arial"/>
          <w:color w:val="000000" w:themeColor="text1"/>
          <w:sz w:val="21"/>
          <w:szCs w:val="21"/>
        </w:rPr>
        <w:t>[</w:t>
      </w:r>
      <w:r w:rsidRPr="00057A29">
        <w:rPr>
          <w:rFonts w:eastAsia="Cambria" w:cs="Arial"/>
          <w:color w:val="000000" w:themeColor="text1"/>
          <w:sz w:val="21"/>
          <w:szCs w:val="21"/>
        </w:rPr>
        <w:t>Reference to Appendix 1: Customer/stakeholder objectives developed within NTSCMF ]</w:t>
      </w:r>
    </w:p>
    <w:p w14:paraId="3AEA5C5B" w14:textId="4F806194" w:rsidR="00B120EF" w:rsidRPr="00057A29" w:rsidRDefault="00B120EF" w:rsidP="00B120EF">
      <w:pPr>
        <w:pStyle w:val="ListParagraph"/>
        <w:widowControl w:val="0"/>
        <w:numPr>
          <w:ilvl w:val="0"/>
          <w:numId w:val="38"/>
        </w:numPr>
        <w:autoSpaceDE w:val="0"/>
        <w:autoSpaceDN w:val="0"/>
        <w:adjustRightInd w:val="0"/>
        <w:spacing w:before="0" w:after="240" w:line="240" w:lineRule="atLeast"/>
        <w:rPr>
          <w:rFonts w:eastAsia="Cambria" w:cs="Arial"/>
          <w:i/>
          <w:color w:val="000000" w:themeColor="text1"/>
          <w:sz w:val="21"/>
          <w:szCs w:val="21"/>
        </w:rPr>
      </w:pPr>
      <w:r w:rsidRPr="00057A29">
        <w:rPr>
          <w:rFonts w:eastAsia="Cambria" w:cs="Arial"/>
          <w:i/>
          <w:color w:val="000000" w:themeColor="text1"/>
          <w:sz w:val="21"/>
          <w:szCs w:val="21"/>
        </w:rPr>
        <w:t>Minimise Volatility</w:t>
      </w:r>
    </w:p>
    <w:p w14:paraId="4BE5F1F7" w14:textId="3C4260A1" w:rsidR="00B120EF" w:rsidRPr="00057A29" w:rsidRDefault="00B120EF" w:rsidP="00B120EF">
      <w:pPr>
        <w:pStyle w:val="ListParagraph"/>
        <w:widowControl w:val="0"/>
        <w:numPr>
          <w:ilvl w:val="0"/>
          <w:numId w:val="38"/>
        </w:numPr>
        <w:autoSpaceDE w:val="0"/>
        <w:autoSpaceDN w:val="0"/>
        <w:adjustRightInd w:val="0"/>
        <w:spacing w:before="0" w:after="240" w:line="240" w:lineRule="atLeast"/>
        <w:rPr>
          <w:rFonts w:eastAsia="Cambria" w:cs="Arial"/>
          <w:i/>
          <w:color w:val="000000" w:themeColor="text1"/>
          <w:sz w:val="21"/>
          <w:szCs w:val="21"/>
        </w:rPr>
      </w:pPr>
      <w:r w:rsidRPr="00057A29">
        <w:rPr>
          <w:rFonts w:eastAsia="Cambria" w:cs="Arial"/>
          <w:i/>
          <w:color w:val="000000" w:themeColor="text1"/>
          <w:sz w:val="21"/>
          <w:szCs w:val="21"/>
        </w:rPr>
        <w:t>Predictability</w:t>
      </w:r>
    </w:p>
    <w:p w14:paraId="0B2C443C" w14:textId="62E7199D" w:rsidR="00B120EF" w:rsidRPr="00057A29" w:rsidRDefault="00B120EF" w:rsidP="00B120EF">
      <w:pPr>
        <w:pStyle w:val="ListParagraph"/>
        <w:widowControl w:val="0"/>
        <w:numPr>
          <w:ilvl w:val="0"/>
          <w:numId w:val="38"/>
        </w:numPr>
        <w:autoSpaceDE w:val="0"/>
        <w:autoSpaceDN w:val="0"/>
        <w:adjustRightInd w:val="0"/>
        <w:spacing w:before="0" w:after="240" w:line="240" w:lineRule="atLeast"/>
        <w:rPr>
          <w:rFonts w:eastAsia="Cambria" w:cs="Arial"/>
          <w:i/>
          <w:color w:val="000000" w:themeColor="text1"/>
          <w:sz w:val="21"/>
          <w:szCs w:val="21"/>
        </w:rPr>
      </w:pPr>
      <w:r w:rsidRPr="00057A29">
        <w:rPr>
          <w:rFonts w:eastAsia="Cambria" w:cs="Arial"/>
          <w:i/>
          <w:color w:val="000000" w:themeColor="text1"/>
          <w:sz w:val="21"/>
          <w:szCs w:val="21"/>
        </w:rPr>
        <w:t>Stability of prices</w:t>
      </w:r>
    </w:p>
    <w:p w14:paraId="5981C81E" w14:textId="4A13FDF8" w:rsidR="00B120EF" w:rsidRPr="00057A29" w:rsidRDefault="00B120EF" w:rsidP="00B120EF">
      <w:pPr>
        <w:pStyle w:val="ListParagraph"/>
        <w:widowControl w:val="0"/>
        <w:numPr>
          <w:ilvl w:val="0"/>
          <w:numId w:val="38"/>
        </w:numPr>
        <w:autoSpaceDE w:val="0"/>
        <w:autoSpaceDN w:val="0"/>
        <w:adjustRightInd w:val="0"/>
        <w:spacing w:before="0" w:after="240" w:line="240" w:lineRule="atLeast"/>
        <w:rPr>
          <w:rFonts w:eastAsia="Cambria" w:cs="Arial"/>
          <w:i/>
          <w:color w:val="000000" w:themeColor="text1"/>
          <w:sz w:val="21"/>
          <w:szCs w:val="21"/>
        </w:rPr>
      </w:pPr>
      <w:r w:rsidRPr="00057A29">
        <w:rPr>
          <w:rFonts w:eastAsia="Cambria" w:cs="Arial"/>
          <w:i/>
          <w:color w:val="000000" w:themeColor="text1"/>
          <w:sz w:val="21"/>
          <w:szCs w:val="21"/>
        </w:rPr>
        <w:t>Fairness</w:t>
      </w:r>
    </w:p>
    <w:p w14:paraId="56CE7965" w14:textId="16EF4282" w:rsidR="00B120EF" w:rsidRPr="00057A29" w:rsidRDefault="00B120EF" w:rsidP="00B120EF">
      <w:pPr>
        <w:pStyle w:val="ListParagraph"/>
        <w:widowControl w:val="0"/>
        <w:numPr>
          <w:ilvl w:val="0"/>
          <w:numId w:val="38"/>
        </w:numPr>
        <w:autoSpaceDE w:val="0"/>
        <w:autoSpaceDN w:val="0"/>
        <w:adjustRightInd w:val="0"/>
        <w:spacing w:before="0" w:after="240" w:line="240" w:lineRule="atLeast"/>
        <w:rPr>
          <w:rFonts w:eastAsia="Cambria" w:cs="Arial"/>
          <w:i/>
          <w:color w:val="000000" w:themeColor="text1"/>
          <w:sz w:val="21"/>
          <w:szCs w:val="21"/>
        </w:rPr>
      </w:pPr>
      <w:r w:rsidRPr="00057A29">
        <w:rPr>
          <w:rFonts w:eastAsia="Cambria" w:cs="Arial"/>
          <w:i/>
          <w:color w:val="000000" w:themeColor="text1"/>
          <w:sz w:val="21"/>
          <w:szCs w:val="21"/>
        </w:rPr>
        <w:t>Security</w:t>
      </w:r>
    </w:p>
    <w:p w14:paraId="7C02EA9B" w14:textId="77777777" w:rsidR="00B120EF" w:rsidRPr="00057A29" w:rsidRDefault="00B120EF" w:rsidP="005459C4">
      <w:pPr>
        <w:widowControl w:val="0"/>
        <w:autoSpaceDE w:val="0"/>
        <w:autoSpaceDN w:val="0"/>
        <w:adjustRightInd w:val="0"/>
        <w:spacing w:before="0" w:after="240" w:line="240" w:lineRule="atLeast"/>
        <w:jc w:val="right"/>
        <w:rPr>
          <w:rFonts w:eastAsia="Cambria" w:cs="Arial"/>
          <w:i/>
          <w:color w:val="000000" w:themeColor="text1"/>
          <w:sz w:val="21"/>
          <w:szCs w:val="21"/>
        </w:rPr>
      </w:pPr>
    </w:p>
    <w:p w14:paraId="73D734FD" w14:textId="2218BDDB" w:rsidR="00B120EF" w:rsidRPr="00057A29" w:rsidRDefault="00B120EF" w:rsidP="00B120EF">
      <w:pPr>
        <w:pStyle w:val="ListParagraph"/>
        <w:widowControl w:val="0"/>
        <w:numPr>
          <w:ilvl w:val="0"/>
          <w:numId w:val="38"/>
        </w:numPr>
        <w:autoSpaceDE w:val="0"/>
        <w:autoSpaceDN w:val="0"/>
        <w:adjustRightInd w:val="0"/>
        <w:spacing w:before="0" w:after="240" w:line="240" w:lineRule="atLeast"/>
        <w:rPr>
          <w:rFonts w:eastAsia="Cambria" w:cs="Arial"/>
          <w:i/>
          <w:color w:val="000000" w:themeColor="text1"/>
          <w:sz w:val="21"/>
          <w:szCs w:val="21"/>
        </w:rPr>
      </w:pPr>
      <w:r w:rsidRPr="00057A29">
        <w:rPr>
          <w:rFonts w:eastAsia="Cambria" w:cs="Arial"/>
          <w:i/>
          <w:color w:val="000000" w:themeColor="text1"/>
          <w:sz w:val="21"/>
          <w:szCs w:val="21"/>
        </w:rPr>
        <w:t>Network Efficiency</w:t>
      </w:r>
    </w:p>
    <w:p w14:paraId="36041D29" w14:textId="2A383C6C" w:rsidR="00B120EF" w:rsidRPr="00057A29" w:rsidRDefault="00B120EF" w:rsidP="00B120EF">
      <w:pPr>
        <w:widowControl w:val="0"/>
        <w:autoSpaceDE w:val="0"/>
        <w:autoSpaceDN w:val="0"/>
        <w:adjustRightInd w:val="0"/>
        <w:spacing w:before="0" w:after="0" w:line="280" w:lineRule="atLeast"/>
        <w:rPr>
          <w:rFonts w:ascii="Times" w:eastAsia="Cambria" w:hAnsi="Times" w:cs="Times"/>
          <w:color w:val="000000" w:themeColor="text1"/>
          <w:sz w:val="24"/>
        </w:rPr>
      </w:pPr>
      <w:r w:rsidRPr="00057A29">
        <w:rPr>
          <w:rFonts w:ascii="Times" w:eastAsia="Cambria" w:hAnsi="Times" w:cs="Times"/>
          <w:color w:val="000000" w:themeColor="text1"/>
          <w:sz w:val="24"/>
        </w:rPr>
        <w:lastRenderedPageBreak/>
        <w:t xml:space="preserve"> </w:t>
      </w:r>
    </w:p>
    <w:p w14:paraId="1B2EDCA2" w14:textId="77777777" w:rsidR="00B120EF" w:rsidRPr="007D2DB4" w:rsidRDefault="00B120EF" w:rsidP="005B60A0">
      <w:pPr>
        <w:widowControl w:val="0"/>
        <w:autoSpaceDE w:val="0"/>
        <w:autoSpaceDN w:val="0"/>
        <w:adjustRightInd w:val="0"/>
        <w:spacing w:before="0" w:after="240" w:line="240" w:lineRule="atLeast"/>
        <w:rPr>
          <w:rFonts w:ascii="Times" w:eastAsia="Cambria" w:hAnsi="Times" w:cs="Times"/>
          <w:color w:val="000000" w:themeColor="text1"/>
          <w:sz w:val="24"/>
        </w:rPr>
      </w:pPr>
    </w:p>
    <w:p w14:paraId="27B8F162" w14:textId="6527F338" w:rsidR="005B60A0" w:rsidRPr="00964263" w:rsidRDefault="005B60A0" w:rsidP="005B60A0">
      <w:pPr>
        <w:spacing w:before="240"/>
        <w:rPr>
          <w:rFonts w:cs="Arial"/>
          <w:color w:val="000000" w:themeColor="text1"/>
        </w:rPr>
      </w:pPr>
      <w:r w:rsidRPr="00964263">
        <w:rPr>
          <w:rFonts w:cs="Arial"/>
          <w:color w:val="000000" w:themeColor="text1"/>
        </w:rPr>
        <w:t>(</w:t>
      </w:r>
      <w:r w:rsidR="00964263" w:rsidRPr="00964263">
        <w:rPr>
          <w:rFonts w:cs="Arial"/>
          <w:color w:val="FF0000"/>
        </w:rPr>
        <w:t xml:space="preserve">discussed at </w:t>
      </w:r>
      <w:r w:rsidRPr="00964263">
        <w:rPr>
          <w:rFonts w:cs="Arial"/>
          <w:color w:val="000000" w:themeColor="text1"/>
        </w:rPr>
        <w:t>Sept and Oct 2016 NTSCMF)</w:t>
      </w:r>
    </w:p>
    <w:p w14:paraId="7D1111A4" w14:textId="77777777" w:rsidR="005B60A0" w:rsidRPr="007D2DB4" w:rsidRDefault="005B60A0" w:rsidP="005B60A0">
      <w:pPr>
        <w:spacing w:before="240"/>
        <w:rPr>
          <w:rFonts w:cs="Arial"/>
          <w:b/>
          <w:color w:val="000000" w:themeColor="text1"/>
        </w:rPr>
      </w:pPr>
      <w:r w:rsidRPr="007D2DB4">
        <w:rPr>
          <w:rFonts w:cs="Arial"/>
          <w:b/>
          <w:color w:val="000000" w:themeColor="text1"/>
        </w:rPr>
        <w:t>RPM - Decision to use Capacity Weighted Distance rather than other options such as LRMC or postalised charging</w:t>
      </w:r>
    </w:p>
    <w:p w14:paraId="12DEC701" w14:textId="77777777" w:rsidR="005B60A0" w:rsidRPr="007D2DB4" w:rsidRDefault="005B60A0" w:rsidP="005B60A0">
      <w:pPr>
        <w:spacing w:before="240"/>
        <w:rPr>
          <w:rFonts w:cs="Arial"/>
          <w:b/>
          <w:color w:val="000000" w:themeColor="text1"/>
        </w:rPr>
      </w:pPr>
    </w:p>
    <w:p w14:paraId="07851FBF" w14:textId="77777777" w:rsidR="005B60A0" w:rsidRPr="007D2DB4" w:rsidRDefault="005B60A0" w:rsidP="005B60A0">
      <w:pPr>
        <w:spacing w:before="240"/>
        <w:rPr>
          <w:rFonts w:cs="Arial"/>
          <w:b/>
          <w:color w:val="000000" w:themeColor="text1"/>
        </w:rPr>
      </w:pPr>
    </w:p>
    <w:p w14:paraId="191FA693" w14:textId="77777777" w:rsidR="005B60A0" w:rsidRPr="00E51180" w:rsidRDefault="005B60A0" w:rsidP="005B60A0">
      <w:pPr>
        <w:spacing w:before="240"/>
        <w:rPr>
          <w:rFonts w:cs="Arial"/>
          <w:b/>
          <w:color w:val="FF0000"/>
        </w:rPr>
      </w:pPr>
    </w:p>
    <w:p w14:paraId="6E46141D" w14:textId="77777777" w:rsidR="005B60A0" w:rsidRDefault="005B60A0" w:rsidP="005B60A0">
      <w:pPr>
        <w:spacing w:before="240"/>
        <w:rPr>
          <w:rFonts w:cs="Arial"/>
          <w:color w:val="FF0000"/>
        </w:rPr>
      </w:pPr>
      <w:r>
        <w:rPr>
          <w:rFonts w:cs="Arial"/>
          <w:noProof/>
          <w:color w:val="FF0000"/>
        </w:rPr>
        <w:drawing>
          <wp:inline distT="0" distB="0" distL="0" distR="0" wp14:anchorId="34AC38CC" wp14:editId="4E0BB20A">
            <wp:extent cx="5727700" cy="3580130"/>
            <wp:effectExtent l="0" t="0" r="1270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1-05 at 14.57.06.png"/>
                    <pic:cNvPicPr/>
                  </pic:nvPicPr>
                  <pic:blipFill>
                    <a:blip r:embed="rId37">
                      <a:extLst>
                        <a:ext uri="{28A0092B-C50C-407E-A947-70E740481C1C}">
                          <a14:useLocalDpi xmlns:a14="http://schemas.microsoft.com/office/drawing/2010/main" val="0"/>
                        </a:ext>
                      </a:extLst>
                    </a:blip>
                    <a:stretch>
                      <a:fillRect/>
                    </a:stretch>
                  </pic:blipFill>
                  <pic:spPr>
                    <a:xfrm>
                      <a:off x="0" y="0"/>
                      <a:ext cx="5727700" cy="3580130"/>
                    </a:xfrm>
                    <a:prstGeom prst="rect">
                      <a:avLst/>
                    </a:prstGeom>
                  </pic:spPr>
                </pic:pic>
              </a:graphicData>
            </a:graphic>
          </wp:inline>
        </w:drawing>
      </w:r>
    </w:p>
    <w:p w14:paraId="117E9E04" w14:textId="77777777" w:rsidR="005B60A0" w:rsidRPr="007D2DB4" w:rsidRDefault="005B60A0" w:rsidP="005B60A0">
      <w:pPr>
        <w:spacing w:before="240"/>
        <w:rPr>
          <w:rFonts w:cs="Arial"/>
          <w:color w:val="000000" w:themeColor="text1"/>
        </w:rPr>
      </w:pPr>
      <w:r w:rsidRPr="007D2DB4">
        <w:rPr>
          <w:rFonts w:cs="Arial"/>
          <w:color w:val="000000" w:themeColor="text1"/>
        </w:rPr>
        <w:t xml:space="preserve">Currently NTS Capacity charges (TO Entry and TO Exit charges) are calculated using Long Run Marginal Costs (LRMC). </w:t>
      </w:r>
    </w:p>
    <w:p w14:paraId="4180AE22" w14:textId="77777777" w:rsidR="005B60A0" w:rsidRDefault="005B60A0" w:rsidP="005B60A0">
      <w:pPr>
        <w:spacing w:before="240"/>
        <w:rPr>
          <w:rFonts w:cs="Arial"/>
          <w:color w:val="FF0000"/>
        </w:rPr>
      </w:pPr>
      <w:r>
        <w:rPr>
          <w:rFonts w:cs="Arial"/>
          <w:noProof/>
          <w:color w:val="FF0000"/>
        </w:rPr>
        <w:lastRenderedPageBreak/>
        <w:drawing>
          <wp:inline distT="0" distB="0" distL="0" distR="0" wp14:anchorId="31BA11DC" wp14:editId="4A4BF1CC">
            <wp:extent cx="5727700" cy="3580130"/>
            <wp:effectExtent l="0" t="0" r="1270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1-05 at 15.00.09.png"/>
                    <pic:cNvPicPr/>
                  </pic:nvPicPr>
                  <pic:blipFill>
                    <a:blip r:embed="rId38">
                      <a:extLst>
                        <a:ext uri="{28A0092B-C50C-407E-A947-70E740481C1C}">
                          <a14:useLocalDpi xmlns:a14="http://schemas.microsoft.com/office/drawing/2010/main" val="0"/>
                        </a:ext>
                      </a:extLst>
                    </a:blip>
                    <a:stretch>
                      <a:fillRect/>
                    </a:stretch>
                  </pic:blipFill>
                  <pic:spPr>
                    <a:xfrm>
                      <a:off x="0" y="0"/>
                      <a:ext cx="5727700" cy="3580130"/>
                    </a:xfrm>
                    <a:prstGeom prst="rect">
                      <a:avLst/>
                    </a:prstGeom>
                  </pic:spPr>
                </pic:pic>
              </a:graphicData>
            </a:graphic>
          </wp:inline>
        </w:drawing>
      </w:r>
    </w:p>
    <w:p w14:paraId="00A52E6A" w14:textId="77777777" w:rsidR="005B60A0" w:rsidRPr="007D2DB4" w:rsidRDefault="005B60A0" w:rsidP="005B60A0">
      <w:pPr>
        <w:spacing w:before="240"/>
        <w:rPr>
          <w:rFonts w:cs="Arial"/>
          <w:color w:val="000000" w:themeColor="text1"/>
        </w:rPr>
      </w:pPr>
      <w:r w:rsidRPr="007D2DB4">
        <w:rPr>
          <w:rFonts w:cs="Arial"/>
          <w:color w:val="000000" w:themeColor="text1"/>
        </w:rPr>
        <w:t>Commodity charges (TO Entry, TO Exit and SO Energy and Exit) are used for revenue recovery.</w:t>
      </w:r>
    </w:p>
    <w:p w14:paraId="5BF246BD" w14:textId="77777777" w:rsidR="005B60A0" w:rsidRPr="007D2DB4" w:rsidRDefault="005B60A0" w:rsidP="005B60A0">
      <w:pPr>
        <w:spacing w:before="240"/>
        <w:rPr>
          <w:rFonts w:cs="Arial"/>
          <w:color w:val="000000" w:themeColor="text1"/>
        </w:rPr>
      </w:pPr>
    </w:p>
    <w:p w14:paraId="78909D45" w14:textId="77777777" w:rsidR="005B60A0" w:rsidRPr="007D2DB4" w:rsidRDefault="005B60A0" w:rsidP="005B60A0">
      <w:pPr>
        <w:spacing w:before="240"/>
        <w:rPr>
          <w:rFonts w:cs="Arial"/>
          <w:color w:val="000000" w:themeColor="text1"/>
        </w:rPr>
      </w:pPr>
      <w:r w:rsidRPr="007D2DB4">
        <w:rPr>
          <w:rFonts w:cs="Arial"/>
          <w:color w:val="000000" w:themeColor="text1"/>
        </w:rPr>
        <w:t>The decision to use Capacity Weighted Distance for charges to be effective from October 2018 was taken for the following reasons:</w:t>
      </w:r>
    </w:p>
    <w:p w14:paraId="5EEE58D9" w14:textId="77777777" w:rsidR="005B60A0" w:rsidRPr="007D2DB4" w:rsidRDefault="005B60A0" w:rsidP="005B60A0">
      <w:pPr>
        <w:pStyle w:val="ListParagraph"/>
        <w:numPr>
          <w:ilvl w:val="0"/>
          <w:numId w:val="33"/>
        </w:numPr>
        <w:spacing w:before="240"/>
        <w:rPr>
          <w:rFonts w:cs="Arial"/>
          <w:color w:val="000000" w:themeColor="text1"/>
        </w:rPr>
      </w:pPr>
      <w:r w:rsidRPr="007D2DB4">
        <w:rPr>
          <w:rFonts w:cs="Arial"/>
          <w:color w:val="000000" w:themeColor="text1"/>
        </w:rPr>
        <w:t>Xx</w:t>
      </w:r>
    </w:p>
    <w:p w14:paraId="78D3758A" w14:textId="77777777" w:rsidR="005B60A0" w:rsidRPr="007D2DB4" w:rsidRDefault="005B60A0" w:rsidP="005B60A0">
      <w:pPr>
        <w:pStyle w:val="ListParagraph"/>
        <w:numPr>
          <w:ilvl w:val="0"/>
          <w:numId w:val="33"/>
        </w:numPr>
        <w:spacing w:before="240"/>
        <w:rPr>
          <w:rFonts w:cs="Arial"/>
          <w:color w:val="000000" w:themeColor="text1"/>
        </w:rPr>
      </w:pPr>
      <w:r w:rsidRPr="007D2DB4">
        <w:rPr>
          <w:rFonts w:cs="Arial"/>
          <w:color w:val="000000" w:themeColor="text1"/>
        </w:rPr>
        <w:t>Yy</w:t>
      </w:r>
    </w:p>
    <w:p w14:paraId="635120DF" w14:textId="77777777" w:rsidR="005B60A0" w:rsidRPr="007D2DB4" w:rsidRDefault="005B60A0" w:rsidP="005B60A0">
      <w:pPr>
        <w:pStyle w:val="ListParagraph"/>
        <w:numPr>
          <w:ilvl w:val="0"/>
          <w:numId w:val="33"/>
        </w:numPr>
        <w:spacing w:before="240"/>
        <w:rPr>
          <w:rFonts w:cs="Arial"/>
          <w:color w:val="000000" w:themeColor="text1"/>
        </w:rPr>
      </w:pPr>
      <w:r w:rsidRPr="007D2DB4">
        <w:rPr>
          <w:rFonts w:cs="Arial"/>
          <w:color w:val="000000" w:themeColor="text1"/>
        </w:rPr>
        <w:t>Zz</w:t>
      </w:r>
    </w:p>
    <w:p w14:paraId="3A670106" w14:textId="77777777" w:rsidR="005B60A0" w:rsidRPr="007D2DB4" w:rsidRDefault="005B60A0" w:rsidP="005B60A0">
      <w:pPr>
        <w:pStyle w:val="ListParagraph"/>
        <w:numPr>
          <w:ilvl w:val="0"/>
          <w:numId w:val="33"/>
        </w:numPr>
        <w:spacing w:before="240"/>
        <w:rPr>
          <w:rFonts w:cs="Arial"/>
          <w:color w:val="000000" w:themeColor="text1"/>
        </w:rPr>
      </w:pPr>
    </w:p>
    <w:p w14:paraId="1C9F203E" w14:textId="77777777" w:rsidR="005B60A0" w:rsidRPr="007D2DB4" w:rsidRDefault="005B60A0" w:rsidP="005B60A0">
      <w:pPr>
        <w:spacing w:before="240"/>
        <w:rPr>
          <w:rFonts w:cs="Arial"/>
          <w:b/>
          <w:color w:val="000000" w:themeColor="text1"/>
        </w:rPr>
      </w:pPr>
      <w:r w:rsidRPr="007D2DB4">
        <w:rPr>
          <w:rFonts w:cs="Arial"/>
          <w:b/>
          <w:color w:val="000000" w:themeColor="text1"/>
        </w:rPr>
        <w:t>Legislative compliance</w:t>
      </w:r>
    </w:p>
    <w:p w14:paraId="1FA4B4EE" w14:textId="77777777" w:rsidR="005B60A0" w:rsidRPr="007D2DB4" w:rsidRDefault="005B60A0" w:rsidP="005B60A0">
      <w:pPr>
        <w:spacing w:before="240"/>
        <w:rPr>
          <w:rFonts w:cs="Arial"/>
          <w:i/>
          <w:color w:val="000000" w:themeColor="text1"/>
        </w:rPr>
      </w:pPr>
      <w:r w:rsidRPr="007D2DB4">
        <w:rPr>
          <w:rFonts w:cs="Arial"/>
          <w:color w:val="000000" w:themeColor="text1"/>
        </w:rPr>
        <w:t xml:space="preserve">Some workgroup participants requested clarification from National Grid on legislative compliance of the Modification proposal with reference to TAR NC. Specifically, there remain questions about use of commodity charging for some of the future implementation years of the Modification. </w:t>
      </w:r>
      <w:r w:rsidRPr="007D2DB4">
        <w:rPr>
          <w:rFonts w:cs="Arial"/>
          <w:i/>
          <w:color w:val="000000" w:themeColor="text1"/>
        </w:rPr>
        <w:t>[National Grid to supply further information from its legal team.]</w:t>
      </w:r>
    </w:p>
    <w:p w14:paraId="0CBDD01A" w14:textId="77777777" w:rsidR="005B60A0" w:rsidRPr="007D2DB4" w:rsidRDefault="005B60A0" w:rsidP="005B60A0">
      <w:pPr>
        <w:spacing w:before="240"/>
        <w:rPr>
          <w:rFonts w:cs="Arial"/>
          <w:b/>
          <w:color w:val="000000" w:themeColor="text1"/>
        </w:rPr>
      </w:pPr>
      <w:r w:rsidRPr="007D2DB4">
        <w:rPr>
          <w:rFonts w:cs="Arial"/>
          <w:b/>
          <w:color w:val="000000" w:themeColor="text1"/>
        </w:rPr>
        <w:t>Commodity vs Capacity charging</w:t>
      </w:r>
    </w:p>
    <w:p w14:paraId="27CF4CC1" w14:textId="77777777" w:rsidR="00367A42" w:rsidRPr="007D2DB4" w:rsidRDefault="00367A42" w:rsidP="005B60A0">
      <w:pPr>
        <w:spacing w:before="240"/>
        <w:rPr>
          <w:rFonts w:cs="Arial"/>
          <w:b/>
          <w:color w:val="000000" w:themeColor="text1"/>
        </w:rPr>
      </w:pPr>
    </w:p>
    <w:p w14:paraId="56C05630" w14:textId="330FA89E" w:rsidR="00367A42" w:rsidRPr="007D2DB4" w:rsidRDefault="00367A42" w:rsidP="005B60A0">
      <w:pPr>
        <w:spacing w:before="240"/>
        <w:rPr>
          <w:rFonts w:cs="Arial"/>
          <w:b/>
          <w:color w:val="000000" w:themeColor="text1"/>
        </w:rPr>
      </w:pPr>
      <w:r w:rsidRPr="007D2DB4">
        <w:rPr>
          <w:rFonts w:cs="Arial"/>
          <w:b/>
          <w:color w:val="000000" w:themeColor="text1"/>
        </w:rPr>
        <w:t>Historical/Existing Contracts</w:t>
      </w:r>
    </w:p>
    <w:p w14:paraId="6304405F" w14:textId="15A4698D" w:rsidR="00DA3390" w:rsidRPr="00461585" w:rsidRDefault="00EB5704" w:rsidP="005B60A0">
      <w:pPr>
        <w:spacing w:before="240"/>
        <w:rPr>
          <w:rFonts w:cs="Arial"/>
          <w:i/>
          <w:color w:val="000000" w:themeColor="text1"/>
        </w:rPr>
      </w:pPr>
      <w:r w:rsidRPr="00461585">
        <w:rPr>
          <w:rFonts w:cs="Arial"/>
          <w:i/>
          <w:color w:val="000000" w:themeColor="text1"/>
        </w:rPr>
        <w:t>Why the need to differentiate between historical and existing contracts?</w:t>
      </w:r>
    </w:p>
    <w:p w14:paraId="1F30CFF8" w14:textId="0A7938AE" w:rsidR="00EB5704" w:rsidRPr="00461585" w:rsidRDefault="00EB5704" w:rsidP="005B60A0">
      <w:pPr>
        <w:spacing w:before="240"/>
        <w:rPr>
          <w:rFonts w:cs="Arial"/>
          <w:i/>
          <w:color w:val="000000" w:themeColor="text1"/>
        </w:rPr>
      </w:pPr>
      <w:r w:rsidRPr="00461585">
        <w:rPr>
          <w:rFonts w:cs="Arial"/>
          <w:i/>
          <w:color w:val="000000" w:themeColor="text1"/>
        </w:rPr>
        <w:t>Link with Colin Hamilton’s pre-mod Treatment of Capacity at Combined ASEPs which is being discussed at Transmission Workgroup.</w:t>
      </w:r>
      <w:r w:rsidR="00461585">
        <w:rPr>
          <w:rFonts w:cs="Arial"/>
          <w:i/>
          <w:color w:val="000000" w:themeColor="text1"/>
        </w:rPr>
        <w:t xml:space="preserve"> </w:t>
      </w:r>
      <w:r w:rsidR="00461585" w:rsidRPr="00461585">
        <w:rPr>
          <w:rFonts w:cs="Arial"/>
          <w:i/>
          <w:color w:val="FF0000"/>
        </w:rPr>
        <w:t>(if needed)</w:t>
      </w:r>
    </w:p>
    <w:p w14:paraId="48AAA5DA" w14:textId="77777777" w:rsidR="00964263" w:rsidRDefault="00964263" w:rsidP="005B60A0">
      <w:pPr>
        <w:spacing w:before="240"/>
        <w:rPr>
          <w:rFonts w:cs="Arial"/>
          <w:b/>
          <w:color w:val="000000" w:themeColor="text1"/>
        </w:rPr>
      </w:pPr>
    </w:p>
    <w:p w14:paraId="55A9755C" w14:textId="77777777" w:rsidR="00964263" w:rsidRDefault="00964263" w:rsidP="005B60A0">
      <w:pPr>
        <w:spacing w:before="240"/>
        <w:rPr>
          <w:rFonts w:cs="Arial"/>
          <w:b/>
          <w:color w:val="000000" w:themeColor="text1"/>
        </w:rPr>
      </w:pPr>
    </w:p>
    <w:p w14:paraId="68E52D6A" w14:textId="77777777" w:rsidR="005B60A0" w:rsidRPr="007D2DB4" w:rsidRDefault="005B60A0" w:rsidP="005B60A0">
      <w:pPr>
        <w:spacing w:before="240"/>
        <w:rPr>
          <w:rFonts w:cs="Arial"/>
          <w:b/>
          <w:color w:val="000000" w:themeColor="text1"/>
        </w:rPr>
      </w:pPr>
      <w:r w:rsidRPr="007D2DB4">
        <w:rPr>
          <w:rFonts w:cs="Arial"/>
          <w:b/>
          <w:color w:val="000000" w:themeColor="text1"/>
        </w:rPr>
        <w:t>Forecasted Contracted Capacity</w:t>
      </w:r>
    </w:p>
    <w:p w14:paraId="3B0C2FA6" w14:textId="77777777" w:rsidR="005B60A0" w:rsidRPr="007D2DB4" w:rsidRDefault="005B60A0" w:rsidP="005B60A0">
      <w:pPr>
        <w:spacing w:before="240"/>
        <w:rPr>
          <w:rFonts w:cs="Arial"/>
          <w:b/>
          <w:color w:val="000000" w:themeColor="text1"/>
        </w:rPr>
      </w:pPr>
      <w:r w:rsidRPr="007D2DB4">
        <w:rPr>
          <w:rFonts w:cs="Arial"/>
          <w:b/>
          <w:color w:val="000000" w:themeColor="text1"/>
        </w:rPr>
        <w:t>Multipliers</w:t>
      </w:r>
    </w:p>
    <w:p w14:paraId="35267393" w14:textId="77777777" w:rsidR="00DA3390" w:rsidRDefault="00DA3390" w:rsidP="005B60A0">
      <w:pPr>
        <w:spacing w:before="240"/>
        <w:rPr>
          <w:rFonts w:cs="Arial"/>
          <w:b/>
          <w:color w:val="FF0000"/>
        </w:rPr>
      </w:pPr>
    </w:p>
    <w:p w14:paraId="5D8CBB9C" w14:textId="77777777" w:rsidR="005B60A0" w:rsidRPr="007D2DB4" w:rsidRDefault="005B60A0" w:rsidP="005B60A0">
      <w:pPr>
        <w:spacing w:before="240"/>
        <w:rPr>
          <w:rFonts w:cs="Arial"/>
          <w:b/>
          <w:color w:val="000000" w:themeColor="text1"/>
        </w:rPr>
      </w:pPr>
      <w:r w:rsidRPr="007D2DB4">
        <w:rPr>
          <w:rFonts w:cs="Arial"/>
          <w:b/>
          <w:color w:val="000000" w:themeColor="text1"/>
        </w:rPr>
        <w:t>Specific Capacity Discounts</w:t>
      </w:r>
    </w:p>
    <w:p w14:paraId="7B06345F" w14:textId="77777777" w:rsidR="005B60A0" w:rsidRPr="007D2DB4" w:rsidRDefault="005B60A0" w:rsidP="005B60A0">
      <w:pPr>
        <w:spacing w:before="240"/>
        <w:rPr>
          <w:rFonts w:cs="Arial"/>
          <w:b/>
          <w:i/>
          <w:color w:val="000000" w:themeColor="text1"/>
        </w:rPr>
      </w:pPr>
      <w:r w:rsidRPr="007D2DB4">
        <w:rPr>
          <w:rFonts w:cs="Arial"/>
          <w:b/>
          <w:i/>
          <w:color w:val="000000" w:themeColor="text1"/>
        </w:rPr>
        <w:t>Storage</w:t>
      </w:r>
    </w:p>
    <w:p w14:paraId="325F5925" w14:textId="48D85C65" w:rsidR="00502EAC" w:rsidRPr="004F5827" w:rsidRDefault="00502EAC" w:rsidP="00502EAC">
      <w:pPr>
        <w:rPr>
          <w:rFonts w:cs="Arial"/>
          <w:b/>
          <w:i/>
          <w:color w:val="000000" w:themeColor="text1"/>
        </w:rPr>
      </w:pPr>
      <w:r w:rsidRPr="004F5827">
        <w:rPr>
          <w:rFonts w:cs="Arial"/>
          <w:b/>
          <w:i/>
          <w:color w:val="000000" w:themeColor="text1"/>
        </w:rPr>
        <w:t xml:space="preserve">0621A </w:t>
      </w:r>
      <w:commentRangeStart w:id="9"/>
      <w:r w:rsidRPr="004F5827">
        <w:rPr>
          <w:rFonts w:cs="Arial"/>
          <w:b/>
          <w:i/>
          <w:color w:val="000000" w:themeColor="text1"/>
        </w:rPr>
        <w:t>Justification for 86% capacity charge discount</w:t>
      </w:r>
    </w:p>
    <w:p w14:paraId="0EEBA72D" w14:textId="77777777" w:rsidR="00502EAC" w:rsidRPr="004F5827" w:rsidRDefault="00502EAC" w:rsidP="00502EAC">
      <w:pPr>
        <w:rPr>
          <w:rFonts w:cs="Arial"/>
          <w:i/>
          <w:color w:val="000000" w:themeColor="text1"/>
        </w:rPr>
      </w:pPr>
      <w:r w:rsidRPr="004F5827">
        <w:rPr>
          <w:rFonts w:cs="Arial"/>
          <w:i/>
          <w:color w:val="000000" w:themeColor="text1"/>
        </w:rPr>
        <w:t xml:space="preserve">The 86% discount was derived in accordance with the methodology set out in the Waters Wye Associates supporting document to Mod 621A.  The document can be found </w:t>
      </w:r>
      <w:hyperlink r:id="rId39" w:history="1">
        <w:r w:rsidRPr="004F5827">
          <w:rPr>
            <w:rStyle w:val="Hyperlink"/>
            <w:rFonts w:cs="Arial"/>
            <w:i/>
            <w:color w:val="000000" w:themeColor="text1"/>
          </w:rPr>
          <w:t>here</w:t>
        </w:r>
      </w:hyperlink>
      <w:r w:rsidRPr="004F5827">
        <w:rPr>
          <w:rFonts w:cs="Arial"/>
          <w:i/>
          <w:color w:val="000000" w:themeColor="text1"/>
        </w:rPr>
        <w:t>.</w:t>
      </w:r>
    </w:p>
    <w:p w14:paraId="01792ECF" w14:textId="77777777" w:rsidR="00502EAC" w:rsidRPr="004F5827" w:rsidRDefault="00502EAC" w:rsidP="00502EAC">
      <w:pPr>
        <w:rPr>
          <w:rFonts w:cs="Arial"/>
          <w:i/>
          <w:color w:val="000000" w:themeColor="text1"/>
        </w:rPr>
      </w:pPr>
      <w:r w:rsidRPr="004F5827">
        <w:rPr>
          <w:rFonts w:cs="Arial"/>
          <w:i/>
          <w:color w:val="000000" w:themeColor="text1"/>
        </w:rPr>
        <w:t xml:space="preserve">In summary, the proposer contends that the minimum discount of 50% to capacity-based transmission charges levied at storage system points in the EU Tariff Code is inadequate and does not take into account the general contribution made by storage to system flexibility and security of supply.  The full benefits of storage to the NTS and its Users were detailed in two papers submitted by Storengy and GSOG to the NTSCMF in July 2017 and can be accessed </w:t>
      </w:r>
      <w:hyperlink r:id="rId40" w:history="1">
        <w:r w:rsidRPr="004F5827">
          <w:rPr>
            <w:rStyle w:val="Hyperlink"/>
            <w:rFonts w:cs="Arial"/>
            <w:i/>
            <w:color w:val="000000" w:themeColor="text1"/>
          </w:rPr>
          <w:t>here</w:t>
        </w:r>
      </w:hyperlink>
      <w:r w:rsidRPr="004F5827">
        <w:rPr>
          <w:rFonts w:cs="Arial"/>
          <w:i/>
          <w:color w:val="000000" w:themeColor="text1"/>
        </w:rPr>
        <w:t>.  The WWA paper acknowledges that the benefits are broad, but difficult to quantify, however, estimates are provided for a number of the individual benefits identified.</w:t>
      </w:r>
    </w:p>
    <w:p w14:paraId="21057D4A" w14:textId="77777777" w:rsidR="00502EAC" w:rsidRPr="004F5827" w:rsidRDefault="00502EAC" w:rsidP="00502EAC">
      <w:pPr>
        <w:rPr>
          <w:rFonts w:cs="Arial"/>
          <w:i/>
          <w:color w:val="000000" w:themeColor="text1"/>
        </w:rPr>
      </w:pPr>
      <w:r w:rsidRPr="004F5827">
        <w:rPr>
          <w:rFonts w:cs="Arial"/>
          <w:i/>
          <w:color w:val="000000" w:themeColor="text1"/>
        </w:rPr>
        <w:t>The proposer believes that the aggregated benefits should provide for a discount at, or very close to 100%, noting that based on Storengy’s calculations that a 100% would result in only £8m of additional charges being levied on non-storage users.</w:t>
      </w:r>
    </w:p>
    <w:p w14:paraId="6AA43B4D" w14:textId="77777777" w:rsidR="00502EAC" w:rsidRPr="004F5827" w:rsidRDefault="00502EAC" w:rsidP="00502EAC">
      <w:pPr>
        <w:rPr>
          <w:rFonts w:cs="Arial"/>
          <w:i/>
          <w:color w:val="000000" w:themeColor="text1"/>
        </w:rPr>
      </w:pPr>
      <w:r w:rsidRPr="004F5827">
        <w:rPr>
          <w:rFonts w:cs="Arial"/>
          <w:i/>
          <w:color w:val="000000" w:themeColor="text1"/>
        </w:rPr>
        <w:t xml:space="preserve">In order, to derive a level of discount more aligned with the wider benefits generated by storage, the WWA document developed a methodology based on the principle that storage is embedded in the </w:t>
      </w:r>
      <w:r w:rsidRPr="004F5827">
        <w:rPr>
          <w:rFonts w:cs="Arial"/>
          <w:i/>
          <w:color w:val="000000" w:themeColor="text1"/>
        </w:rPr>
        <w:lastRenderedPageBreak/>
        <w:t>system, close to demand, akin to the justification for the application of the “shorthaul” tariff at NTS Exit Points located close to NTS Entry Points.</w:t>
      </w:r>
    </w:p>
    <w:p w14:paraId="3983DFE3" w14:textId="77777777" w:rsidR="00502EAC" w:rsidRPr="004F5827" w:rsidRDefault="00502EAC" w:rsidP="00502EAC">
      <w:pPr>
        <w:rPr>
          <w:rFonts w:cs="Arial"/>
          <w:i/>
          <w:color w:val="000000" w:themeColor="text1"/>
        </w:rPr>
      </w:pPr>
      <w:r w:rsidRPr="004F5827">
        <w:rPr>
          <w:rFonts w:cs="Arial"/>
          <w:i/>
          <w:color w:val="000000" w:themeColor="text1"/>
        </w:rPr>
        <w:t>Using version 1.3 of the CWD model, WWA calculated that, on average, capacity charges are 36% higher when delivering gas to neighbouring exit points, via storage, than they would be if the gas was delivered directly from the non-storage NTS Entry Points to the same NTS Exit Points.  On this basis, Mod 621A proposes that the 50% discount set out in Mod 621 is insufficient and that the total storage related capacity discount should equate to 86%.</w:t>
      </w:r>
    </w:p>
    <w:p w14:paraId="1330E0A2" w14:textId="77777777" w:rsidR="00502EAC" w:rsidRPr="004F5827" w:rsidRDefault="00502EAC" w:rsidP="00502EAC">
      <w:pPr>
        <w:rPr>
          <w:rFonts w:cs="Arial"/>
          <w:i/>
          <w:color w:val="000000" w:themeColor="text1"/>
        </w:rPr>
      </w:pPr>
      <w:r w:rsidRPr="004F5827">
        <w:rPr>
          <w:rFonts w:cs="Arial"/>
          <w:i/>
          <w:color w:val="000000" w:themeColor="text1"/>
        </w:rPr>
        <w:t>Further, based on the GTCR Policy Position set out by Ofgem in Nov 2015, the Proposer believes that NTS capacity bookings at storage facilities should not attract any capacity based revenue reconciliation charges from 2021.  The imposition of any such charge would result in double charging for each unit of gas delivered to, and from storage facilities</w:t>
      </w:r>
    </w:p>
    <w:commentRangeEnd w:id="9"/>
    <w:p w14:paraId="297CC35C" w14:textId="5F162316" w:rsidR="00502EAC" w:rsidRPr="00AA0B23" w:rsidRDefault="00502EAC" w:rsidP="005B60A0">
      <w:pPr>
        <w:spacing w:before="240"/>
        <w:rPr>
          <w:rFonts w:cs="Arial"/>
          <w:b/>
          <w:color w:val="000000" w:themeColor="text1"/>
        </w:rPr>
      </w:pPr>
      <w:r w:rsidRPr="004F5827">
        <w:rPr>
          <w:rStyle w:val="CommentReference"/>
          <w:i/>
          <w:color w:val="000000" w:themeColor="text1"/>
        </w:rPr>
        <w:commentReference w:id="9"/>
      </w:r>
      <w:r w:rsidR="00AA0B23" w:rsidRPr="00AA0B23">
        <w:rPr>
          <w:rFonts w:cs="Arial"/>
          <w:b/>
          <w:color w:val="000000" w:themeColor="text1"/>
        </w:rPr>
        <w:t>LNG</w:t>
      </w:r>
    </w:p>
    <w:p w14:paraId="38142583" w14:textId="1A5491D8" w:rsidR="005B60A0" w:rsidRDefault="00586D62" w:rsidP="005B60A0">
      <w:pPr>
        <w:spacing w:before="240"/>
        <w:rPr>
          <w:rFonts w:cs="Arial"/>
          <w:b/>
          <w:color w:val="000000" w:themeColor="text1"/>
        </w:rPr>
      </w:pPr>
      <w:r>
        <w:rPr>
          <w:rFonts w:cs="Arial"/>
          <w:b/>
          <w:color w:val="000000" w:themeColor="text1"/>
        </w:rPr>
        <w:t xml:space="preserve">Discount for </w:t>
      </w:r>
      <w:r w:rsidR="005B60A0" w:rsidRPr="007D2DB4">
        <w:rPr>
          <w:rFonts w:cs="Arial"/>
          <w:b/>
          <w:color w:val="000000" w:themeColor="text1"/>
        </w:rPr>
        <w:t>Interconnection points</w:t>
      </w:r>
    </w:p>
    <w:p w14:paraId="02D4C603" w14:textId="6FDC3FA7" w:rsidR="00AA0B23" w:rsidRPr="002731E1" w:rsidRDefault="002731E1" w:rsidP="005B60A0">
      <w:pPr>
        <w:spacing w:before="240"/>
        <w:rPr>
          <w:rFonts w:cs="Arial"/>
          <w:color w:val="FF0000"/>
          <w:szCs w:val="20"/>
        </w:rPr>
      </w:pPr>
      <w:commentRangeStart w:id="10"/>
      <w:r w:rsidRPr="002731E1">
        <w:rPr>
          <w:rFonts w:cs="Arial"/>
          <w:color w:val="FF0000"/>
          <w:szCs w:val="20"/>
        </w:rPr>
        <w:t>National Grid’s Modification 0621 does not provide for a discount for Interconnection Points.</w:t>
      </w:r>
    </w:p>
    <w:p w14:paraId="50425E96" w14:textId="3F2745EB" w:rsidR="00A3215D" w:rsidRPr="00A3215D" w:rsidRDefault="002731E1" w:rsidP="005B60A0">
      <w:pPr>
        <w:spacing w:before="240"/>
        <w:rPr>
          <w:rFonts w:cs="Arial"/>
          <w:color w:val="FF0000"/>
          <w:szCs w:val="20"/>
        </w:rPr>
      </w:pPr>
      <w:r w:rsidRPr="00A3215D">
        <w:rPr>
          <w:rFonts w:cs="Arial"/>
          <w:color w:val="FF0000"/>
          <w:szCs w:val="20"/>
        </w:rPr>
        <w:t xml:space="preserve">Some Workgroup </w:t>
      </w:r>
      <w:r w:rsidR="00873B07" w:rsidRPr="00A3215D">
        <w:rPr>
          <w:rFonts w:cs="Arial"/>
          <w:color w:val="FF0000"/>
          <w:szCs w:val="20"/>
        </w:rPr>
        <w:t>p</w:t>
      </w:r>
      <w:r w:rsidRPr="00A3215D">
        <w:rPr>
          <w:rFonts w:cs="Arial"/>
          <w:color w:val="FF0000"/>
          <w:szCs w:val="20"/>
        </w:rPr>
        <w:t>articipants believed this to be appropriate. Others</w:t>
      </w:r>
      <w:r w:rsidR="00A3215D" w:rsidRPr="00A3215D">
        <w:rPr>
          <w:rFonts w:cs="Arial"/>
          <w:color w:val="FF0000"/>
          <w:szCs w:val="20"/>
        </w:rPr>
        <w:t>,</w:t>
      </w:r>
      <w:r w:rsidRPr="00A3215D">
        <w:rPr>
          <w:rFonts w:cs="Arial"/>
          <w:color w:val="FF0000"/>
          <w:szCs w:val="20"/>
        </w:rPr>
        <w:t xml:space="preserve"> including </w:t>
      </w:r>
      <w:r w:rsidR="00873B07" w:rsidRPr="00A3215D">
        <w:rPr>
          <w:rFonts w:cs="Arial"/>
          <w:color w:val="FF0000"/>
          <w:szCs w:val="20"/>
        </w:rPr>
        <w:t xml:space="preserve">the proposer of </w:t>
      </w:r>
      <w:r w:rsidR="00A3215D" w:rsidRPr="00A3215D">
        <w:rPr>
          <w:rFonts w:cs="Arial"/>
          <w:color w:val="FF0000"/>
          <w:szCs w:val="20"/>
        </w:rPr>
        <w:t xml:space="preserve">Modification </w:t>
      </w:r>
      <w:r w:rsidR="00873B07" w:rsidRPr="00A3215D">
        <w:rPr>
          <w:rFonts w:cs="Arial"/>
          <w:color w:val="FF0000"/>
          <w:szCs w:val="20"/>
        </w:rPr>
        <w:t xml:space="preserve">0621F believed this to </w:t>
      </w:r>
      <w:r w:rsidR="00A3215D" w:rsidRPr="00A3215D">
        <w:rPr>
          <w:rFonts w:cs="Arial"/>
          <w:color w:val="FF0000"/>
          <w:szCs w:val="20"/>
        </w:rPr>
        <w:t>be a failure to address a market distortion and a failure to recognise and value the benefits to the GB system of interconnectors, which offer a contribution to security of supply and system flexibility.</w:t>
      </w:r>
      <w:commentRangeEnd w:id="10"/>
      <w:r w:rsidR="00A3215D">
        <w:rPr>
          <w:rStyle w:val="CommentReference"/>
        </w:rPr>
        <w:commentReference w:id="10"/>
      </w:r>
    </w:p>
    <w:p w14:paraId="5C616D3C" w14:textId="77777777" w:rsidR="00A3215D" w:rsidRDefault="00A3215D" w:rsidP="00AA0B23">
      <w:pPr>
        <w:spacing w:before="240"/>
        <w:ind w:left="720"/>
        <w:rPr>
          <w:rFonts w:cs="Arial"/>
          <w:color w:val="000000" w:themeColor="text1"/>
          <w:szCs w:val="20"/>
        </w:rPr>
      </w:pPr>
    </w:p>
    <w:p w14:paraId="6B5AB564" w14:textId="5AA3E3A7" w:rsidR="00AA0B23" w:rsidRPr="00586D62" w:rsidRDefault="00AA0B23" w:rsidP="00AA0B23">
      <w:pPr>
        <w:spacing w:before="240"/>
        <w:ind w:left="720"/>
        <w:rPr>
          <w:rFonts w:cs="Arial"/>
          <w:color w:val="000000" w:themeColor="text1"/>
          <w:szCs w:val="20"/>
        </w:rPr>
      </w:pPr>
      <w:r w:rsidRPr="00586D62">
        <w:rPr>
          <w:rFonts w:cs="Arial"/>
          <w:color w:val="000000" w:themeColor="text1"/>
          <w:szCs w:val="20"/>
        </w:rPr>
        <w:t>&lt;This is the Alternative text for this title required for 0621F:</w:t>
      </w:r>
    </w:p>
    <w:p w14:paraId="37BD11A5" w14:textId="77777777" w:rsidR="00AA0B23" w:rsidRPr="00586D62" w:rsidRDefault="00AA0B23" w:rsidP="005B60A0">
      <w:pPr>
        <w:spacing w:before="240"/>
        <w:rPr>
          <w:rFonts w:cs="Arial"/>
          <w:b/>
          <w:color w:val="000000" w:themeColor="text1"/>
          <w:szCs w:val="20"/>
        </w:rPr>
      </w:pPr>
    </w:p>
    <w:p w14:paraId="7707D7C6" w14:textId="77777777" w:rsidR="00AA0B23" w:rsidRPr="00586D62" w:rsidRDefault="00AA0B23" w:rsidP="00AA0B23">
      <w:pPr>
        <w:rPr>
          <w:rFonts w:cs="Arial"/>
          <w:b/>
          <w:szCs w:val="20"/>
        </w:rPr>
      </w:pPr>
    </w:p>
    <w:p w14:paraId="02EDC989" w14:textId="77777777" w:rsidR="00AA0B23" w:rsidRPr="00586D62" w:rsidRDefault="00AA0B23" w:rsidP="00AA0B23">
      <w:pPr>
        <w:rPr>
          <w:rFonts w:cs="Arial"/>
          <w:b/>
          <w:szCs w:val="20"/>
        </w:rPr>
      </w:pPr>
      <w:r w:rsidRPr="00586D62">
        <w:rPr>
          <w:rFonts w:cs="Arial"/>
          <w:b/>
          <w:szCs w:val="20"/>
        </w:rPr>
        <w:t>Why the need for change</w:t>
      </w:r>
    </w:p>
    <w:p w14:paraId="775930F5" w14:textId="60E1689F" w:rsidR="00AA0B23" w:rsidRPr="00586D62" w:rsidRDefault="00AA0B23" w:rsidP="00AA0B23">
      <w:pPr>
        <w:jc w:val="both"/>
        <w:rPr>
          <w:rFonts w:cs="Arial"/>
          <w:szCs w:val="20"/>
        </w:rPr>
      </w:pPr>
      <w:r w:rsidRPr="00586D62">
        <w:rPr>
          <w:rFonts w:cs="Arial"/>
          <w:szCs w:val="20"/>
        </w:rPr>
        <w:t xml:space="preserve">Interconnector UK’s proposes in its Modification 0621F that capacity discounts equal to those that apply to GB storage, are also applied to physically bi-directional interconnection points (IPs) – to the extent that they provide a comparable seasonal service through entry bookings which are equal to exit bookings within a Gas Year. With the closure of the Rough storage site it is timely to address the market distortion caused by  double charging -  whether for access to continental storage through physically bi-directional IPs, or for access to GB storage points.  Providing for equal charging treatment will ensure a level playing field and more effective competition in the provision of seasonal flexibility to GB consumers.  </w:t>
      </w:r>
    </w:p>
    <w:p w14:paraId="33B81CF2" w14:textId="319E71C6" w:rsidR="00AA0B23" w:rsidRPr="00586D62" w:rsidRDefault="00AA0B23" w:rsidP="00AA0B23">
      <w:pPr>
        <w:jc w:val="both"/>
        <w:rPr>
          <w:rFonts w:cs="Arial"/>
          <w:szCs w:val="20"/>
        </w:rPr>
      </w:pPr>
      <w:r w:rsidRPr="00586D62">
        <w:rPr>
          <w:rFonts w:cs="Arial"/>
          <w:szCs w:val="20"/>
        </w:rPr>
        <w:t>In summary the key reasons to make the changes in Modification 0621F  are:</w:t>
      </w:r>
    </w:p>
    <w:p w14:paraId="393B36B9" w14:textId="267F8ECD" w:rsidR="00AA0B23" w:rsidRPr="00586D62" w:rsidRDefault="00AA0B23" w:rsidP="00AA0B23">
      <w:pPr>
        <w:ind w:left="720"/>
        <w:jc w:val="both"/>
        <w:rPr>
          <w:rFonts w:cs="Arial"/>
          <w:szCs w:val="20"/>
        </w:rPr>
      </w:pPr>
      <w:r w:rsidRPr="00586D62">
        <w:rPr>
          <w:rFonts w:cs="Arial"/>
          <w:szCs w:val="20"/>
        </w:rPr>
        <w:t xml:space="preserve">a) Level playing field:  To avoid double charging of bi-directional IP flows, and thereby to remove a market distortion.  This reflects the fact that the interconnectors, working in partnership with continental storage, provide the same seasonal flexibility benefits to the GB market as GB Storage.  Double charging of bi-directional flows versus bi-directional flows at storage points is a competitive distortion. </w:t>
      </w:r>
    </w:p>
    <w:p w14:paraId="2FAF23A3" w14:textId="645C2C95" w:rsidR="00AA0B23" w:rsidRPr="00586D62" w:rsidRDefault="00AA0B23" w:rsidP="00AA0B23">
      <w:pPr>
        <w:ind w:left="720"/>
        <w:jc w:val="both"/>
        <w:rPr>
          <w:rFonts w:cs="Arial"/>
          <w:szCs w:val="20"/>
        </w:rPr>
      </w:pPr>
      <w:r w:rsidRPr="00586D62">
        <w:rPr>
          <w:rFonts w:cs="Arial"/>
          <w:szCs w:val="20"/>
        </w:rPr>
        <w:t>b) System benefits:  To reflect that the reasons why storage assets merit a discount apply equally to physically bi</w:t>
      </w:r>
      <w:r w:rsidR="00A3215D">
        <w:rPr>
          <w:rFonts w:cs="Arial"/>
          <w:szCs w:val="20"/>
        </w:rPr>
        <w:t>-</w:t>
      </w:r>
      <w:r w:rsidRPr="00586D62">
        <w:rPr>
          <w:rFonts w:cs="Arial"/>
          <w:szCs w:val="20"/>
        </w:rPr>
        <w:t xml:space="preserve">directional interconnectors, including their contribution to security of supply and their contribution to system flexibility. </w:t>
      </w:r>
    </w:p>
    <w:p w14:paraId="6CF6E22E" w14:textId="548D7566" w:rsidR="00AA0B23" w:rsidRPr="00586D62" w:rsidRDefault="00AA0B23" w:rsidP="00AA0B23">
      <w:pPr>
        <w:ind w:left="720"/>
        <w:jc w:val="both"/>
        <w:rPr>
          <w:rFonts w:cs="Arial"/>
          <w:b/>
          <w:szCs w:val="20"/>
        </w:rPr>
      </w:pPr>
      <w:r w:rsidRPr="00586D62">
        <w:rPr>
          <w:rFonts w:cs="Arial"/>
          <w:szCs w:val="20"/>
        </w:rPr>
        <w:lastRenderedPageBreak/>
        <w:t>c) Practical benefits: given the closure of Rough, the GB national system has a very low level of seasonal storage capacity, compared to other large gas demand countries in Europe.  This raises a number of challenges and risks for GB consumers.  It is an opportune time, therefore, to remove market distortions which penalise GB shippers and consumers accessing Continental Storage assets through the bi-directional interconnectors and benefiting from non-discriminatory National Grid charges.  The change is not only fully justified and necessary to remove a competitive distortion, it could also be a matter of real practical benefit to the GB system and GB consumers in the next period of the market’s evolution.</w:t>
      </w:r>
    </w:p>
    <w:p w14:paraId="564FE0DE" w14:textId="77777777" w:rsidR="00AA0B23" w:rsidRPr="00586D62" w:rsidRDefault="00AA0B23" w:rsidP="00AA0B23">
      <w:pPr>
        <w:jc w:val="both"/>
        <w:rPr>
          <w:rFonts w:cs="Arial"/>
          <w:b/>
          <w:szCs w:val="20"/>
          <w:lang w:val="en-AU"/>
        </w:rPr>
      </w:pPr>
    </w:p>
    <w:p w14:paraId="51727CB0" w14:textId="77777777" w:rsidR="00AA0B23" w:rsidRPr="00586D62" w:rsidRDefault="00AA0B23" w:rsidP="00AA0B23">
      <w:pPr>
        <w:jc w:val="both"/>
        <w:rPr>
          <w:rFonts w:cs="Arial"/>
          <w:b/>
          <w:szCs w:val="20"/>
          <w:lang w:val="en-AU"/>
        </w:rPr>
      </w:pPr>
      <w:r w:rsidRPr="00586D62">
        <w:rPr>
          <w:rFonts w:cs="Arial"/>
          <w:b/>
          <w:szCs w:val="20"/>
          <w:lang w:val="en-AU"/>
        </w:rPr>
        <w:t>The solution and how it has sought to address the feedback of stakeholders</w:t>
      </w:r>
    </w:p>
    <w:p w14:paraId="30265630" w14:textId="4C8A08B8" w:rsidR="00AA0B23" w:rsidRPr="00586D62" w:rsidRDefault="00AA0B23" w:rsidP="00AA0B23">
      <w:pPr>
        <w:jc w:val="both"/>
        <w:rPr>
          <w:rFonts w:cs="Arial"/>
          <w:szCs w:val="20"/>
          <w:lang w:val="en-AU"/>
        </w:rPr>
      </w:pPr>
      <w:r w:rsidRPr="00586D62">
        <w:rPr>
          <w:rFonts w:cs="Arial"/>
          <w:szCs w:val="20"/>
          <w:lang w:val="en-AU"/>
        </w:rPr>
        <w:t>Specific discounts were discussed by the NTSCMF in the summer of 2017. Interconnector UK submitted a detailed paper</w:t>
      </w:r>
      <w:r w:rsidRPr="00586D62">
        <w:rPr>
          <w:rStyle w:val="FootnoteReference"/>
          <w:rFonts w:cs="Arial"/>
          <w:szCs w:val="20"/>
          <w:lang w:val="en-AU"/>
        </w:rPr>
        <w:footnoteReference w:id="5"/>
      </w:r>
      <w:r w:rsidRPr="00586D62">
        <w:rPr>
          <w:rFonts w:cs="Arial"/>
          <w:szCs w:val="20"/>
          <w:lang w:val="en-AU"/>
        </w:rPr>
        <w:t xml:space="preserve"> in August 2017 outlining the necessity for equal charging treatment for bi-directional IPs as part of that discussion. A number of shipper Workgroup participants supported a discount at the bi-directional IPs particularly noting the market integration benefits. Some other Workgroup participants were against such a proposal fearing that additional discounts for bi-directional IPs would mean additional charges for their points.</w:t>
      </w:r>
    </w:p>
    <w:p w14:paraId="49C538A4" w14:textId="62EFFC09" w:rsidR="00AA0B23" w:rsidRPr="00586D62" w:rsidRDefault="00AA0B23" w:rsidP="00AA0B23">
      <w:pPr>
        <w:jc w:val="both"/>
        <w:rPr>
          <w:rFonts w:cs="Arial"/>
          <w:szCs w:val="20"/>
          <w:lang w:val="en-AU"/>
        </w:rPr>
      </w:pPr>
      <w:r w:rsidRPr="00586D62">
        <w:rPr>
          <w:rFonts w:cs="Arial"/>
          <w:szCs w:val="20"/>
          <w:lang w:val="en-AU"/>
        </w:rPr>
        <w:t>Some Workgroup participants, whilst sympathetic, noted that the interconnectors provide arbitrage as well as seasonal flexibility and argued that, unlike Storage, it could not always be guaranteed that interconnector  flows would be entering and exiting the NTS (the double charging argument). The solution put forward in Modification 0621F has sought to mitigate this concern.</w:t>
      </w:r>
    </w:p>
    <w:p w14:paraId="2E1AD72D" w14:textId="5D88A177" w:rsidR="00AA0B23" w:rsidRPr="00586D62" w:rsidRDefault="00AA0B23" w:rsidP="00AA0B23">
      <w:pPr>
        <w:jc w:val="both"/>
        <w:rPr>
          <w:rFonts w:eastAsia="Cambria" w:cs="Arial"/>
          <w:szCs w:val="20"/>
        </w:rPr>
      </w:pPr>
      <w:r w:rsidRPr="00586D62">
        <w:rPr>
          <w:rFonts w:cs="Arial"/>
          <w:szCs w:val="20"/>
          <w:lang w:val="en-AU"/>
        </w:rPr>
        <w:t>The Modification 0</w:t>
      </w:r>
      <w:r w:rsidR="002731E1">
        <w:rPr>
          <w:rFonts w:cs="Arial"/>
          <w:szCs w:val="20"/>
          <w:lang w:val="en-AU"/>
        </w:rPr>
        <w:t>621F</w:t>
      </w:r>
      <w:r w:rsidRPr="00586D62">
        <w:rPr>
          <w:rFonts w:cs="Arial"/>
          <w:szCs w:val="20"/>
          <w:lang w:val="en-AU"/>
        </w:rPr>
        <w:t xml:space="preserve"> enduring solution applies the same discount as is applied to storage sites also to physically bi-directional IPs. However this is </w:t>
      </w:r>
      <w:r w:rsidRPr="00586D62">
        <w:rPr>
          <w:rFonts w:cs="Arial"/>
          <w:szCs w:val="20"/>
          <w:u w:val="single"/>
          <w:lang w:val="en-AU"/>
        </w:rPr>
        <w:t>only</w:t>
      </w:r>
      <w:r w:rsidRPr="00586D62">
        <w:rPr>
          <w:rFonts w:cs="Arial"/>
          <w:szCs w:val="20"/>
          <w:lang w:val="en-AU"/>
        </w:rPr>
        <w:t xml:space="preserve"> for the proportion of anticipated entry bookings at the physically bi-directional IPs which, over the same year, equals the anticipated exit bookings at the IP. Any additional entry/or exit bookings would receive no discount and thus would be treated in the same manner as any other entry or exit point. By combining these </w:t>
      </w:r>
      <w:r w:rsidRPr="00586D62">
        <w:rPr>
          <w:rFonts w:eastAsia="Cambria" w:cs="Arial"/>
          <w:szCs w:val="20"/>
        </w:rPr>
        <w:t xml:space="preserve">two discount levels in proportion to the anticipated bookings to determine a weighted capacity reserve price, it ensures an enduring solution that can adapt to, and reflects in an appropriate way, future variations in how the interconnectors may be used. If we continue to see seasonal flexibility provided via the physically bi-directional IPs a proportionate discount will be accordingly applied. If, however, we see the physically bi-directional IPs becoming predominately importing or exporting, then little or no discount would be applied through the solution. </w:t>
      </w:r>
    </w:p>
    <w:p w14:paraId="56BDACE4" w14:textId="77777777" w:rsidR="00AA0B23" w:rsidRPr="00586D62" w:rsidRDefault="00AA0B23" w:rsidP="00AA0B23">
      <w:pPr>
        <w:jc w:val="both"/>
        <w:rPr>
          <w:rFonts w:eastAsia="Cambria" w:cs="Arial"/>
          <w:szCs w:val="20"/>
        </w:rPr>
      </w:pPr>
      <w:r w:rsidRPr="00586D62">
        <w:rPr>
          <w:rFonts w:eastAsia="Cambria" w:cs="Arial"/>
          <w:szCs w:val="20"/>
        </w:rPr>
        <w:t>Given obligated technical capacity will be used for forecasting bookings in the interim period (October 2019 until September 2021), it is however necessary to apply the same discount as applied to storage for all this capacity for this short period.</w:t>
      </w:r>
    </w:p>
    <w:p w14:paraId="459E94F9" w14:textId="77777777" w:rsidR="00AA0B23" w:rsidRPr="00586D62" w:rsidRDefault="00AA0B23" w:rsidP="00AA0B23">
      <w:pPr>
        <w:jc w:val="both"/>
        <w:rPr>
          <w:rFonts w:eastAsia="Cambria" w:cs="Arial"/>
          <w:szCs w:val="20"/>
        </w:rPr>
      </w:pPr>
    </w:p>
    <w:p w14:paraId="6FC5EEBE" w14:textId="6D08668F" w:rsidR="00AA0B23" w:rsidRPr="00586D62" w:rsidRDefault="00AA0B23" w:rsidP="00AA0B23">
      <w:pPr>
        <w:rPr>
          <w:rFonts w:cs="Arial"/>
          <w:b/>
          <w:szCs w:val="20"/>
        </w:rPr>
      </w:pPr>
      <w:r w:rsidRPr="00586D62">
        <w:rPr>
          <w:rFonts w:cs="Arial"/>
          <w:b/>
          <w:szCs w:val="20"/>
        </w:rPr>
        <w:t xml:space="preserve">Impact and how the proposal </w:t>
      </w:r>
      <w:r w:rsidR="00BC76DA">
        <w:rPr>
          <w:rFonts w:cs="Arial"/>
          <w:b/>
          <w:szCs w:val="20"/>
        </w:rPr>
        <w:t xml:space="preserve">0621F </w:t>
      </w:r>
      <w:r w:rsidRPr="00586D62">
        <w:rPr>
          <w:rFonts w:cs="Arial"/>
          <w:b/>
          <w:szCs w:val="20"/>
        </w:rPr>
        <w:t>furthers the relevant objectives</w:t>
      </w:r>
    </w:p>
    <w:p w14:paraId="1764EA82" w14:textId="1E13C254" w:rsidR="00AA0B23" w:rsidRPr="00586D62" w:rsidRDefault="00AA0B23" w:rsidP="00AA0B23">
      <w:pPr>
        <w:pStyle w:val="BoardPaperHeading2"/>
        <w:jc w:val="both"/>
        <w:rPr>
          <w:rFonts w:ascii="Arial" w:hAnsi="Arial" w:cs="Arial"/>
          <w:b w:val="0"/>
          <w:sz w:val="20"/>
          <w:szCs w:val="20"/>
        </w:rPr>
      </w:pPr>
      <w:r w:rsidRPr="00586D62">
        <w:rPr>
          <w:rFonts w:ascii="Arial" w:hAnsi="Arial" w:cs="Arial"/>
          <w:b w:val="0"/>
          <w:sz w:val="20"/>
          <w:szCs w:val="20"/>
        </w:rPr>
        <w:lastRenderedPageBreak/>
        <w:t>Using historical flows as a proxy for the enduring solution, I</w:t>
      </w:r>
      <w:r w:rsidR="00586D62" w:rsidRPr="00586D62">
        <w:rPr>
          <w:rFonts w:ascii="Arial" w:hAnsi="Arial" w:cs="Arial"/>
          <w:b w:val="0"/>
          <w:sz w:val="20"/>
          <w:szCs w:val="20"/>
        </w:rPr>
        <w:t xml:space="preserve">nterconnector </w:t>
      </w:r>
      <w:r w:rsidRPr="00586D62">
        <w:rPr>
          <w:rFonts w:ascii="Arial" w:hAnsi="Arial" w:cs="Arial"/>
          <w:b w:val="0"/>
          <w:sz w:val="20"/>
          <w:szCs w:val="20"/>
        </w:rPr>
        <w:t>UK estimated that applying a 50% discount to entry =exit flows amounted to around a 2.1% additional charge to recover around £12m at other NTS points</w:t>
      </w:r>
      <w:r w:rsidRPr="00586D62">
        <w:rPr>
          <w:rStyle w:val="FootnoteReference"/>
          <w:rFonts w:ascii="Arial" w:hAnsi="Arial" w:cs="Arial"/>
          <w:b w:val="0"/>
          <w:sz w:val="20"/>
          <w:szCs w:val="20"/>
        </w:rPr>
        <w:footnoteReference w:id="6"/>
      </w:r>
      <w:r w:rsidRPr="00586D62">
        <w:rPr>
          <w:rFonts w:ascii="Arial" w:hAnsi="Arial" w:cs="Arial"/>
          <w:b w:val="0"/>
          <w:sz w:val="20"/>
          <w:szCs w:val="20"/>
        </w:rPr>
        <w:t>.</w:t>
      </w:r>
    </w:p>
    <w:p w14:paraId="15853DE5" w14:textId="54BE3452" w:rsidR="00AA0B23" w:rsidRPr="00586D62" w:rsidRDefault="002731E1" w:rsidP="00AA0B23">
      <w:pPr>
        <w:pStyle w:val="BoardPaperHeading2"/>
        <w:jc w:val="both"/>
        <w:rPr>
          <w:rFonts w:ascii="Arial" w:hAnsi="Arial" w:cs="Arial"/>
          <w:b w:val="0"/>
          <w:sz w:val="20"/>
          <w:szCs w:val="20"/>
        </w:rPr>
      </w:pPr>
      <w:r>
        <w:rPr>
          <w:rFonts w:ascii="Arial" w:hAnsi="Arial" w:cs="Arial"/>
          <w:b w:val="0"/>
          <w:sz w:val="20"/>
          <w:szCs w:val="20"/>
        </w:rPr>
        <w:t xml:space="preserve">For the interim period, </w:t>
      </w:r>
      <w:r w:rsidRPr="00586D62">
        <w:rPr>
          <w:rFonts w:ascii="Arial" w:hAnsi="Arial" w:cs="Arial"/>
          <w:b w:val="0"/>
          <w:sz w:val="20"/>
          <w:szCs w:val="20"/>
        </w:rPr>
        <w:t>Interconnector UK</w:t>
      </w:r>
      <w:r w:rsidR="00AA0B23" w:rsidRPr="00586D62">
        <w:rPr>
          <w:rFonts w:ascii="Arial" w:hAnsi="Arial" w:cs="Arial"/>
          <w:b w:val="0"/>
          <w:sz w:val="20"/>
          <w:szCs w:val="20"/>
        </w:rPr>
        <w:t xml:space="preserve"> estimated, based on the National Grid CWD</w:t>
      </w:r>
      <w:r w:rsidR="00AA0B23" w:rsidRPr="00586D62">
        <w:rPr>
          <w:rStyle w:val="FootnoteReference"/>
          <w:rFonts w:ascii="Arial" w:hAnsi="Arial" w:cs="Arial"/>
          <w:b w:val="0"/>
          <w:sz w:val="20"/>
          <w:szCs w:val="20"/>
        </w:rPr>
        <w:footnoteReference w:id="7"/>
      </w:r>
      <w:r w:rsidR="00AA0B23" w:rsidRPr="00586D62">
        <w:rPr>
          <w:rFonts w:ascii="Arial" w:hAnsi="Arial" w:cs="Arial"/>
          <w:b w:val="0"/>
          <w:sz w:val="20"/>
          <w:szCs w:val="20"/>
        </w:rPr>
        <w:t xml:space="preserve">, the amount of money to be recovered by the redistribution of NG charges to other entry/exit points to meet any discount at the physically bi-directional IPs (Bacton) would be around £16m assuming a 50% discount at the Bacton IP (as well as for storage).  This would amount to an additional 2.7% increase in charges to these other points. </w:t>
      </w:r>
    </w:p>
    <w:p w14:paraId="33A4244D" w14:textId="1FEA1113" w:rsidR="00AA0B23" w:rsidRPr="00586D62" w:rsidRDefault="00AA0B23" w:rsidP="00AA0B23">
      <w:pPr>
        <w:pStyle w:val="BoardPaperHeading2"/>
        <w:jc w:val="both"/>
        <w:rPr>
          <w:rFonts w:ascii="Arial" w:hAnsi="Arial" w:cs="Arial"/>
          <w:b w:val="0"/>
          <w:sz w:val="20"/>
          <w:szCs w:val="20"/>
        </w:rPr>
      </w:pPr>
      <w:r w:rsidRPr="00586D62">
        <w:rPr>
          <w:rFonts w:ascii="Arial" w:hAnsi="Arial" w:cs="Arial"/>
          <w:b w:val="0"/>
          <w:sz w:val="20"/>
          <w:szCs w:val="20"/>
        </w:rPr>
        <w:t xml:space="preserve">However, whilst there would need to </w:t>
      </w:r>
      <w:r w:rsidR="002731E1">
        <w:rPr>
          <w:rFonts w:ascii="Arial" w:hAnsi="Arial" w:cs="Arial"/>
          <w:b w:val="0"/>
          <w:sz w:val="20"/>
          <w:szCs w:val="20"/>
        </w:rPr>
        <w:t xml:space="preserve">be </w:t>
      </w:r>
      <w:r w:rsidRPr="00586D62">
        <w:rPr>
          <w:rFonts w:ascii="Arial" w:hAnsi="Arial" w:cs="Arial"/>
          <w:b w:val="0"/>
          <w:sz w:val="20"/>
          <w:szCs w:val="20"/>
        </w:rPr>
        <w:t xml:space="preserve">a redistribution of NG’s charges to other entry/exit points, this is happening anyway as part of the NTS Charging Review.  It is important to note that NG’s overall revenues would be unchanged following this redistribution.  There would therefore be no additional net burden on GB consumers.  Indeed, any additional cost that could arise from having to subsidise new GB seasonal storage would be avoided and by facilitating effective competition at the Bacton IP, GB can continue to benefit from the wider societal benefits that the interconnectors provide. It should also be noted that by 2021, National Grid will be in a new price control period and its allowed revenue may be less than it is now. By the time of the enduring solution therefore, if National Grid’s allowed revenue is lower, the re-distribution of charges will not increase as much as the estimates above and indeed it is possible there would be no additional increase in charges at other points. </w:t>
      </w:r>
    </w:p>
    <w:p w14:paraId="39DCDE59" w14:textId="02D97FCC" w:rsidR="005D40AC" w:rsidRPr="00BC76DA" w:rsidRDefault="00BC76DA" w:rsidP="00BC76DA">
      <w:pPr>
        <w:spacing w:before="240"/>
        <w:rPr>
          <w:rFonts w:cs="Arial"/>
          <w:b/>
          <w:color w:val="000000" w:themeColor="text1"/>
          <w:szCs w:val="20"/>
        </w:rPr>
      </w:pPr>
      <w:r w:rsidRPr="00BC76DA">
        <w:rPr>
          <w:rFonts w:cs="Arial"/>
          <w:b/>
          <w:color w:val="FF0000"/>
          <w:szCs w:val="20"/>
        </w:rPr>
        <w:t xml:space="preserve">&gt;(end of 0621F section – still need </w:t>
      </w:r>
      <w:commentRangeStart w:id="11"/>
      <w:r w:rsidRPr="00BC76DA">
        <w:rPr>
          <w:rFonts w:cs="Arial"/>
          <w:b/>
          <w:color w:val="FF0000"/>
          <w:szCs w:val="20"/>
        </w:rPr>
        <w:t xml:space="preserve">workgroup response </w:t>
      </w:r>
      <w:commentRangeEnd w:id="11"/>
      <w:r w:rsidR="00964237">
        <w:rPr>
          <w:rStyle w:val="CommentReference"/>
        </w:rPr>
        <w:commentReference w:id="11"/>
      </w:r>
      <w:r w:rsidRPr="00BC76DA">
        <w:rPr>
          <w:rFonts w:cs="Arial"/>
          <w:b/>
          <w:color w:val="FF0000"/>
          <w:szCs w:val="20"/>
        </w:rPr>
        <w:t>to this section above</w:t>
      </w:r>
    </w:p>
    <w:p w14:paraId="0C674A40" w14:textId="77777777" w:rsidR="00BF1257" w:rsidRPr="004F5827" w:rsidRDefault="00BF1257" w:rsidP="00BF1257">
      <w:pPr>
        <w:tabs>
          <w:tab w:val="right" w:pos="-2268"/>
        </w:tabs>
        <w:spacing w:before="240"/>
        <w:jc w:val="both"/>
        <w:rPr>
          <w:rFonts w:cs="Arial"/>
          <w:bCs/>
          <w:color w:val="000000" w:themeColor="text1"/>
          <w:sz w:val="22"/>
          <w:szCs w:val="22"/>
        </w:rPr>
      </w:pPr>
      <w:r w:rsidRPr="004F5827">
        <w:rPr>
          <w:rFonts w:cs="Arial"/>
          <w:bCs/>
          <w:color w:val="000000" w:themeColor="text1"/>
          <w:sz w:val="22"/>
          <w:szCs w:val="22"/>
        </w:rPr>
        <w:t>GJ would like an understanding of how Interconnection Points are going to be treated from 2019 onwards (there is no product available for 2021 onwards as yet).</w:t>
      </w:r>
    </w:p>
    <w:p w14:paraId="694AC83B" w14:textId="77777777" w:rsidR="005D40AC" w:rsidRPr="007D2DB4" w:rsidRDefault="005D40AC" w:rsidP="005B60A0">
      <w:pPr>
        <w:spacing w:before="240"/>
        <w:rPr>
          <w:rFonts w:cs="Arial"/>
          <w:b/>
          <w:color w:val="000000" w:themeColor="text1"/>
        </w:rPr>
      </w:pPr>
    </w:p>
    <w:p w14:paraId="2D7F7F5B" w14:textId="77777777" w:rsidR="002100E4" w:rsidRDefault="002100E4" w:rsidP="005B60A0">
      <w:pPr>
        <w:spacing w:before="240"/>
        <w:rPr>
          <w:rFonts w:cs="Arial"/>
          <w:b/>
          <w:color w:val="000000" w:themeColor="text1"/>
        </w:rPr>
      </w:pPr>
    </w:p>
    <w:p w14:paraId="77EFD5F3" w14:textId="77777777" w:rsidR="005B60A0" w:rsidRDefault="005B60A0" w:rsidP="005B60A0">
      <w:pPr>
        <w:spacing w:before="240"/>
        <w:rPr>
          <w:rFonts w:cs="Arial"/>
          <w:b/>
          <w:color w:val="000000" w:themeColor="text1"/>
        </w:rPr>
      </w:pPr>
      <w:r w:rsidRPr="007D2DB4">
        <w:rPr>
          <w:rFonts w:cs="Arial"/>
          <w:b/>
          <w:color w:val="000000" w:themeColor="text1"/>
        </w:rPr>
        <w:t>Revenue Reconciliation/Recovery</w:t>
      </w:r>
    </w:p>
    <w:p w14:paraId="57F0A8F5" w14:textId="77777777" w:rsidR="0090215E" w:rsidRPr="007D2DB4" w:rsidRDefault="0090215E" w:rsidP="005B60A0">
      <w:pPr>
        <w:spacing w:before="240"/>
        <w:rPr>
          <w:rFonts w:cs="Arial"/>
          <w:b/>
          <w:color w:val="000000" w:themeColor="text1"/>
        </w:rPr>
      </w:pPr>
    </w:p>
    <w:p w14:paraId="46EFB06E" w14:textId="5918CF23" w:rsidR="005B60A0" w:rsidRPr="002100E4" w:rsidRDefault="00367A42" w:rsidP="005B60A0">
      <w:pPr>
        <w:spacing w:before="240"/>
        <w:rPr>
          <w:rFonts w:cs="Arial"/>
          <w:b/>
          <w:color w:val="000000" w:themeColor="text1"/>
          <w:sz w:val="22"/>
          <w:szCs w:val="22"/>
        </w:rPr>
      </w:pPr>
      <w:r w:rsidRPr="007D2DB4">
        <w:rPr>
          <w:rFonts w:cs="Arial"/>
          <w:b/>
          <w:color w:val="000000" w:themeColor="text1"/>
        </w:rPr>
        <w:t xml:space="preserve">NTS </w:t>
      </w:r>
      <w:r w:rsidRPr="002100E4">
        <w:rPr>
          <w:rFonts w:cs="Arial"/>
          <w:b/>
          <w:color w:val="000000" w:themeColor="text1"/>
          <w:sz w:val="22"/>
          <w:szCs w:val="22"/>
        </w:rPr>
        <w:t>Optiona</w:t>
      </w:r>
      <w:r w:rsidR="005B60A0" w:rsidRPr="002100E4">
        <w:rPr>
          <w:rFonts w:cs="Arial"/>
          <w:b/>
          <w:color w:val="000000" w:themeColor="text1"/>
          <w:sz w:val="22"/>
          <w:szCs w:val="22"/>
        </w:rPr>
        <w:t>l Charge/AIBoNTS/Shorthaul/OCC</w:t>
      </w:r>
    </w:p>
    <w:p w14:paraId="1A1B21E8" w14:textId="77777777" w:rsidR="002100E4" w:rsidRPr="00461585" w:rsidRDefault="002100E4" w:rsidP="002100E4">
      <w:pPr>
        <w:spacing w:before="100" w:beforeAutospacing="1" w:after="100" w:afterAutospacing="1" w:line="240" w:lineRule="auto"/>
        <w:rPr>
          <w:rFonts w:eastAsia="Cambria" w:cs="Arial"/>
          <w:i/>
          <w:iCs/>
          <w:color w:val="000000" w:themeColor="text1"/>
          <w:sz w:val="22"/>
          <w:szCs w:val="22"/>
        </w:rPr>
      </w:pPr>
      <w:commentRangeStart w:id="12"/>
      <w:r w:rsidRPr="00461585">
        <w:rPr>
          <w:rFonts w:eastAsia="Cambria" w:cs="Arial"/>
          <w:i/>
          <w:iCs/>
          <w:color w:val="000000" w:themeColor="text1"/>
          <w:sz w:val="22"/>
          <w:szCs w:val="22"/>
        </w:rPr>
        <w:t xml:space="preserve">From subgroup paper March 2017: </w:t>
      </w:r>
    </w:p>
    <w:p w14:paraId="3B6AB7D0" w14:textId="1DF079DB" w:rsidR="002100E4" w:rsidRPr="00461585" w:rsidRDefault="002100E4" w:rsidP="002100E4">
      <w:pPr>
        <w:spacing w:before="100" w:beforeAutospacing="1" w:after="100" w:afterAutospacing="1" w:line="240" w:lineRule="auto"/>
        <w:rPr>
          <w:rFonts w:eastAsia="Cambria" w:cs="Arial"/>
          <w:color w:val="000000" w:themeColor="text1"/>
          <w:sz w:val="22"/>
          <w:szCs w:val="22"/>
        </w:rPr>
      </w:pPr>
      <w:r w:rsidRPr="00461585">
        <w:rPr>
          <w:rFonts w:eastAsia="Cambria" w:cs="Arial"/>
          <w:i/>
          <w:iCs/>
          <w:color w:val="000000" w:themeColor="text1"/>
          <w:sz w:val="22"/>
          <w:szCs w:val="22"/>
        </w:rPr>
        <w:lastRenderedPageBreak/>
        <w:t xml:space="preserve">For the avoidance of doubt, it is considered beneficial to have a charging item that discourages inefficient bypass of the NTS, only that any such charge may not be the same as it is under the current methodology. </w:t>
      </w:r>
    </w:p>
    <w:commentRangeEnd w:id="12"/>
    <w:p w14:paraId="77EDF1E9" w14:textId="77777777" w:rsidR="00B50D38" w:rsidRPr="002100E4" w:rsidRDefault="002100E4" w:rsidP="005B60A0">
      <w:pPr>
        <w:spacing w:before="240"/>
        <w:rPr>
          <w:rFonts w:cs="Arial"/>
          <w:b/>
          <w:color w:val="000000" w:themeColor="text1"/>
          <w:sz w:val="22"/>
          <w:szCs w:val="22"/>
        </w:rPr>
      </w:pPr>
      <w:r>
        <w:rPr>
          <w:rStyle w:val="CommentReference"/>
        </w:rPr>
        <w:commentReference w:id="12"/>
      </w:r>
    </w:p>
    <w:p w14:paraId="07E8FD42" w14:textId="1A158337" w:rsidR="00822699" w:rsidRPr="002100E4" w:rsidRDefault="00822699" w:rsidP="00B50D38">
      <w:pPr>
        <w:widowControl w:val="0"/>
        <w:autoSpaceDE w:val="0"/>
        <w:autoSpaceDN w:val="0"/>
        <w:adjustRightInd w:val="0"/>
        <w:spacing w:before="0" w:after="240" w:line="340" w:lineRule="atLeast"/>
        <w:rPr>
          <w:rFonts w:eastAsia="Cambria" w:cs="Arial"/>
          <w:i/>
          <w:color w:val="000000" w:themeColor="text1"/>
          <w:sz w:val="22"/>
          <w:szCs w:val="22"/>
        </w:rPr>
      </w:pPr>
      <w:commentRangeStart w:id="13"/>
      <w:r w:rsidRPr="002100E4">
        <w:rPr>
          <w:rFonts w:eastAsia="Cambria" w:cs="Arial"/>
          <w:i/>
          <w:color w:val="000000" w:themeColor="text1"/>
          <w:sz w:val="22"/>
          <w:szCs w:val="22"/>
        </w:rPr>
        <w:t>From minutes 24</w:t>
      </w:r>
      <w:r w:rsidRPr="002100E4">
        <w:rPr>
          <w:rFonts w:eastAsia="Cambria" w:cs="Arial"/>
          <w:i/>
          <w:color w:val="000000" w:themeColor="text1"/>
          <w:sz w:val="22"/>
          <w:szCs w:val="22"/>
          <w:vertAlign w:val="superscript"/>
        </w:rPr>
        <w:t>th</w:t>
      </w:r>
      <w:r w:rsidR="007D2DB4" w:rsidRPr="002100E4">
        <w:rPr>
          <w:rFonts w:eastAsia="Cambria" w:cs="Arial"/>
          <w:i/>
          <w:color w:val="000000" w:themeColor="text1"/>
          <w:sz w:val="22"/>
          <w:szCs w:val="22"/>
        </w:rPr>
        <w:t xml:space="preserve"> A</w:t>
      </w:r>
      <w:r w:rsidRPr="002100E4">
        <w:rPr>
          <w:rFonts w:eastAsia="Cambria" w:cs="Arial"/>
          <w:i/>
          <w:color w:val="000000" w:themeColor="text1"/>
          <w:sz w:val="22"/>
          <w:szCs w:val="22"/>
        </w:rPr>
        <w:t>pril 2017</w:t>
      </w:r>
      <w:r w:rsidR="00D25192" w:rsidRPr="002100E4">
        <w:rPr>
          <w:rFonts w:eastAsia="Cambria" w:cs="Arial"/>
          <w:i/>
          <w:color w:val="000000" w:themeColor="text1"/>
          <w:sz w:val="22"/>
          <w:szCs w:val="22"/>
        </w:rPr>
        <w:t xml:space="preserve">, </w:t>
      </w:r>
    </w:p>
    <w:p w14:paraId="24F820BD" w14:textId="10487404" w:rsidR="00B50D38" w:rsidRPr="002100E4" w:rsidRDefault="00822699" w:rsidP="00B50D38">
      <w:pPr>
        <w:widowControl w:val="0"/>
        <w:autoSpaceDE w:val="0"/>
        <w:autoSpaceDN w:val="0"/>
        <w:adjustRightInd w:val="0"/>
        <w:spacing w:before="0" w:after="240" w:line="340" w:lineRule="atLeast"/>
        <w:rPr>
          <w:rFonts w:eastAsia="Cambria" w:cs="Arial"/>
          <w:i/>
          <w:color w:val="000000" w:themeColor="text1"/>
          <w:sz w:val="22"/>
          <w:szCs w:val="22"/>
        </w:rPr>
      </w:pPr>
      <w:r w:rsidRPr="002100E4">
        <w:rPr>
          <w:rFonts w:eastAsia="Cambria" w:cs="Arial"/>
          <w:i/>
          <w:color w:val="000000" w:themeColor="text1"/>
          <w:sz w:val="22"/>
          <w:szCs w:val="22"/>
        </w:rPr>
        <w:t>…</w:t>
      </w:r>
      <w:r w:rsidR="00B50D38" w:rsidRPr="002100E4">
        <w:rPr>
          <w:rFonts w:eastAsia="Cambria" w:cs="Arial"/>
          <w:i/>
          <w:color w:val="000000" w:themeColor="text1"/>
          <w:sz w:val="22"/>
          <w:szCs w:val="22"/>
        </w:rPr>
        <w:t>Any alternative charging arrangement developed to ‘Avoid Inefficient Bypass of the NTS’ should only give rise to a financial benefit to relevant users where such bypass might be economically viable rather than a discounted transportation service anticipated to have more wider usage</w:t>
      </w:r>
      <w:commentRangeEnd w:id="13"/>
      <w:r w:rsidR="00D25192" w:rsidRPr="002100E4">
        <w:rPr>
          <w:rStyle w:val="CommentReference"/>
          <w:rFonts w:cs="Arial"/>
          <w:sz w:val="22"/>
          <w:szCs w:val="22"/>
        </w:rPr>
        <w:commentReference w:id="13"/>
      </w:r>
      <w:r w:rsidR="00B50D38" w:rsidRPr="002100E4">
        <w:rPr>
          <w:rFonts w:eastAsia="Cambria" w:cs="Arial"/>
          <w:i/>
          <w:color w:val="000000" w:themeColor="text1"/>
          <w:sz w:val="22"/>
          <w:szCs w:val="22"/>
        </w:rPr>
        <w:t xml:space="preserve">. </w:t>
      </w:r>
    </w:p>
    <w:p w14:paraId="0292927B" w14:textId="14FDC1BC" w:rsidR="00C376AF" w:rsidRPr="002100E4" w:rsidRDefault="00E33FC5" w:rsidP="00C376AF">
      <w:pPr>
        <w:tabs>
          <w:tab w:val="right" w:pos="-2268"/>
        </w:tabs>
        <w:spacing w:before="240"/>
        <w:jc w:val="both"/>
        <w:rPr>
          <w:rFonts w:cs="Arial"/>
          <w:bCs/>
          <w:color w:val="000000" w:themeColor="text1"/>
          <w:sz w:val="22"/>
          <w:szCs w:val="22"/>
        </w:rPr>
      </w:pPr>
      <w:r>
        <w:rPr>
          <w:rFonts w:cs="Arial"/>
          <w:bCs/>
          <w:color w:val="000000" w:themeColor="text1"/>
          <w:sz w:val="22"/>
          <w:szCs w:val="22"/>
        </w:rPr>
        <w:t>R</w:t>
      </w:r>
      <w:r w:rsidR="00BF1257" w:rsidRPr="002100E4">
        <w:rPr>
          <w:rFonts w:cs="Arial"/>
          <w:bCs/>
          <w:color w:val="000000" w:themeColor="text1"/>
          <w:sz w:val="22"/>
          <w:szCs w:val="22"/>
        </w:rPr>
        <w:t xml:space="preserve">ationale for </w:t>
      </w:r>
      <w:commentRangeStart w:id="14"/>
      <w:r w:rsidR="00C376AF" w:rsidRPr="002100E4">
        <w:rPr>
          <w:rFonts w:cs="Arial"/>
          <w:bCs/>
          <w:color w:val="000000" w:themeColor="text1"/>
          <w:sz w:val="22"/>
          <w:szCs w:val="22"/>
        </w:rPr>
        <w:t>the decision to have the distance limit set at 60km.</w:t>
      </w:r>
      <w:commentRangeEnd w:id="14"/>
      <w:r w:rsidR="00C376AF" w:rsidRPr="002100E4">
        <w:rPr>
          <w:rStyle w:val="CommentReference"/>
          <w:rFonts w:cs="Arial"/>
          <w:color w:val="000000" w:themeColor="text1"/>
          <w:sz w:val="22"/>
          <w:szCs w:val="22"/>
        </w:rPr>
        <w:commentReference w:id="14"/>
      </w:r>
    </w:p>
    <w:p w14:paraId="62B488A6" w14:textId="77777777" w:rsidR="002100E4" w:rsidRPr="002100E4" w:rsidRDefault="002100E4" w:rsidP="00C376AF">
      <w:pPr>
        <w:tabs>
          <w:tab w:val="right" w:pos="-2268"/>
        </w:tabs>
        <w:spacing w:before="240"/>
        <w:jc w:val="both"/>
        <w:rPr>
          <w:rFonts w:cs="Arial"/>
          <w:bCs/>
          <w:color w:val="000000" w:themeColor="text1"/>
          <w:sz w:val="22"/>
          <w:szCs w:val="22"/>
        </w:rPr>
      </w:pPr>
    </w:p>
    <w:p w14:paraId="42EB327B" w14:textId="77777777" w:rsidR="002100E4" w:rsidRPr="001A1658" w:rsidRDefault="002100E4" w:rsidP="00C376AF">
      <w:pPr>
        <w:tabs>
          <w:tab w:val="right" w:pos="-2268"/>
        </w:tabs>
        <w:spacing w:before="240"/>
        <w:jc w:val="both"/>
        <w:rPr>
          <w:rFonts w:cs="Arial"/>
          <w:bCs/>
          <w:color w:val="000000" w:themeColor="text1"/>
          <w:sz w:val="22"/>
          <w:szCs w:val="22"/>
        </w:rPr>
      </w:pPr>
    </w:p>
    <w:p w14:paraId="3EB0ED53" w14:textId="22BA3C9C" w:rsidR="00BF1257" w:rsidRPr="001A1658" w:rsidRDefault="00BF1257" w:rsidP="00BF1257">
      <w:pPr>
        <w:tabs>
          <w:tab w:val="right" w:pos="-2268"/>
        </w:tabs>
        <w:spacing w:before="240"/>
        <w:jc w:val="both"/>
        <w:rPr>
          <w:rFonts w:cs="Arial"/>
          <w:bCs/>
          <w:color w:val="000000" w:themeColor="text1"/>
          <w:sz w:val="22"/>
          <w:szCs w:val="22"/>
        </w:rPr>
      </w:pPr>
      <w:commentRangeStart w:id="15"/>
      <w:r w:rsidRPr="001A1658">
        <w:rPr>
          <w:rFonts w:cs="Arial"/>
          <w:bCs/>
          <w:color w:val="000000" w:themeColor="text1"/>
          <w:sz w:val="22"/>
          <w:szCs w:val="22"/>
        </w:rPr>
        <w:t xml:space="preserve">GJ would like an understanding of how </w:t>
      </w:r>
      <w:r w:rsidR="001A1658" w:rsidRPr="001A1658">
        <w:rPr>
          <w:rFonts w:cs="Arial"/>
          <w:bCs/>
          <w:color w:val="000000" w:themeColor="text1"/>
          <w:sz w:val="22"/>
          <w:szCs w:val="22"/>
        </w:rPr>
        <w:t xml:space="preserve">Shorthaul would work for </w:t>
      </w:r>
      <w:r w:rsidRPr="001A1658">
        <w:rPr>
          <w:rFonts w:cs="Arial"/>
          <w:bCs/>
          <w:color w:val="000000" w:themeColor="text1"/>
          <w:sz w:val="22"/>
          <w:szCs w:val="22"/>
        </w:rPr>
        <w:t>Interconnection Points</w:t>
      </w:r>
      <w:r w:rsidR="001A1658" w:rsidRPr="001A1658">
        <w:rPr>
          <w:rFonts w:cs="Arial"/>
          <w:bCs/>
          <w:color w:val="000000" w:themeColor="text1"/>
          <w:sz w:val="22"/>
          <w:szCs w:val="22"/>
        </w:rPr>
        <w:t>; how</w:t>
      </w:r>
      <w:r w:rsidRPr="001A1658">
        <w:rPr>
          <w:rFonts w:cs="Arial"/>
          <w:bCs/>
          <w:color w:val="000000" w:themeColor="text1"/>
          <w:sz w:val="22"/>
          <w:szCs w:val="22"/>
        </w:rPr>
        <w:t xml:space="preserve"> are </w:t>
      </w:r>
      <w:r w:rsidR="001A1658" w:rsidRPr="001A1658">
        <w:rPr>
          <w:rFonts w:cs="Arial"/>
          <w:bCs/>
          <w:color w:val="000000" w:themeColor="text1"/>
          <w:sz w:val="22"/>
          <w:szCs w:val="22"/>
        </w:rPr>
        <w:t xml:space="preserve">they </w:t>
      </w:r>
      <w:r w:rsidRPr="001A1658">
        <w:rPr>
          <w:rFonts w:cs="Arial"/>
          <w:bCs/>
          <w:color w:val="000000" w:themeColor="text1"/>
          <w:sz w:val="22"/>
          <w:szCs w:val="22"/>
        </w:rPr>
        <w:t>going to be treated from 2019 onwards</w:t>
      </w:r>
      <w:r w:rsidR="001A1658" w:rsidRPr="001A1658">
        <w:rPr>
          <w:rFonts w:cs="Arial"/>
          <w:bCs/>
          <w:color w:val="000000" w:themeColor="text1"/>
          <w:sz w:val="22"/>
          <w:szCs w:val="22"/>
        </w:rPr>
        <w:t>?</w:t>
      </w:r>
      <w:r w:rsidRPr="001A1658">
        <w:rPr>
          <w:rFonts w:cs="Arial"/>
          <w:bCs/>
          <w:color w:val="000000" w:themeColor="text1"/>
          <w:sz w:val="22"/>
          <w:szCs w:val="22"/>
        </w:rPr>
        <w:t xml:space="preserve"> (there is no product available for 2021 onwards as yet).</w:t>
      </w:r>
      <w:commentRangeEnd w:id="15"/>
      <w:r w:rsidRPr="001A1658">
        <w:rPr>
          <w:rStyle w:val="CommentReference"/>
          <w:color w:val="000000" w:themeColor="text1"/>
        </w:rPr>
        <w:commentReference w:id="15"/>
      </w:r>
    </w:p>
    <w:p w14:paraId="7E666855" w14:textId="77777777" w:rsidR="00B50D38" w:rsidRPr="007D2DB4" w:rsidRDefault="00B50D38" w:rsidP="005B60A0">
      <w:pPr>
        <w:spacing w:before="240"/>
        <w:rPr>
          <w:rFonts w:cs="Arial"/>
          <w:b/>
          <w:color w:val="000000" w:themeColor="text1"/>
          <w:szCs w:val="20"/>
        </w:rPr>
      </w:pPr>
    </w:p>
    <w:p w14:paraId="74504E30" w14:textId="77777777" w:rsidR="005B60A0" w:rsidRDefault="005B60A0" w:rsidP="005B60A0">
      <w:pPr>
        <w:spacing w:before="240"/>
        <w:rPr>
          <w:rFonts w:cs="Arial"/>
          <w:b/>
          <w:color w:val="000000" w:themeColor="text1"/>
          <w:szCs w:val="20"/>
        </w:rPr>
      </w:pPr>
      <w:r w:rsidRPr="007D2DB4">
        <w:rPr>
          <w:rFonts w:cs="Arial"/>
          <w:b/>
          <w:color w:val="000000" w:themeColor="text1"/>
          <w:szCs w:val="20"/>
        </w:rPr>
        <w:t>Interruptible</w:t>
      </w:r>
    </w:p>
    <w:p w14:paraId="0235D7B7" w14:textId="51B04291" w:rsidR="00FD7DF3" w:rsidRPr="00FD7DF3" w:rsidRDefault="00FD7DF3" w:rsidP="00FD7DF3">
      <w:pPr>
        <w:spacing w:before="100" w:beforeAutospacing="1" w:after="100" w:afterAutospacing="1" w:line="240" w:lineRule="auto"/>
        <w:rPr>
          <w:rFonts w:ascii="Times New Roman" w:hAnsi="Times New Roman"/>
          <w:i/>
          <w:color w:val="FF0000"/>
          <w:sz w:val="24"/>
          <w:lang w:eastAsia="en-US"/>
        </w:rPr>
      </w:pPr>
      <w:r w:rsidRPr="00FD7DF3">
        <w:rPr>
          <w:rFonts w:ascii="ArialMT" w:hAnsi="ArialMT" w:cs="ArialMT"/>
          <w:i/>
          <w:color w:val="FF0000"/>
          <w:sz w:val="22"/>
          <w:szCs w:val="22"/>
          <w:lang w:eastAsia="en-US"/>
        </w:rPr>
        <w:t xml:space="preserve">Interruptible capacity is offered is so that capacity is always available. </w:t>
      </w:r>
    </w:p>
    <w:p w14:paraId="46091F4E" w14:textId="002E6D3E" w:rsidR="0048557C" w:rsidRPr="00FD7DF3" w:rsidRDefault="00741005" w:rsidP="005B60A0">
      <w:pPr>
        <w:spacing w:before="240"/>
        <w:rPr>
          <w:rFonts w:cs="Arial"/>
          <w:i/>
          <w:color w:val="FF0000"/>
          <w:szCs w:val="20"/>
        </w:rPr>
      </w:pPr>
      <w:r w:rsidRPr="00FD7DF3">
        <w:rPr>
          <w:rFonts w:cs="Arial"/>
          <w:i/>
          <w:color w:val="FF0000"/>
          <w:szCs w:val="20"/>
        </w:rPr>
        <w:t>10% gives some incentive whereas a lower value e.g. 5% banding does not give sufficient incentive.</w:t>
      </w:r>
    </w:p>
    <w:p w14:paraId="6702D69D" w14:textId="01B260B0" w:rsidR="0048557C" w:rsidRPr="00741005" w:rsidRDefault="0048557C" w:rsidP="005B60A0">
      <w:pPr>
        <w:spacing w:before="240"/>
        <w:rPr>
          <w:rFonts w:cs="Arial"/>
          <w:i/>
          <w:color w:val="FF0000"/>
          <w:szCs w:val="20"/>
        </w:rPr>
      </w:pPr>
      <w:r w:rsidRPr="00741005">
        <w:rPr>
          <w:rFonts w:cs="Arial"/>
          <w:i/>
          <w:color w:val="FF0000"/>
          <w:szCs w:val="20"/>
        </w:rPr>
        <w:t>Buy back costs as substitute?</w:t>
      </w:r>
      <w:r w:rsidR="00741005">
        <w:rPr>
          <w:rFonts w:cs="Arial"/>
          <w:i/>
          <w:color w:val="FF0000"/>
          <w:szCs w:val="20"/>
        </w:rPr>
        <w:t xml:space="preserve"> See Action </w:t>
      </w:r>
      <w:r w:rsidR="00741005" w:rsidRPr="00741005">
        <w:rPr>
          <w:rFonts w:cs="Arial"/>
          <w:i/>
          <w:color w:val="FF0000"/>
          <w:szCs w:val="20"/>
        </w:rPr>
        <w:t>0621-1101</w:t>
      </w:r>
    </w:p>
    <w:p w14:paraId="3FC1A11F" w14:textId="327D10BC" w:rsidR="006B0B76" w:rsidRPr="006B0B76" w:rsidRDefault="006B0B76" w:rsidP="006B0B76">
      <w:pPr>
        <w:spacing w:before="240"/>
        <w:rPr>
          <w:rFonts w:cs="Arial"/>
          <w:b/>
          <w:color w:val="000000" w:themeColor="text1"/>
          <w:szCs w:val="20"/>
        </w:rPr>
      </w:pPr>
      <w:r w:rsidRPr="006B0B76">
        <w:rPr>
          <w:rFonts w:cs="Arial"/>
          <w:b/>
          <w:color w:val="000000" w:themeColor="text1"/>
          <w:szCs w:val="20"/>
        </w:rPr>
        <w:t>Periodic process to determine Parameters and information publication</w:t>
      </w:r>
    </w:p>
    <w:p w14:paraId="38D20E04" w14:textId="77777777" w:rsidR="0090215E" w:rsidRDefault="0090215E" w:rsidP="005B60A0">
      <w:pPr>
        <w:spacing w:before="240"/>
        <w:rPr>
          <w:rFonts w:cs="Arial"/>
          <w:color w:val="000000" w:themeColor="text1"/>
          <w:szCs w:val="20"/>
        </w:rPr>
      </w:pPr>
      <w:commentRangeStart w:id="16"/>
    </w:p>
    <w:p w14:paraId="0BFDC18E" w14:textId="28334A1E" w:rsidR="0090215E" w:rsidRPr="0090215E" w:rsidRDefault="0090215E" w:rsidP="0090215E">
      <w:pPr>
        <w:spacing w:before="240"/>
        <w:rPr>
          <w:rFonts w:ascii="ArialMT" w:hAnsi="ArialMT" w:cs="ArialMT"/>
          <w:color w:val="FF0000"/>
          <w:szCs w:val="20"/>
          <w:lang w:eastAsia="en-US"/>
        </w:rPr>
      </w:pPr>
      <w:r w:rsidRPr="0090215E">
        <w:rPr>
          <w:rFonts w:cs="Arial"/>
          <w:color w:val="FF0000"/>
          <w:szCs w:val="20"/>
        </w:rPr>
        <w:t>National Grid proposes in Modification 0621 to utilise a so-called light-touch consultation process to  determine the applicable Multipliers, Interruptible  and Off peak Capacity discounts and Specific Capacity Discount for LNG</w:t>
      </w:r>
      <w:r w:rsidR="0058299B">
        <w:rPr>
          <w:rFonts w:cs="Arial"/>
          <w:color w:val="FF0000"/>
          <w:szCs w:val="20"/>
        </w:rPr>
        <w:t xml:space="preserve"> which will apply to the period beyond 01 October 2020</w:t>
      </w:r>
      <w:r w:rsidRPr="0090215E">
        <w:rPr>
          <w:rFonts w:ascii="ArialMT" w:hAnsi="ArialMT" w:cs="ArialMT"/>
          <w:color w:val="FF0000"/>
          <w:szCs w:val="20"/>
          <w:lang w:eastAsia="en-US"/>
        </w:rPr>
        <w:t xml:space="preserve">. Ofgem will have a veto option. </w:t>
      </w:r>
      <w:r w:rsidR="0058299B">
        <w:rPr>
          <w:rFonts w:ascii="ArialMT" w:hAnsi="ArialMT" w:cs="ArialMT"/>
          <w:color w:val="FF0000"/>
          <w:szCs w:val="20"/>
          <w:lang w:eastAsia="en-US"/>
        </w:rPr>
        <w:t xml:space="preserve">The process is described in </w:t>
      </w:r>
      <w:commentRangeStart w:id="17"/>
      <w:r w:rsidR="0058299B" w:rsidRPr="0058299B">
        <w:rPr>
          <w:rFonts w:ascii="ArialMT" w:hAnsi="ArialMT" w:cs="ArialMT"/>
          <w:color w:val="FF0000"/>
          <w:szCs w:val="20"/>
          <w:highlight w:val="yellow"/>
          <w:lang w:eastAsia="en-US"/>
        </w:rPr>
        <w:t>Section 3.30 of Section 3</w:t>
      </w:r>
      <w:r w:rsidR="0058299B">
        <w:rPr>
          <w:rFonts w:ascii="ArialMT" w:hAnsi="ArialMT" w:cs="ArialMT"/>
          <w:color w:val="FF0000"/>
          <w:szCs w:val="20"/>
          <w:lang w:eastAsia="en-US"/>
        </w:rPr>
        <w:t>.</w:t>
      </w:r>
      <w:commentRangeEnd w:id="17"/>
      <w:r w:rsidR="0058299B">
        <w:rPr>
          <w:rStyle w:val="CommentReference"/>
        </w:rPr>
        <w:commentReference w:id="17"/>
      </w:r>
    </w:p>
    <w:p w14:paraId="558EE3D5" w14:textId="0656B6CF" w:rsidR="0090215E" w:rsidRPr="0090215E" w:rsidRDefault="00E21FCF" w:rsidP="0090215E">
      <w:pPr>
        <w:spacing w:before="240"/>
        <w:rPr>
          <w:rFonts w:ascii="ArialMT" w:hAnsi="ArialMT" w:cs="ArialMT"/>
          <w:color w:val="FF0000"/>
          <w:szCs w:val="20"/>
          <w:lang w:eastAsia="en-US"/>
        </w:rPr>
      </w:pPr>
      <w:r>
        <w:rPr>
          <w:rFonts w:ascii="ArialMT" w:hAnsi="ArialMT" w:cs="ArialMT"/>
          <w:color w:val="FF0000"/>
          <w:szCs w:val="20"/>
          <w:lang w:eastAsia="en-US"/>
        </w:rPr>
        <w:t>A small number of</w:t>
      </w:r>
      <w:r w:rsidR="0090215E" w:rsidRPr="0090215E">
        <w:rPr>
          <w:rFonts w:ascii="ArialMT" w:hAnsi="ArialMT" w:cs="ArialMT"/>
          <w:color w:val="FF0000"/>
          <w:szCs w:val="20"/>
          <w:lang w:eastAsia="en-US"/>
        </w:rPr>
        <w:t xml:space="preserve"> Workgroup participants deemed this process made it too easy for National Grid to change the values</w:t>
      </w:r>
      <w:r w:rsidR="0058299B">
        <w:rPr>
          <w:rFonts w:ascii="ArialMT" w:hAnsi="ArialMT" w:cs="ArialMT"/>
          <w:color w:val="FF0000"/>
          <w:szCs w:val="20"/>
          <w:lang w:eastAsia="en-US"/>
        </w:rPr>
        <w:t xml:space="preserve"> and believed the transparency offered by the process as described was insufficient</w:t>
      </w:r>
      <w:r w:rsidR="0090215E" w:rsidRPr="0090215E">
        <w:rPr>
          <w:rFonts w:ascii="ArialMT" w:hAnsi="ArialMT" w:cs="ArialMT"/>
          <w:color w:val="FF0000"/>
          <w:szCs w:val="20"/>
          <w:lang w:eastAsia="en-US"/>
        </w:rPr>
        <w:t xml:space="preserve">. </w:t>
      </w:r>
      <w:r>
        <w:rPr>
          <w:rFonts w:ascii="ArialMT" w:hAnsi="ArialMT" w:cs="ArialMT"/>
          <w:color w:val="FF0000"/>
          <w:szCs w:val="20"/>
          <w:lang w:eastAsia="en-US"/>
        </w:rPr>
        <w:t>One</w:t>
      </w:r>
      <w:r w:rsidR="0090215E" w:rsidRPr="0090215E">
        <w:rPr>
          <w:rFonts w:ascii="ArialMT" w:hAnsi="ArialMT" w:cs="ArialMT"/>
          <w:color w:val="FF0000"/>
          <w:szCs w:val="20"/>
          <w:lang w:eastAsia="en-US"/>
        </w:rPr>
        <w:t xml:space="preserve"> of these participants therefore included in the</w:t>
      </w:r>
      <w:r>
        <w:rPr>
          <w:rFonts w:ascii="ArialMT" w:hAnsi="ArialMT" w:cs="ArialMT"/>
          <w:color w:val="FF0000"/>
          <w:szCs w:val="20"/>
          <w:lang w:eastAsia="en-US"/>
        </w:rPr>
        <w:t>ir own Alternative Modification</w:t>
      </w:r>
      <w:r w:rsidR="0090215E" w:rsidRPr="0090215E">
        <w:rPr>
          <w:rFonts w:ascii="ArialMT" w:hAnsi="ArialMT" w:cs="ArialMT"/>
          <w:color w:val="FF0000"/>
          <w:szCs w:val="20"/>
          <w:lang w:eastAsia="en-US"/>
        </w:rPr>
        <w:t xml:space="preserve"> (e.g. </w:t>
      </w:r>
      <w:commentRangeStart w:id="18"/>
      <w:r w:rsidR="0090215E" w:rsidRPr="0090215E">
        <w:rPr>
          <w:rFonts w:ascii="ArialMT" w:hAnsi="ArialMT" w:cs="ArialMT"/>
          <w:color w:val="FF0000"/>
          <w:szCs w:val="20"/>
          <w:lang w:eastAsia="en-US"/>
        </w:rPr>
        <w:t>0621</w:t>
      </w:r>
      <w:r>
        <w:rPr>
          <w:rFonts w:ascii="ArialMT" w:hAnsi="ArialMT" w:cs="ArialMT"/>
          <w:color w:val="FF0000"/>
          <w:szCs w:val="20"/>
          <w:lang w:eastAsia="en-US"/>
        </w:rPr>
        <w:t>B</w:t>
      </w:r>
      <w:commentRangeEnd w:id="18"/>
      <w:r>
        <w:rPr>
          <w:rStyle w:val="CommentReference"/>
        </w:rPr>
        <w:commentReference w:id="18"/>
      </w:r>
      <w:r w:rsidR="0090215E" w:rsidRPr="0090215E">
        <w:rPr>
          <w:rFonts w:ascii="ArialMT" w:hAnsi="ArialMT" w:cs="ArialMT"/>
          <w:color w:val="FF0000"/>
          <w:szCs w:val="20"/>
          <w:lang w:eastAsia="en-US"/>
        </w:rPr>
        <w:t xml:space="preserve">) the requirement for such values to be published in Code </w:t>
      </w:r>
      <w:r w:rsidR="00A006E3">
        <w:rPr>
          <w:rFonts w:ascii="ArialMT" w:hAnsi="ArialMT" w:cs="ArialMT"/>
          <w:color w:val="FF0000"/>
          <w:szCs w:val="20"/>
          <w:lang w:eastAsia="en-US"/>
        </w:rPr>
        <w:t>which would t</w:t>
      </w:r>
      <w:r w:rsidR="0090215E" w:rsidRPr="0090215E">
        <w:rPr>
          <w:rFonts w:ascii="ArialMT" w:hAnsi="ArialMT" w:cs="ArialMT"/>
          <w:color w:val="FF0000"/>
          <w:szCs w:val="20"/>
          <w:lang w:eastAsia="en-US"/>
        </w:rPr>
        <w:t>herefore require a UNC Modification to change the value</w:t>
      </w:r>
      <w:r w:rsidR="00A006E3">
        <w:rPr>
          <w:rFonts w:ascii="ArialMT" w:hAnsi="ArialMT" w:cs="ArialMT"/>
          <w:color w:val="FF0000"/>
          <w:szCs w:val="20"/>
          <w:lang w:eastAsia="en-US"/>
        </w:rPr>
        <w:t>s. Their reasoning was that</w:t>
      </w:r>
      <w:r w:rsidR="0090215E" w:rsidRPr="0090215E">
        <w:rPr>
          <w:rFonts w:ascii="ArialMT" w:hAnsi="ArialMT" w:cs="ArialMT"/>
          <w:color w:val="FF0000"/>
          <w:szCs w:val="20"/>
          <w:lang w:eastAsia="en-US"/>
        </w:rPr>
        <w:t xml:space="preserve"> the UNC Modification process is a known and accepted route </w:t>
      </w:r>
      <w:r w:rsidR="00A006E3">
        <w:rPr>
          <w:rFonts w:ascii="ArialMT" w:hAnsi="ArialMT" w:cs="ArialMT"/>
          <w:color w:val="FF0000"/>
          <w:szCs w:val="20"/>
          <w:lang w:eastAsia="en-US"/>
        </w:rPr>
        <w:t xml:space="preserve">likely </w:t>
      </w:r>
      <w:r w:rsidR="0090215E" w:rsidRPr="0090215E">
        <w:rPr>
          <w:rFonts w:ascii="ArialMT" w:hAnsi="ArialMT" w:cs="ArialMT"/>
          <w:color w:val="FF0000"/>
          <w:szCs w:val="20"/>
          <w:lang w:eastAsia="en-US"/>
        </w:rPr>
        <w:t xml:space="preserve">to </w:t>
      </w:r>
      <w:r w:rsidR="00A006E3">
        <w:rPr>
          <w:rFonts w:ascii="ArialMT" w:hAnsi="ArialMT" w:cs="ArialMT"/>
          <w:color w:val="FF0000"/>
          <w:szCs w:val="20"/>
          <w:lang w:eastAsia="en-US"/>
        </w:rPr>
        <w:t>result in the enabling of</w:t>
      </w:r>
      <w:r w:rsidR="0090215E" w:rsidRPr="0090215E">
        <w:rPr>
          <w:rFonts w:ascii="ArialMT" w:hAnsi="ArialMT" w:cs="ArialMT"/>
          <w:color w:val="FF0000"/>
          <w:szCs w:val="20"/>
          <w:lang w:eastAsia="en-US"/>
        </w:rPr>
        <w:t xml:space="preserve"> a thought-through and transparent change.</w:t>
      </w:r>
      <w:r w:rsidR="0058299B">
        <w:rPr>
          <w:rFonts w:ascii="ArialMT" w:hAnsi="ArialMT" w:cs="ArialMT"/>
          <w:color w:val="FF0000"/>
          <w:szCs w:val="20"/>
          <w:lang w:eastAsia="en-US"/>
        </w:rPr>
        <w:t xml:space="preserve"> </w:t>
      </w:r>
    </w:p>
    <w:p w14:paraId="05B6C9FA" w14:textId="1366DFA2" w:rsidR="0090215E" w:rsidRPr="0090215E" w:rsidRDefault="00E21FCF" w:rsidP="0090215E">
      <w:pPr>
        <w:spacing w:before="240"/>
        <w:rPr>
          <w:color w:val="FF0000"/>
          <w:lang w:eastAsia="en-US"/>
        </w:rPr>
      </w:pPr>
      <w:r>
        <w:rPr>
          <w:rFonts w:ascii="ArialMT" w:hAnsi="ArialMT" w:cs="ArialMT"/>
          <w:color w:val="FF0000"/>
          <w:szCs w:val="20"/>
          <w:lang w:eastAsia="en-US"/>
        </w:rPr>
        <w:t>Most</w:t>
      </w:r>
      <w:r w:rsidR="0058299B">
        <w:rPr>
          <w:rFonts w:ascii="ArialMT" w:hAnsi="ArialMT" w:cs="ArialMT"/>
          <w:color w:val="FF0000"/>
          <w:szCs w:val="20"/>
          <w:lang w:eastAsia="en-US"/>
        </w:rPr>
        <w:t xml:space="preserve"> W</w:t>
      </w:r>
      <w:r w:rsidR="0090215E" w:rsidRPr="0090215E">
        <w:rPr>
          <w:rFonts w:ascii="ArialMT" w:hAnsi="ArialMT" w:cs="ArialMT"/>
          <w:color w:val="FF0000"/>
          <w:szCs w:val="20"/>
          <w:lang w:eastAsia="en-US"/>
        </w:rPr>
        <w:t xml:space="preserve">orkgroup participants </w:t>
      </w:r>
      <w:r w:rsidR="0090215E">
        <w:rPr>
          <w:rFonts w:ascii="ArialMT" w:hAnsi="ArialMT" w:cs="ArialMT"/>
          <w:color w:val="FF0000"/>
          <w:szCs w:val="20"/>
          <w:lang w:eastAsia="en-US"/>
        </w:rPr>
        <w:t>agreed wi</w:t>
      </w:r>
      <w:r w:rsidR="0058299B">
        <w:rPr>
          <w:rFonts w:ascii="ArialMT" w:hAnsi="ArialMT" w:cs="ArialMT"/>
          <w:color w:val="FF0000"/>
          <w:szCs w:val="20"/>
          <w:lang w:eastAsia="en-US"/>
        </w:rPr>
        <w:t>th National Grid that the light-</w:t>
      </w:r>
      <w:r w:rsidR="0090215E">
        <w:rPr>
          <w:rFonts w:ascii="ArialMT" w:hAnsi="ArialMT" w:cs="ArialMT"/>
          <w:color w:val="FF0000"/>
          <w:szCs w:val="20"/>
          <w:lang w:eastAsia="en-US"/>
        </w:rPr>
        <w:t xml:space="preserve">touch consultation </w:t>
      </w:r>
      <w:r w:rsidR="001317D8">
        <w:rPr>
          <w:rFonts w:ascii="ArialMT" w:hAnsi="ArialMT" w:cs="ArialMT"/>
          <w:color w:val="FF0000"/>
          <w:szCs w:val="20"/>
          <w:lang w:eastAsia="en-US"/>
        </w:rPr>
        <w:t xml:space="preserve">process </w:t>
      </w:r>
      <w:r w:rsidR="0058299B">
        <w:rPr>
          <w:rFonts w:ascii="ArialMT" w:hAnsi="ArialMT" w:cs="ArialMT"/>
          <w:color w:val="FF0000"/>
          <w:szCs w:val="20"/>
          <w:lang w:eastAsia="en-US"/>
        </w:rPr>
        <w:t xml:space="preserve">taking place outside of Code </w:t>
      </w:r>
      <w:r w:rsidR="001317D8">
        <w:rPr>
          <w:rFonts w:ascii="ArialMT" w:hAnsi="ArialMT" w:cs="ArialMT"/>
          <w:color w:val="FF0000"/>
          <w:szCs w:val="20"/>
          <w:lang w:eastAsia="en-US"/>
        </w:rPr>
        <w:t xml:space="preserve">was sufficient, given the likely materiality of any change </w:t>
      </w:r>
      <w:r w:rsidR="0090215E">
        <w:rPr>
          <w:rFonts w:ascii="ArialMT" w:hAnsi="ArialMT" w:cs="ArialMT"/>
          <w:color w:val="FF0000"/>
          <w:szCs w:val="20"/>
          <w:lang w:eastAsia="en-US"/>
        </w:rPr>
        <w:t xml:space="preserve">and </w:t>
      </w:r>
      <w:r w:rsidR="0058299B">
        <w:rPr>
          <w:rFonts w:ascii="ArialMT" w:hAnsi="ArialMT" w:cs="ArialMT"/>
          <w:color w:val="FF0000"/>
          <w:szCs w:val="20"/>
          <w:lang w:eastAsia="en-US"/>
        </w:rPr>
        <w:t xml:space="preserve">was therefore </w:t>
      </w:r>
      <w:r w:rsidR="0090215E">
        <w:rPr>
          <w:rFonts w:ascii="ArialMT" w:hAnsi="ArialMT" w:cs="ArialMT"/>
          <w:color w:val="FF0000"/>
          <w:szCs w:val="20"/>
          <w:lang w:eastAsia="en-US"/>
        </w:rPr>
        <w:t>a pragmatic solution.</w:t>
      </w:r>
    </w:p>
    <w:p w14:paraId="76C3F449" w14:textId="2B251C2E" w:rsidR="0090215E" w:rsidRPr="0090215E" w:rsidRDefault="0090215E" w:rsidP="0090215E">
      <w:pPr>
        <w:spacing w:before="240"/>
        <w:rPr>
          <w:rFonts w:cs="Arial"/>
          <w:color w:val="000000" w:themeColor="text1"/>
          <w:szCs w:val="20"/>
        </w:rPr>
      </w:pPr>
    </w:p>
    <w:p w14:paraId="567F79D2" w14:textId="51215897" w:rsidR="0090215E" w:rsidRDefault="0090215E" w:rsidP="007A6EB6">
      <w:pPr>
        <w:spacing w:before="240"/>
        <w:ind w:left="720"/>
        <w:rPr>
          <w:rFonts w:cs="Arial"/>
          <w:color w:val="000000" w:themeColor="text1"/>
          <w:szCs w:val="20"/>
        </w:rPr>
      </w:pPr>
      <w:r w:rsidRPr="0090215E">
        <w:rPr>
          <w:rFonts w:cs="Arial"/>
          <w:color w:val="000000" w:themeColor="text1"/>
          <w:szCs w:val="20"/>
        </w:rPr>
        <w:t xml:space="preserve"> </w:t>
      </w:r>
      <w:commentRangeEnd w:id="16"/>
      <w:r>
        <w:rPr>
          <w:rStyle w:val="CommentReference"/>
        </w:rPr>
        <w:commentReference w:id="16"/>
      </w:r>
      <w:r w:rsidR="007A6EB6">
        <w:rPr>
          <w:rFonts w:cs="Arial"/>
          <w:color w:val="000000" w:themeColor="text1"/>
          <w:szCs w:val="20"/>
        </w:rPr>
        <w:t>&lt;</w:t>
      </w:r>
      <w:r w:rsidR="00B7326B">
        <w:rPr>
          <w:rFonts w:cs="Arial"/>
          <w:color w:val="000000" w:themeColor="text1"/>
          <w:szCs w:val="20"/>
        </w:rPr>
        <w:t xml:space="preserve">This is the </w:t>
      </w:r>
      <w:r w:rsidR="007A6EB6">
        <w:rPr>
          <w:rFonts w:cs="Arial"/>
          <w:color w:val="000000" w:themeColor="text1"/>
          <w:szCs w:val="20"/>
        </w:rPr>
        <w:t>Alternative text for this title required for 0621E:</w:t>
      </w:r>
    </w:p>
    <w:p w14:paraId="12C5467B" w14:textId="77777777" w:rsidR="007A6EB6" w:rsidRDefault="007A6EB6" w:rsidP="007A6EB6">
      <w:pPr>
        <w:spacing w:before="240"/>
        <w:ind w:left="720"/>
        <w:rPr>
          <w:rFonts w:cs="Arial"/>
          <w:color w:val="FF0000"/>
          <w:szCs w:val="20"/>
        </w:rPr>
      </w:pPr>
      <w:r>
        <w:rPr>
          <w:rFonts w:cs="Arial"/>
          <w:color w:val="FF0000"/>
          <w:szCs w:val="20"/>
        </w:rPr>
        <w:t>SSE</w:t>
      </w:r>
      <w:r w:rsidRPr="0090215E">
        <w:rPr>
          <w:rFonts w:cs="Arial"/>
          <w:color w:val="FF0000"/>
          <w:szCs w:val="20"/>
        </w:rPr>
        <w:t xml:space="preserve"> proposes in Modification 0621</w:t>
      </w:r>
      <w:r>
        <w:rPr>
          <w:rFonts w:cs="Arial"/>
          <w:color w:val="FF0000"/>
          <w:szCs w:val="20"/>
        </w:rPr>
        <w:t>E</w:t>
      </w:r>
      <w:r w:rsidRPr="0090215E">
        <w:rPr>
          <w:rFonts w:cs="Arial"/>
          <w:color w:val="FF0000"/>
          <w:szCs w:val="20"/>
        </w:rPr>
        <w:t xml:space="preserve"> to </w:t>
      </w:r>
      <w:r>
        <w:rPr>
          <w:rFonts w:cs="Arial"/>
          <w:color w:val="FF0000"/>
          <w:szCs w:val="20"/>
        </w:rPr>
        <w:t>place the values for</w:t>
      </w:r>
      <w:r w:rsidRPr="0090215E">
        <w:rPr>
          <w:rFonts w:cs="Arial"/>
          <w:color w:val="FF0000"/>
          <w:szCs w:val="20"/>
        </w:rPr>
        <w:t xml:space="preserve"> the applicable Multipliers, Interruptible  and Off peak Capacity discounts and Specific Capacity Discount for LNG</w:t>
      </w:r>
      <w:r>
        <w:rPr>
          <w:rFonts w:cs="Arial"/>
          <w:color w:val="FF0000"/>
          <w:szCs w:val="20"/>
        </w:rPr>
        <w:t xml:space="preserve"> </w:t>
      </w:r>
      <w:commentRangeStart w:id="19"/>
      <w:r>
        <w:rPr>
          <w:rFonts w:cs="Arial"/>
          <w:color w:val="FF0000"/>
          <w:szCs w:val="20"/>
        </w:rPr>
        <w:t>in Code</w:t>
      </w:r>
      <w:commentRangeEnd w:id="19"/>
      <w:r>
        <w:rPr>
          <w:rStyle w:val="CommentReference"/>
        </w:rPr>
        <w:commentReference w:id="19"/>
      </w:r>
      <w:r>
        <w:rPr>
          <w:rFonts w:cs="Arial"/>
          <w:color w:val="FF0000"/>
          <w:szCs w:val="20"/>
        </w:rPr>
        <w:t>.</w:t>
      </w:r>
    </w:p>
    <w:p w14:paraId="790438AF" w14:textId="3C86069C" w:rsidR="007A6EB6" w:rsidRPr="0090215E" w:rsidRDefault="007A6EB6" w:rsidP="007A6EB6">
      <w:pPr>
        <w:spacing w:before="240"/>
        <w:ind w:left="720"/>
        <w:rPr>
          <w:color w:val="FF0000"/>
          <w:lang w:eastAsia="en-US"/>
        </w:rPr>
      </w:pPr>
      <w:r>
        <w:rPr>
          <w:rFonts w:ascii="ArialMT" w:hAnsi="ArialMT" w:cs="ArialMT"/>
          <w:color w:val="FF0000"/>
          <w:szCs w:val="20"/>
          <w:lang w:eastAsia="en-US"/>
        </w:rPr>
        <w:t>Most W</w:t>
      </w:r>
      <w:r w:rsidRPr="0090215E">
        <w:rPr>
          <w:rFonts w:ascii="ArialMT" w:hAnsi="ArialMT" w:cs="ArialMT"/>
          <w:color w:val="FF0000"/>
          <w:szCs w:val="20"/>
          <w:lang w:eastAsia="en-US"/>
        </w:rPr>
        <w:t xml:space="preserve">orkgroup participants deemed this </w:t>
      </w:r>
      <w:r>
        <w:rPr>
          <w:rFonts w:ascii="ArialMT" w:hAnsi="ArialMT" w:cs="ArialMT"/>
          <w:color w:val="FF0000"/>
          <w:szCs w:val="20"/>
          <w:lang w:eastAsia="en-US"/>
        </w:rPr>
        <w:t>unnecessary and instead agreed with National Grid that the light-touch consultation process described in Modification 0621, which would take place outside of Code was sufficient, given the likely materiality of any change and was therefore a pragmatic solution.</w:t>
      </w:r>
    </w:p>
    <w:p w14:paraId="35D395DA" w14:textId="294E6EA4" w:rsidR="007A6EB6" w:rsidRPr="0090215E" w:rsidRDefault="007A6EB6" w:rsidP="007A6EB6">
      <w:pPr>
        <w:spacing w:before="240"/>
        <w:ind w:left="720"/>
        <w:rPr>
          <w:rFonts w:ascii="ArialMT" w:hAnsi="ArialMT" w:cs="ArialMT"/>
          <w:color w:val="FF0000"/>
          <w:szCs w:val="20"/>
          <w:lang w:eastAsia="en-US"/>
        </w:rPr>
      </w:pPr>
      <w:r>
        <w:rPr>
          <w:rFonts w:ascii="ArialMT" w:hAnsi="ArialMT" w:cs="ArialMT"/>
          <w:color w:val="FF0000"/>
          <w:szCs w:val="20"/>
          <w:lang w:eastAsia="en-US"/>
        </w:rPr>
        <w:t>A small number of</w:t>
      </w:r>
      <w:r w:rsidRPr="0090215E">
        <w:rPr>
          <w:rFonts w:ascii="ArialMT" w:hAnsi="ArialMT" w:cs="ArialMT"/>
          <w:color w:val="FF0000"/>
          <w:szCs w:val="20"/>
          <w:lang w:eastAsia="en-US"/>
        </w:rPr>
        <w:t xml:space="preserve"> Workgroup participants </w:t>
      </w:r>
      <w:r>
        <w:rPr>
          <w:rFonts w:ascii="ArialMT" w:hAnsi="ArialMT" w:cs="ArialMT"/>
          <w:color w:val="FF0000"/>
          <w:szCs w:val="20"/>
          <w:lang w:eastAsia="en-US"/>
        </w:rPr>
        <w:t>agreed</w:t>
      </w:r>
      <w:r w:rsidRPr="0090215E">
        <w:rPr>
          <w:rFonts w:ascii="ArialMT" w:hAnsi="ArialMT" w:cs="ArialMT"/>
          <w:color w:val="FF0000"/>
          <w:szCs w:val="20"/>
          <w:lang w:eastAsia="en-US"/>
        </w:rPr>
        <w:t xml:space="preserve"> </w:t>
      </w:r>
      <w:r>
        <w:rPr>
          <w:rFonts w:ascii="ArialMT" w:hAnsi="ArialMT" w:cs="ArialMT"/>
          <w:color w:val="FF0000"/>
          <w:szCs w:val="20"/>
          <w:lang w:eastAsia="en-US"/>
        </w:rPr>
        <w:t>that National Grid’s proposed light touch consultation</w:t>
      </w:r>
      <w:r w:rsidRPr="0090215E">
        <w:rPr>
          <w:rFonts w:ascii="ArialMT" w:hAnsi="ArialMT" w:cs="ArialMT"/>
          <w:color w:val="FF0000"/>
          <w:szCs w:val="20"/>
          <w:lang w:eastAsia="en-US"/>
        </w:rPr>
        <w:t xml:space="preserve"> process made it too easy for National Grid to change the values</w:t>
      </w:r>
      <w:r>
        <w:rPr>
          <w:rFonts w:ascii="ArialMT" w:hAnsi="ArialMT" w:cs="ArialMT"/>
          <w:color w:val="FF0000"/>
          <w:szCs w:val="20"/>
          <w:lang w:eastAsia="en-US"/>
        </w:rPr>
        <w:t xml:space="preserve"> and believed the transparency offered by the process as described by National Grid in its Modification was insufficient</w:t>
      </w:r>
      <w:r w:rsidRPr="0090215E">
        <w:rPr>
          <w:rFonts w:ascii="ArialMT" w:hAnsi="ArialMT" w:cs="ArialMT"/>
          <w:color w:val="FF0000"/>
          <w:szCs w:val="20"/>
          <w:lang w:eastAsia="en-US"/>
        </w:rPr>
        <w:t xml:space="preserve">. </w:t>
      </w:r>
      <w:r>
        <w:rPr>
          <w:rFonts w:ascii="ArialMT" w:hAnsi="ArialMT" w:cs="ArialMT"/>
          <w:color w:val="FF0000"/>
          <w:szCs w:val="20"/>
          <w:lang w:eastAsia="en-US"/>
        </w:rPr>
        <w:t xml:space="preserve">They agreed with SSE  that such values should </w:t>
      </w:r>
      <w:r w:rsidRPr="0090215E">
        <w:rPr>
          <w:rFonts w:ascii="ArialMT" w:hAnsi="ArialMT" w:cs="ArialMT"/>
          <w:color w:val="FF0000"/>
          <w:szCs w:val="20"/>
          <w:lang w:eastAsia="en-US"/>
        </w:rPr>
        <w:t xml:space="preserve">be published in Code </w:t>
      </w:r>
      <w:r>
        <w:rPr>
          <w:rFonts w:ascii="ArialMT" w:hAnsi="ArialMT" w:cs="ArialMT"/>
          <w:color w:val="FF0000"/>
          <w:szCs w:val="20"/>
          <w:lang w:eastAsia="en-US"/>
        </w:rPr>
        <w:t>which would t</w:t>
      </w:r>
      <w:r w:rsidRPr="0090215E">
        <w:rPr>
          <w:rFonts w:ascii="ArialMT" w:hAnsi="ArialMT" w:cs="ArialMT"/>
          <w:color w:val="FF0000"/>
          <w:szCs w:val="20"/>
          <w:lang w:eastAsia="en-US"/>
        </w:rPr>
        <w:t>herefore require a UNC Modification to change the value</w:t>
      </w:r>
      <w:r>
        <w:rPr>
          <w:rFonts w:ascii="ArialMT" w:hAnsi="ArialMT" w:cs="ArialMT"/>
          <w:color w:val="FF0000"/>
          <w:szCs w:val="20"/>
          <w:lang w:eastAsia="en-US"/>
        </w:rPr>
        <w:t>s. Their reasoning was that</w:t>
      </w:r>
      <w:r w:rsidRPr="0090215E">
        <w:rPr>
          <w:rFonts w:ascii="ArialMT" w:hAnsi="ArialMT" w:cs="ArialMT"/>
          <w:color w:val="FF0000"/>
          <w:szCs w:val="20"/>
          <w:lang w:eastAsia="en-US"/>
        </w:rPr>
        <w:t xml:space="preserve"> the UNC Modification process is a known and accepted route </w:t>
      </w:r>
      <w:r>
        <w:rPr>
          <w:rFonts w:ascii="ArialMT" w:hAnsi="ArialMT" w:cs="ArialMT"/>
          <w:color w:val="FF0000"/>
          <w:szCs w:val="20"/>
          <w:lang w:eastAsia="en-US"/>
        </w:rPr>
        <w:t xml:space="preserve">likely </w:t>
      </w:r>
      <w:r w:rsidRPr="0090215E">
        <w:rPr>
          <w:rFonts w:ascii="ArialMT" w:hAnsi="ArialMT" w:cs="ArialMT"/>
          <w:color w:val="FF0000"/>
          <w:szCs w:val="20"/>
          <w:lang w:eastAsia="en-US"/>
        </w:rPr>
        <w:t xml:space="preserve">to </w:t>
      </w:r>
      <w:r>
        <w:rPr>
          <w:rFonts w:ascii="ArialMT" w:hAnsi="ArialMT" w:cs="ArialMT"/>
          <w:color w:val="FF0000"/>
          <w:szCs w:val="20"/>
          <w:lang w:eastAsia="en-US"/>
        </w:rPr>
        <w:t>result in the enabling of</w:t>
      </w:r>
      <w:r w:rsidRPr="0090215E">
        <w:rPr>
          <w:rFonts w:ascii="ArialMT" w:hAnsi="ArialMT" w:cs="ArialMT"/>
          <w:color w:val="FF0000"/>
          <w:szCs w:val="20"/>
          <w:lang w:eastAsia="en-US"/>
        </w:rPr>
        <w:t xml:space="preserve"> a thought-through and transparent change.</w:t>
      </w:r>
      <w:r>
        <w:rPr>
          <w:rFonts w:ascii="ArialMT" w:hAnsi="ArialMT" w:cs="ArialMT"/>
          <w:color w:val="FF0000"/>
          <w:szCs w:val="20"/>
          <w:lang w:eastAsia="en-US"/>
        </w:rPr>
        <w:t xml:space="preserve"> &gt;</w:t>
      </w:r>
    </w:p>
    <w:p w14:paraId="7FB3D5F4" w14:textId="77777777" w:rsidR="007A6EB6" w:rsidRDefault="007A6EB6" w:rsidP="0090215E">
      <w:pPr>
        <w:spacing w:before="240"/>
        <w:rPr>
          <w:rFonts w:cs="Arial"/>
          <w:color w:val="000000" w:themeColor="text1"/>
          <w:szCs w:val="20"/>
        </w:rPr>
      </w:pPr>
    </w:p>
    <w:p w14:paraId="1E6D7131" w14:textId="77777777" w:rsidR="007A6EB6" w:rsidRPr="0090215E" w:rsidRDefault="007A6EB6" w:rsidP="0090215E">
      <w:pPr>
        <w:spacing w:before="240"/>
        <w:rPr>
          <w:rFonts w:cs="Arial"/>
          <w:color w:val="000000" w:themeColor="text1"/>
          <w:szCs w:val="20"/>
        </w:rPr>
      </w:pPr>
    </w:p>
    <w:p w14:paraId="73715D4E" w14:textId="77777777" w:rsidR="0090215E" w:rsidRPr="0090215E" w:rsidRDefault="0090215E" w:rsidP="0090215E">
      <w:pPr>
        <w:spacing w:before="240"/>
        <w:rPr>
          <w:rFonts w:cs="Arial"/>
          <w:color w:val="000000" w:themeColor="text1"/>
          <w:szCs w:val="20"/>
        </w:rPr>
      </w:pPr>
      <w:r w:rsidRPr="0090215E">
        <w:rPr>
          <w:rFonts w:cs="Arial"/>
          <w:color w:val="000000" w:themeColor="text1"/>
          <w:szCs w:val="20"/>
        </w:rPr>
        <w:t xml:space="preserve"> </w:t>
      </w:r>
    </w:p>
    <w:p w14:paraId="5F156861" w14:textId="77777777" w:rsidR="0090215E" w:rsidRPr="0090215E" w:rsidRDefault="0090215E" w:rsidP="0090215E">
      <w:pPr>
        <w:spacing w:before="240"/>
        <w:rPr>
          <w:rFonts w:cs="Arial"/>
          <w:color w:val="000000" w:themeColor="text1"/>
          <w:szCs w:val="20"/>
        </w:rPr>
      </w:pPr>
      <w:r w:rsidRPr="0090215E">
        <w:rPr>
          <w:rFonts w:cs="Arial"/>
          <w:color w:val="000000" w:themeColor="text1"/>
          <w:szCs w:val="20"/>
        </w:rPr>
        <w:t xml:space="preserve">   </w:t>
      </w:r>
    </w:p>
    <w:p w14:paraId="6D707BE1" w14:textId="53523292" w:rsidR="0090215E" w:rsidRDefault="0090215E" w:rsidP="0090215E">
      <w:pPr>
        <w:spacing w:before="240"/>
        <w:rPr>
          <w:rFonts w:cs="Arial"/>
          <w:color w:val="000000" w:themeColor="text1"/>
          <w:szCs w:val="20"/>
        </w:rPr>
      </w:pPr>
      <w:r w:rsidRPr="0090215E">
        <w:rPr>
          <w:rFonts w:cs="Arial"/>
          <w:color w:val="000000" w:themeColor="text1"/>
          <w:szCs w:val="20"/>
        </w:rPr>
        <w:t>Peak Capacity discounts and Specific Capacity Discount for LNG</w:t>
      </w:r>
    </w:p>
    <w:p w14:paraId="27AC3797" w14:textId="77777777" w:rsidR="0090215E" w:rsidRDefault="0090215E" w:rsidP="005B60A0">
      <w:pPr>
        <w:spacing w:before="240"/>
        <w:rPr>
          <w:rFonts w:cs="Arial"/>
          <w:color w:val="000000" w:themeColor="text1"/>
          <w:szCs w:val="20"/>
        </w:rPr>
      </w:pPr>
    </w:p>
    <w:p w14:paraId="0C723C70" w14:textId="77777777" w:rsidR="0090215E" w:rsidRPr="006B0B76" w:rsidRDefault="0090215E" w:rsidP="005B60A0">
      <w:pPr>
        <w:spacing w:before="240"/>
        <w:rPr>
          <w:rFonts w:cs="Arial"/>
          <w:color w:val="000000" w:themeColor="text1"/>
          <w:szCs w:val="20"/>
        </w:rPr>
      </w:pPr>
    </w:p>
    <w:p w14:paraId="47D48CA9" w14:textId="77777777" w:rsidR="005B60A0" w:rsidRDefault="005B60A0" w:rsidP="005B60A0">
      <w:pPr>
        <w:tabs>
          <w:tab w:val="right" w:pos="-2268"/>
        </w:tabs>
        <w:spacing w:before="240"/>
        <w:rPr>
          <w:rFonts w:cs="Arial"/>
          <w:b/>
          <w:bCs/>
          <w:color w:val="000000" w:themeColor="text1"/>
          <w:szCs w:val="22"/>
        </w:rPr>
      </w:pPr>
      <w:r w:rsidRPr="007D2DB4">
        <w:rPr>
          <w:rFonts w:cs="Arial"/>
          <w:b/>
          <w:bCs/>
          <w:color w:val="000000" w:themeColor="text1"/>
          <w:szCs w:val="22"/>
        </w:rPr>
        <w:t xml:space="preserve">Justification for use of transition period (moving from Commodity to Capacity). </w:t>
      </w:r>
    </w:p>
    <w:p w14:paraId="6B707FEF" w14:textId="77777777" w:rsidR="004E4905" w:rsidRPr="007D2DB4" w:rsidRDefault="004E4905" w:rsidP="005B60A0">
      <w:pPr>
        <w:tabs>
          <w:tab w:val="right" w:pos="-2268"/>
        </w:tabs>
        <w:spacing w:before="240"/>
        <w:rPr>
          <w:rFonts w:cs="Arial"/>
          <w:b/>
          <w:bCs/>
          <w:color w:val="000000" w:themeColor="text1"/>
          <w:szCs w:val="22"/>
        </w:rPr>
      </w:pPr>
    </w:p>
    <w:p w14:paraId="402507BC" w14:textId="221054CA" w:rsidR="005B60A0" w:rsidRDefault="005B60A0" w:rsidP="005B60A0">
      <w:pPr>
        <w:tabs>
          <w:tab w:val="right" w:pos="-2268"/>
        </w:tabs>
        <w:spacing w:before="240"/>
        <w:rPr>
          <w:rFonts w:cs="Arial"/>
          <w:b/>
          <w:bCs/>
          <w:color w:val="000000" w:themeColor="text1"/>
          <w:szCs w:val="22"/>
        </w:rPr>
      </w:pPr>
      <w:r w:rsidRPr="007D2DB4">
        <w:rPr>
          <w:rFonts w:cs="Arial"/>
          <w:b/>
          <w:bCs/>
          <w:color w:val="000000" w:themeColor="text1"/>
          <w:szCs w:val="22"/>
        </w:rPr>
        <w:t xml:space="preserve">Impact on security of supply and the National Balancing Point (NBP) price and any </w:t>
      </w:r>
      <w:r w:rsidR="004E4905">
        <w:rPr>
          <w:rFonts w:cs="Arial"/>
          <w:b/>
          <w:bCs/>
          <w:color w:val="000000" w:themeColor="text1"/>
          <w:szCs w:val="22"/>
        </w:rPr>
        <w:t xml:space="preserve">potential unintended </w:t>
      </w:r>
      <w:r w:rsidR="001A1658">
        <w:rPr>
          <w:rFonts w:cs="Arial"/>
          <w:b/>
          <w:bCs/>
          <w:color w:val="000000" w:themeColor="text1"/>
          <w:szCs w:val="22"/>
        </w:rPr>
        <w:t>consequences</w:t>
      </w:r>
      <w:r w:rsidRPr="007D2DB4">
        <w:rPr>
          <w:rFonts w:cs="Arial"/>
          <w:b/>
          <w:bCs/>
          <w:color w:val="000000" w:themeColor="text1"/>
          <w:szCs w:val="22"/>
        </w:rPr>
        <w:t>.</w:t>
      </w:r>
    </w:p>
    <w:p w14:paraId="765E0FAB" w14:textId="5FED3632" w:rsidR="00082269" w:rsidRPr="0048557C" w:rsidRDefault="0063516A" w:rsidP="005B60A0">
      <w:pPr>
        <w:tabs>
          <w:tab w:val="right" w:pos="-2268"/>
        </w:tabs>
        <w:spacing w:before="240"/>
        <w:rPr>
          <w:rFonts w:cs="Arial"/>
          <w:bCs/>
          <w:color w:val="FF0000"/>
          <w:szCs w:val="22"/>
        </w:rPr>
      </w:pPr>
      <w:commentRangeStart w:id="20"/>
      <w:r w:rsidRPr="0048557C">
        <w:rPr>
          <w:rFonts w:cs="Arial"/>
          <w:bCs/>
          <w:color w:val="FF0000"/>
          <w:szCs w:val="22"/>
        </w:rPr>
        <w:t xml:space="preserve">Several Workgroup participants requested analysis relating to </w:t>
      </w:r>
      <w:r w:rsidR="00082269" w:rsidRPr="0048557C">
        <w:rPr>
          <w:rFonts w:cs="Arial"/>
          <w:bCs/>
          <w:color w:val="FF0000"/>
          <w:szCs w:val="22"/>
        </w:rPr>
        <w:t>the impact of Modification</w:t>
      </w:r>
      <w:r w:rsidR="00F64CD9" w:rsidRPr="0048557C">
        <w:rPr>
          <w:rFonts w:cs="Arial"/>
          <w:bCs/>
          <w:color w:val="FF0000"/>
          <w:szCs w:val="22"/>
        </w:rPr>
        <w:t>s</w:t>
      </w:r>
      <w:r w:rsidR="00082269" w:rsidRPr="0048557C">
        <w:rPr>
          <w:rFonts w:cs="Arial"/>
          <w:bCs/>
          <w:color w:val="FF0000"/>
          <w:szCs w:val="22"/>
        </w:rPr>
        <w:t xml:space="preserve"> 0621/A/B/C/D/E/F/G/H/J on security of supply. Several Workgroup participants felt that aspects of the changes proposed by National Grid in its Modification 0621 were likely to have effects or consequences which could contribute to an improvement in the security of supply such as </w:t>
      </w:r>
    </w:p>
    <w:p w14:paraId="2B16FD8F" w14:textId="772602F1" w:rsidR="00082269" w:rsidRPr="0048557C" w:rsidRDefault="00082269" w:rsidP="005B60A0">
      <w:pPr>
        <w:tabs>
          <w:tab w:val="right" w:pos="-2268"/>
        </w:tabs>
        <w:spacing w:before="240"/>
        <w:rPr>
          <w:rFonts w:cs="Arial"/>
          <w:bCs/>
          <w:color w:val="FF0000"/>
          <w:szCs w:val="22"/>
        </w:rPr>
      </w:pPr>
      <w:r w:rsidRPr="0048557C">
        <w:rPr>
          <w:rFonts w:cs="Arial"/>
          <w:bCs/>
          <w:color w:val="FF0000"/>
          <w:szCs w:val="22"/>
        </w:rPr>
        <w:t>Xxx</w:t>
      </w:r>
    </w:p>
    <w:p w14:paraId="1E28C73F" w14:textId="00BD0E4F" w:rsidR="00082269" w:rsidRPr="0048557C" w:rsidRDefault="00082269" w:rsidP="005B60A0">
      <w:pPr>
        <w:tabs>
          <w:tab w:val="right" w:pos="-2268"/>
        </w:tabs>
        <w:spacing w:before="240"/>
        <w:rPr>
          <w:rFonts w:cs="Arial"/>
          <w:bCs/>
          <w:color w:val="FF0000"/>
          <w:szCs w:val="22"/>
        </w:rPr>
      </w:pPr>
      <w:r w:rsidRPr="0048557C">
        <w:rPr>
          <w:rFonts w:cs="Arial"/>
          <w:bCs/>
          <w:color w:val="FF0000"/>
          <w:szCs w:val="22"/>
        </w:rPr>
        <w:t xml:space="preserve">Others proposed consequences of the proposed changes which were likely to have a detrimental effect on security of supply were suggested, such as increasing charges for onshore storage facilities which may lead to economic decisions to close such facilities.  Other consequences were proposed with regard to charges at entry points, in particular St Fergus, where potential charge increases may lead to </w:t>
      </w:r>
      <w:r w:rsidRPr="0048557C">
        <w:rPr>
          <w:rFonts w:cs="Arial"/>
          <w:bCs/>
          <w:color w:val="FF0000"/>
          <w:szCs w:val="22"/>
        </w:rPr>
        <w:lastRenderedPageBreak/>
        <w:t xml:space="preserve">economic decisions which could affect the viability of the facilities at the entry point, with concomitant effects on those North Sea fields supplying gas to the GB market through such facilities. </w:t>
      </w:r>
    </w:p>
    <w:p w14:paraId="376C85FF" w14:textId="1D708578" w:rsidR="00082269" w:rsidRPr="0048557C" w:rsidRDefault="00082269" w:rsidP="005B60A0">
      <w:pPr>
        <w:tabs>
          <w:tab w:val="right" w:pos="-2268"/>
        </w:tabs>
        <w:spacing w:before="240"/>
        <w:rPr>
          <w:rFonts w:cs="Arial"/>
          <w:bCs/>
          <w:color w:val="FF0000"/>
          <w:szCs w:val="22"/>
        </w:rPr>
      </w:pPr>
      <w:r w:rsidRPr="0048557C">
        <w:rPr>
          <w:rFonts w:cs="Arial"/>
          <w:bCs/>
          <w:color w:val="FF0000"/>
          <w:szCs w:val="22"/>
        </w:rPr>
        <w:t>Changes to charges at Interconnection Points could also clearly affect the NBP with more liquidity provided where flow to the GB market was favourable compared with other destinations and vice versa.</w:t>
      </w:r>
    </w:p>
    <w:p w14:paraId="55E8D41C" w14:textId="6E05FF74" w:rsidR="004E4905" w:rsidRPr="0048557C" w:rsidRDefault="00082269" w:rsidP="005B60A0">
      <w:pPr>
        <w:tabs>
          <w:tab w:val="right" w:pos="-2268"/>
        </w:tabs>
        <w:spacing w:before="240"/>
        <w:rPr>
          <w:rFonts w:cs="Arial"/>
          <w:bCs/>
          <w:color w:val="FF0000"/>
          <w:szCs w:val="22"/>
        </w:rPr>
      </w:pPr>
      <w:r w:rsidRPr="0048557C">
        <w:rPr>
          <w:rFonts w:cs="Arial"/>
          <w:bCs/>
          <w:color w:val="FF0000"/>
          <w:szCs w:val="22"/>
        </w:rPr>
        <w:t>The Workgroup as whole recognised that any quantified analysis of this nature would not be provided by National Grid and therefore requested that the Regulator to assess this factor in its Regulatory Impact Assessment.</w:t>
      </w:r>
      <w:commentRangeEnd w:id="20"/>
      <w:r w:rsidR="00F64CD9" w:rsidRPr="0048557C">
        <w:rPr>
          <w:rStyle w:val="CommentReference"/>
          <w:color w:val="FF0000"/>
        </w:rPr>
        <w:commentReference w:id="20"/>
      </w:r>
    </w:p>
    <w:p w14:paraId="08762173" w14:textId="77777777" w:rsidR="00082269" w:rsidRDefault="00082269" w:rsidP="005B60A0">
      <w:pPr>
        <w:tabs>
          <w:tab w:val="right" w:pos="-2268"/>
        </w:tabs>
        <w:spacing w:before="240"/>
        <w:rPr>
          <w:rFonts w:cs="Arial"/>
          <w:bCs/>
          <w:color w:val="000000" w:themeColor="text1"/>
          <w:szCs w:val="22"/>
        </w:rPr>
      </w:pPr>
    </w:p>
    <w:p w14:paraId="36EDDDB8" w14:textId="77777777" w:rsidR="00082269" w:rsidRPr="0063516A" w:rsidRDefault="00082269" w:rsidP="005B60A0">
      <w:pPr>
        <w:tabs>
          <w:tab w:val="right" w:pos="-2268"/>
        </w:tabs>
        <w:spacing w:before="240"/>
        <w:rPr>
          <w:rFonts w:cs="Arial"/>
          <w:bCs/>
          <w:color w:val="000000" w:themeColor="text1"/>
          <w:szCs w:val="22"/>
        </w:rPr>
      </w:pPr>
    </w:p>
    <w:p w14:paraId="601E104F" w14:textId="77777777" w:rsidR="004E4905" w:rsidRPr="007D2DB4" w:rsidRDefault="004E4905" w:rsidP="005B60A0">
      <w:pPr>
        <w:tabs>
          <w:tab w:val="right" w:pos="-2268"/>
        </w:tabs>
        <w:spacing w:before="240"/>
        <w:rPr>
          <w:rFonts w:cs="Arial"/>
          <w:b/>
          <w:bCs/>
          <w:color w:val="000000" w:themeColor="text1"/>
          <w:szCs w:val="22"/>
        </w:rPr>
      </w:pPr>
    </w:p>
    <w:p w14:paraId="67A6970E" w14:textId="77777777" w:rsidR="005B60A0" w:rsidRPr="007D2DB4" w:rsidRDefault="005B60A0" w:rsidP="005B60A0">
      <w:pPr>
        <w:tabs>
          <w:tab w:val="right" w:pos="-2268"/>
        </w:tabs>
        <w:spacing w:before="240"/>
        <w:rPr>
          <w:rFonts w:cs="Arial"/>
          <w:b/>
          <w:bCs/>
          <w:color w:val="000000" w:themeColor="text1"/>
          <w:szCs w:val="22"/>
        </w:rPr>
      </w:pPr>
      <w:r w:rsidRPr="007D2DB4">
        <w:rPr>
          <w:rFonts w:cs="Arial"/>
          <w:b/>
          <w:bCs/>
          <w:color w:val="000000" w:themeColor="text1"/>
          <w:szCs w:val="22"/>
        </w:rPr>
        <w:t>ACER Consultation</w:t>
      </w:r>
    </w:p>
    <w:p w14:paraId="7CFDD32B" w14:textId="0147A736" w:rsidR="005B60A0" w:rsidRDefault="005B60A0" w:rsidP="005B60A0">
      <w:pPr>
        <w:tabs>
          <w:tab w:val="right" w:pos="-2268"/>
        </w:tabs>
        <w:spacing w:before="240"/>
        <w:rPr>
          <w:rFonts w:cs="Arial"/>
          <w:bCs/>
          <w:i/>
          <w:color w:val="FF0000"/>
          <w:szCs w:val="22"/>
        </w:rPr>
      </w:pPr>
      <w:r w:rsidRPr="00461585">
        <w:rPr>
          <w:rFonts w:cs="Arial"/>
          <w:bCs/>
          <w:i/>
          <w:color w:val="000000" w:themeColor="text1"/>
          <w:szCs w:val="22"/>
        </w:rPr>
        <w:t>[</w:t>
      </w:r>
      <w:r w:rsidRPr="00461585">
        <w:rPr>
          <w:rFonts w:cs="Arial"/>
          <w:bCs/>
          <w:i/>
          <w:color w:val="FF0000"/>
          <w:szCs w:val="22"/>
        </w:rPr>
        <w:t xml:space="preserve">Note of how </w:t>
      </w:r>
      <w:r w:rsidR="005F62D5" w:rsidRPr="00461585">
        <w:rPr>
          <w:rFonts w:cs="Arial"/>
          <w:bCs/>
          <w:i/>
          <w:color w:val="FF0000"/>
          <w:szCs w:val="22"/>
        </w:rPr>
        <w:t>National Grid and Ofgem will satisfy</w:t>
      </w:r>
      <w:r w:rsidRPr="00461585">
        <w:rPr>
          <w:rFonts w:cs="Arial"/>
          <w:bCs/>
          <w:i/>
          <w:color w:val="FF0000"/>
          <w:szCs w:val="22"/>
        </w:rPr>
        <w:t xml:space="preserve"> requirements for </w:t>
      </w:r>
      <w:r w:rsidR="005F62D5" w:rsidRPr="00461585">
        <w:rPr>
          <w:rFonts w:cs="Arial"/>
          <w:bCs/>
          <w:i/>
          <w:color w:val="FF0000"/>
          <w:szCs w:val="22"/>
        </w:rPr>
        <w:t>EU/</w:t>
      </w:r>
      <w:r w:rsidRPr="00461585">
        <w:rPr>
          <w:rFonts w:cs="Arial"/>
          <w:bCs/>
          <w:i/>
          <w:color w:val="FF0000"/>
          <w:szCs w:val="22"/>
        </w:rPr>
        <w:t>ACER consultation – to be supplied by National Grid</w:t>
      </w:r>
      <w:r w:rsidR="00097974" w:rsidRPr="00461585">
        <w:rPr>
          <w:rFonts w:cs="Arial"/>
          <w:bCs/>
          <w:i/>
          <w:color w:val="FF0000"/>
          <w:szCs w:val="22"/>
        </w:rPr>
        <w:t xml:space="preserve">, </w:t>
      </w:r>
      <w:r w:rsidR="005631F9" w:rsidRPr="00461585">
        <w:rPr>
          <w:rFonts w:cs="Arial"/>
          <w:bCs/>
          <w:i/>
          <w:color w:val="FF0000"/>
          <w:szCs w:val="22"/>
        </w:rPr>
        <w:t>update to be supplied on 06 February 2018</w:t>
      </w:r>
      <w:r w:rsidR="00097974" w:rsidRPr="00461585">
        <w:rPr>
          <w:rFonts w:cs="Arial"/>
          <w:bCs/>
          <w:i/>
          <w:color w:val="FF0000"/>
          <w:szCs w:val="22"/>
        </w:rPr>
        <w:t xml:space="preserve"> – CW/Ofgem/RH</w:t>
      </w:r>
      <w:r w:rsidRPr="00461585">
        <w:rPr>
          <w:rFonts w:cs="Arial"/>
          <w:bCs/>
          <w:i/>
          <w:color w:val="FF0000"/>
          <w:szCs w:val="22"/>
        </w:rPr>
        <w:t>]</w:t>
      </w:r>
    </w:p>
    <w:p w14:paraId="254AC5B7" w14:textId="7F641EE5" w:rsidR="00E31166" w:rsidRDefault="00E31166" w:rsidP="005B60A0">
      <w:pPr>
        <w:tabs>
          <w:tab w:val="right" w:pos="-2268"/>
        </w:tabs>
        <w:spacing w:before="240"/>
        <w:rPr>
          <w:rFonts w:cs="Arial"/>
          <w:bCs/>
          <w:i/>
          <w:color w:val="000000" w:themeColor="text1"/>
          <w:szCs w:val="22"/>
        </w:rPr>
      </w:pPr>
      <w:r>
        <w:rPr>
          <w:rFonts w:cs="Arial"/>
          <w:bCs/>
          <w:i/>
          <w:color w:val="FF0000"/>
          <w:szCs w:val="22"/>
        </w:rPr>
        <w:t>Timelines information</w:t>
      </w:r>
      <w:r w:rsidR="00327906">
        <w:rPr>
          <w:rFonts w:cs="Arial"/>
          <w:bCs/>
          <w:i/>
          <w:color w:val="FF0000"/>
          <w:szCs w:val="22"/>
        </w:rPr>
        <w:t xml:space="preserve"> -  see JO slides 06 February 2018.</w:t>
      </w:r>
    </w:p>
    <w:p w14:paraId="0872175C" w14:textId="77777777" w:rsidR="00D25192" w:rsidRPr="007D2DB4" w:rsidRDefault="00D25192" w:rsidP="005B60A0">
      <w:pPr>
        <w:tabs>
          <w:tab w:val="right" w:pos="-2268"/>
        </w:tabs>
        <w:spacing w:before="240"/>
        <w:rPr>
          <w:rFonts w:cs="Arial"/>
          <w:bCs/>
          <w:i/>
          <w:color w:val="000000" w:themeColor="text1"/>
          <w:szCs w:val="22"/>
        </w:rPr>
      </w:pPr>
    </w:p>
    <w:p w14:paraId="309B05B8" w14:textId="77777777" w:rsidR="005B60A0" w:rsidRPr="007F33D7" w:rsidRDefault="005B60A0" w:rsidP="005B60A0">
      <w:pPr>
        <w:spacing w:before="0" w:after="0" w:line="240" w:lineRule="auto"/>
        <w:rPr>
          <w:rFonts w:ascii="Times New Roman" w:hAnsi="Times New Roman"/>
        </w:rPr>
      </w:pPr>
      <w:r>
        <w:rPr>
          <w:rFonts w:ascii="Helvetica Neue" w:hAnsi="Helvetica Neue"/>
          <w:color w:val="333333"/>
          <w:shd w:val="clear" w:color="auto" w:fill="FFFFFF"/>
        </w:rPr>
        <w:t>Note ACER Consultation Template. Tariff NC Article 26(5):</w:t>
      </w:r>
      <w:r>
        <w:rPr>
          <w:rStyle w:val="apple-converted-space"/>
          <w:rFonts w:ascii="Helvetica Neue" w:hAnsi="Helvetica Neue"/>
          <w:color w:val="333333"/>
          <w:shd w:val="clear" w:color="auto" w:fill="FFFFFF"/>
        </w:rPr>
        <w:t> </w:t>
      </w:r>
      <w:hyperlink r:id="rId44" w:history="1">
        <w:r>
          <w:rPr>
            <w:rStyle w:val="Hyperlink"/>
            <w:rFonts w:ascii="Helvetica Neue" w:hAnsi="Helvetica Neue"/>
            <w:color w:val="0066B3"/>
          </w:rPr>
          <w:t>https://www.acer.europa.eu/Official_documents/Public_consultations/Pages/ACER-Consultation-Template.-Tariff-NC-Article-26(5).aspx</w:t>
        </w:r>
      </w:hyperlink>
    </w:p>
    <w:p w14:paraId="4637294D" w14:textId="77777777" w:rsidR="005B60A0" w:rsidRPr="007D2DB4" w:rsidRDefault="005B60A0" w:rsidP="005B60A0">
      <w:pPr>
        <w:tabs>
          <w:tab w:val="right" w:pos="-2268"/>
        </w:tabs>
        <w:spacing w:before="240"/>
        <w:rPr>
          <w:rFonts w:cs="Arial"/>
          <w:bCs/>
          <w:i/>
          <w:color w:val="000000" w:themeColor="text1"/>
          <w:szCs w:val="22"/>
        </w:rPr>
      </w:pPr>
      <w:r w:rsidRPr="007D2DB4">
        <w:rPr>
          <w:rFonts w:cs="Arial"/>
          <w:bCs/>
          <w:i/>
          <w:color w:val="000000" w:themeColor="text1"/>
          <w:szCs w:val="22"/>
        </w:rPr>
        <w:t>[Note of where information for ACER consultation will be/are contained in this document].</w:t>
      </w:r>
    </w:p>
    <w:p w14:paraId="4D38576C" w14:textId="77777777" w:rsidR="005B60A0" w:rsidRDefault="005B60A0" w:rsidP="005B60A0">
      <w:pPr>
        <w:spacing w:before="240"/>
        <w:rPr>
          <w:rFonts w:cs="Arial"/>
          <w:bCs/>
          <w:i/>
          <w:iCs/>
          <w:color w:val="00B274"/>
          <w:szCs w:val="20"/>
        </w:rPr>
      </w:pPr>
      <w:r>
        <w:rPr>
          <w:rFonts w:cs="Arial"/>
          <w:b/>
          <w:iCs/>
          <w:color w:val="008576"/>
          <w:sz w:val="24"/>
          <w:szCs w:val="28"/>
        </w:rPr>
        <w:t>Rough Order of Magnitude (ROM) Assessment</w:t>
      </w:r>
      <w:r>
        <w:rPr>
          <w:rFonts w:cs="Arial"/>
          <w:i/>
          <w:iCs/>
          <w:color w:val="008576"/>
          <w:sz w:val="24"/>
          <w:szCs w:val="28"/>
        </w:rPr>
        <w:t xml:space="preserve"> </w:t>
      </w:r>
      <w:r w:rsidRPr="001A7AED">
        <w:rPr>
          <w:rFonts w:cs="Arial"/>
          <w:bCs/>
          <w:i/>
          <w:iCs/>
          <w:color w:val="00B274"/>
          <w:szCs w:val="20"/>
        </w:rPr>
        <w:t xml:space="preserve">(Cost estimate from </w:t>
      </w:r>
      <w:r>
        <w:rPr>
          <w:rFonts w:cs="Arial"/>
          <w:bCs/>
          <w:i/>
          <w:iCs/>
          <w:color w:val="00B274"/>
          <w:szCs w:val="20"/>
        </w:rPr>
        <w:t>CDSP</w:t>
      </w:r>
      <w:r w:rsidRPr="001A7AED">
        <w:rPr>
          <w:rFonts w:cs="Arial"/>
          <w:bCs/>
          <w:i/>
          <w:iCs/>
          <w:color w:val="00B274"/>
          <w:szCs w:val="20"/>
        </w:rPr>
        <w:t>)</w:t>
      </w:r>
      <w:r>
        <w:rPr>
          <w:rFonts w:cs="Arial"/>
          <w:bCs/>
          <w:i/>
          <w:iCs/>
          <w:color w:val="00B274"/>
          <w:szCs w:val="20"/>
        </w:rPr>
        <w:t xml:space="preserve"> </w:t>
      </w:r>
    </w:p>
    <w:p w14:paraId="057EAC05" w14:textId="77777777" w:rsidR="005B60A0" w:rsidRPr="00E043A1" w:rsidRDefault="005B60A0" w:rsidP="005B60A0">
      <w:pPr>
        <w:pStyle w:val="Heading4"/>
        <w:keepLines w:val="0"/>
        <w:numPr>
          <w:ilvl w:val="0"/>
          <w:numId w:val="0"/>
        </w:numPr>
        <w:spacing w:before="120"/>
        <w:rPr>
          <w:rFonts w:ascii="Arial" w:eastAsia="Times New Roman" w:hAnsi="Arial" w:cs="Arial"/>
          <w:b w:val="0"/>
          <w:bCs w:val="0"/>
          <w:iCs w:val="0"/>
          <w:color w:val="00B274"/>
          <w:szCs w:val="20"/>
        </w:rPr>
      </w:pPr>
      <w:r w:rsidRPr="00E043A1">
        <w:rPr>
          <w:rFonts w:ascii="Arial" w:eastAsia="Times New Roman" w:hAnsi="Arial" w:cs="Arial"/>
          <w:b w:val="0"/>
          <w:bCs w:val="0"/>
          <w:iCs w:val="0"/>
          <w:color w:val="00B274"/>
          <w:szCs w:val="20"/>
        </w:rPr>
        <w:t>Cost estimate from CDSP where the Modification relates to a change to a CDSP Service Document</w:t>
      </w:r>
    </w:p>
    <w:p w14:paraId="6799F0DD" w14:textId="77777777" w:rsidR="005B60A0" w:rsidRDefault="005B60A0" w:rsidP="005B60A0">
      <w:pPr>
        <w:rPr>
          <w:rFonts w:cs="Arial"/>
          <w:color w:val="000000" w:themeColor="text1"/>
        </w:rPr>
      </w:pPr>
      <w:r w:rsidRPr="007D2DB4">
        <w:rPr>
          <w:rFonts w:cs="Arial"/>
          <w:color w:val="000000" w:themeColor="text1"/>
        </w:rPr>
        <w:t>Related change proposal documents:</w:t>
      </w:r>
    </w:p>
    <w:p w14:paraId="34E6701A" w14:textId="076752BE" w:rsidR="005631F9" w:rsidRPr="005631F9" w:rsidRDefault="005631F9" w:rsidP="005B60A0">
      <w:pPr>
        <w:rPr>
          <w:rFonts w:cs="Arial"/>
          <w:color w:val="FF0000"/>
        </w:rPr>
      </w:pPr>
      <w:r w:rsidRPr="005631F9">
        <w:rPr>
          <w:rFonts w:cs="Arial"/>
          <w:color w:val="FF0000"/>
        </w:rPr>
        <w:t>ROM update 06 February 2018 if possible</w:t>
      </w:r>
    </w:p>
    <w:p w14:paraId="17BA3F34" w14:textId="77777777" w:rsidR="005B60A0" w:rsidRPr="007D2DB4" w:rsidRDefault="005B60A0" w:rsidP="005B60A0">
      <w:pPr>
        <w:rPr>
          <w:rFonts w:cs="Arial"/>
          <w:color w:val="000000" w:themeColor="text1"/>
        </w:rPr>
      </w:pPr>
    </w:p>
    <w:p w14:paraId="5F177D77" w14:textId="77777777" w:rsidR="005B60A0" w:rsidRPr="0013099E" w:rsidRDefault="005B60A0" w:rsidP="005B60A0">
      <w:pPr>
        <w:pStyle w:val="ListParagraph"/>
        <w:numPr>
          <w:ilvl w:val="0"/>
          <w:numId w:val="32"/>
        </w:numPr>
        <w:rPr>
          <w:rFonts w:cs="Arial"/>
          <w:color w:val="FF0000"/>
        </w:rPr>
      </w:pPr>
      <w:r w:rsidRPr="007D2DB4">
        <w:rPr>
          <w:rFonts w:cs="Arial"/>
          <w:color w:val="000000" w:themeColor="text1"/>
        </w:rPr>
        <w:t xml:space="preserve">CP4262 “EU Gas Change Roadmap - 2018/19 Feasibility and Analysis. This change proposal was approved as completed by DSC Change Management Committee on 13/12/17. see: </w:t>
      </w:r>
      <w:hyperlink r:id="rId45" w:history="1">
        <w:r w:rsidRPr="0013099E">
          <w:rPr>
            <w:rStyle w:val="Hyperlink"/>
            <w:rFonts w:cs="Arial"/>
          </w:rPr>
          <w:t>https://www.gasgovernance.co.uk/Change-Proposals</w:t>
        </w:r>
      </w:hyperlink>
    </w:p>
    <w:p w14:paraId="23351453" w14:textId="77777777" w:rsidR="005B60A0" w:rsidRDefault="005B60A0" w:rsidP="005B60A0">
      <w:pPr>
        <w:rPr>
          <w:rFonts w:cs="Arial"/>
          <w:color w:val="FF0000"/>
        </w:rPr>
      </w:pPr>
    </w:p>
    <w:p w14:paraId="465982AD" w14:textId="77777777" w:rsidR="005B60A0" w:rsidRPr="0083157C" w:rsidRDefault="005B60A0" w:rsidP="005B60A0">
      <w:pPr>
        <w:pStyle w:val="ListParagraph"/>
        <w:numPr>
          <w:ilvl w:val="0"/>
          <w:numId w:val="32"/>
        </w:numPr>
        <w:rPr>
          <w:rFonts w:cs="Arial"/>
          <w:color w:val="FF0000"/>
        </w:rPr>
      </w:pPr>
      <w:r w:rsidRPr="007D2DB4">
        <w:rPr>
          <w:rFonts w:cs="Arial"/>
          <w:color w:val="000000" w:themeColor="text1"/>
        </w:rPr>
        <w:t xml:space="preserve">XRN 4376 “GB Charging &amp; Incremental (IP PARCA) Capacity Allocation Change Delivery (2019)”. see: </w:t>
      </w:r>
      <w:hyperlink r:id="rId46" w:history="1">
        <w:r w:rsidRPr="0013099E">
          <w:rPr>
            <w:rStyle w:val="Hyperlink"/>
            <w:rFonts w:cs="Arial"/>
          </w:rPr>
          <w:t>https://www.gasgovernance.co.uk/Change-Proposals</w:t>
        </w:r>
      </w:hyperlink>
    </w:p>
    <w:p w14:paraId="72F70E78" w14:textId="77777777" w:rsidR="005B60A0" w:rsidRPr="00E043A1" w:rsidRDefault="005B60A0" w:rsidP="005B60A0">
      <w:pPr>
        <w:rPr>
          <w:rFonts w:cs="Arial"/>
          <w:b/>
          <w:i/>
          <w:color w:val="00B274"/>
          <w:szCs w:val="20"/>
        </w:rPr>
      </w:pPr>
      <w:r w:rsidRPr="00E043A1">
        <w:rPr>
          <w:rFonts w:cs="Arial"/>
          <w:b/>
          <w:i/>
          <w:color w:val="00B274"/>
          <w:szCs w:val="20"/>
        </w:rPr>
        <w:t>OR</w:t>
      </w:r>
    </w:p>
    <w:tbl>
      <w:tblPr>
        <w:tblW w:w="9634" w:type="dxa"/>
        <w:tblInd w:w="-140" w:type="dxa"/>
        <w:tblBorders>
          <w:top w:val="single" w:sz="8" w:space="0" w:color="CCE0DA"/>
          <w:left w:val="single" w:sz="12" w:space="0" w:color="CCE0DA"/>
          <w:bottom w:val="single" w:sz="12" w:space="0" w:color="CCE0DA"/>
          <w:right w:val="single" w:sz="12" w:space="0" w:color="CCE0DA"/>
          <w:insideH w:val="single" w:sz="8" w:space="0" w:color="CCE0DA"/>
          <w:insideV w:val="single" w:sz="8" w:space="0" w:color="CCE0DA"/>
        </w:tblBorders>
        <w:tblLayout w:type="fixed"/>
        <w:tblCellMar>
          <w:left w:w="0" w:type="dxa"/>
          <w:right w:w="0" w:type="dxa"/>
        </w:tblCellMar>
        <w:tblLook w:val="01E0" w:firstRow="1" w:lastRow="1" w:firstColumn="1" w:lastColumn="1" w:noHBand="0" w:noVBand="0"/>
      </w:tblPr>
      <w:tblGrid>
        <w:gridCol w:w="4887"/>
        <w:gridCol w:w="4747"/>
      </w:tblGrid>
      <w:tr w:rsidR="005B60A0" w:rsidRPr="008D54E0" w14:paraId="3D792417" w14:textId="77777777" w:rsidTr="00B50D38">
        <w:trPr>
          <w:cantSplit/>
          <w:trHeight w:hRule="exact" w:val="401"/>
        </w:trPr>
        <w:tc>
          <w:tcPr>
            <w:tcW w:w="9634" w:type="dxa"/>
            <w:gridSpan w:val="2"/>
            <w:tcBorders>
              <w:bottom w:val="single" w:sz="8" w:space="0" w:color="CCE0DA"/>
            </w:tcBorders>
            <w:shd w:val="clear" w:color="auto" w:fill="CCE0DA"/>
            <w:vAlign w:val="center"/>
          </w:tcPr>
          <w:p w14:paraId="0AF319D1" w14:textId="77777777" w:rsidR="005B60A0" w:rsidRPr="008D54E0" w:rsidRDefault="005B60A0" w:rsidP="00B50D38">
            <w:pPr>
              <w:spacing w:before="0" w:after="40"/>
              <w:ind w:left="14" w:right="57"/>
              <w:rPr>
                <w:rFonts w:cs="Arial"/>
                <w:i/>
                <w:color w:val="00B274"/>
                <w:szCs w:val="20"/>
              </w:rPr>
            </w:pPr>
            <w:r>
              <w:rPr>
                <w:rFonts w:cs="Arial"/>
                <w:b/>
                <w:iCs/>
                <w:color w:val="008576"/>
                <w:sz w:val="24"/>
                <w:szCs w:val="28"/>
              </w:rPr>
              <w:t xml:space="preserve"> Rough Order of Magnitude (ROM) Assessment</w:t>
            </w:r>
            <w:r>
              <w:rPr>
                <w:rFonts w:cs="Arial"/>
                <w:i/>
                <w:iCs/>
                <w:color w:val="008576"/>
                <w:sz w:val="24"/>
                <w:szCs w:val="28"/>
              </w:rPr>
              <w:t xml:space="preserve"> </w:t>
            </w:r>
            <w:r w:rsidRPr="00292BB3">
              <w:rPr>
                <w:rFonts w:ascii="Calibri" w:eastAsia="MS Gothic" w:hAnsi="Calibri" w:cs="Arial"/>
                <w:i/>
                <w:iCs/>
                <w:color w:val="008576"/>
                <w:szCs w:val="20"/>
              </w:rPr>
              <w:t xml:space="preserve">(Workgroup assessment of </w:t>
            </w:r>
            <w:r>
              <w:rPr>
                <w:rFonts w:ascii="Calibri" w:eastAsia="MS Gothic" w:hAnsi="Calibri" w:cs="Arial"/>
                <w:i/>
                <w:iCs/>
                <w:color w:val="008576"/>
                <w:szCs w:val="20"/>
              </w:rPr>
              <w:t>costs</w:t>
            </w:r>
            <w:r w:rsidRPr="00292BB3">
              <w:rPr>
                <w:rFonts w:ascii="Calibri" w:eastAsia="MS Gothic" w:hAnsi="Calibri" w:cs="Arial"/>
                <w:i/>
                <w:iCs/>
                <w:color w:val="008576"/>
                <w:szCs w:val="20"/>
              </w:rPr>
              <w:t>)</w:t>
            </w:r>
          </w:p>
          <w:p w14:paraId="2B322318" w14:textId="77777777" w:rsidR="005B60A0" w:rsidRPr="008D54E0" w:rsidRDefault="005B60A0" w:rsidP="00B50D38">
            <w:pPr>
              <w:pStyle w:val="Heading4"/>
              <w:keepLines w:val="0"/>
              <w:numPr>
                <w:ilvl w:val="0"/>
                <w:numId w:val="0"/>
              </w:numPr>
              <w:spacing w:before="0" w:after="0"/>
              <w:ind w:left="113" w:right="113"/>
              <w:rPr>
                <w:rFonts w:ascii="Arial" w:hAnsi="Arial" w:cs="Arial"/>
              </w:rPr>
            </w:pPr>
          </w:p>
        </w:tc>
      </w:tr>
      <w:tr w:rsidR="005B60A0" w:rsidRPr="008D54E0" w14:paraId="361CE498" w14:textId="77777777" w:rsidTr="00B50D38">
        <w:trPr>
          <w:cantSplit/>
          <w:trHeight w:val="397"/>
        </w:trPr>
        <w:tc>
          <w:tcPr>
            <w:tcW w:w="4887" w:type="dxa"/>
          </w:tcPr>
          <w:p w14:paraId="6B6A4E0F" w14:textId="77777777" w:rsidR="005B60A0" w:rsidRPr="006E0C17" w:rsidRDefault="005B60A0" w:rsidP="00B50D38">
            <w:pPr>
              <w:pStyle w:val="Tablebodycopy"/>
              <w:spacing w:after="40"/>
              <w:rPr>
                <w:rFonts w:cs="Arial"/>
                <w:bCs/>
              </w:rPr>
            </w:pPr>
            <w:r>
              <w:rPr>
                <w:rFonts w:cs="Arial"/>
                <w:bCs/>
              </w:rPr>
              <w:t>Cost estimate from CDSP</w:t>
            </w:r>
          </w:p>
        </w:tc>
        <w:tc>
          <w:tcPr>
            <w:tcW w:w="4747" w:type="dxa"/>
          </w:tcPr>
          <w:p w14:paraId="68418F21" w14:textId="77777777" w:rsidR="005B60A0" w:rsidRPr="008D54E0" w:rsidRDefault="005B60A0" w:rsidP="00B50D38">
            <w:pPr>
              <w:spacing w:before="40" w:after="40"/>
              <w:ind w:left="57" w:right="57"/>
              <w:rPr>
                <w:rFonts w:cs="Arial"/>
              </w:rPr>
            </w:pPr>
            <w:r w:rsidRPr="008D54E0">
              <w:rPr>
                <w:rFonts w:cs="Arial"/>
              </w:rPr>
              <w:t>Insert text here</w:t>
            </w:r>
          </w:p>
        </w:tc>
      </w:tr>
      <w:tr w:rsidR="005B60A0" w:rsidRPr="008D54E0" w14:paraId="10CC7BF0" w14:textId="77777777" w:rsidTr="00B50D38">
        <w:trPr>
          <w:cantSplit/>
          <w:trHeight w:val="397"/>
        </w:trPr>
        <w:tc>
          <w:tcPr>
            <w:tcW w:w="4887" w:type="dxa"/>
          </w:tcPr>
          <w:p w14:paraId="0D7A5B83" w14:textId="77777777" w:rsidR="005B60A0" w:rsidRPr="008D54E0" w:rsidRDefault="005B60A0" w:rsidP="00B50D38">
            <w:pPr>
              <w:pStyle w:val="Tablebodycopy"/>
              <w:spacing w:after="40"/>
              <w:rPr>
                <w:rFonts w:cs="Arial"/>
              </w:rPr>
            </w:pPr>
            <w:r>
              <w:rPr>
                <w:rFonts w:cs="Arial"/>
                <w:bCs/>
              </w:rPr>
              <w:t>Insert Subheading here</w:t>
            </w:r>
          </w:p>
        </w:tc>
        <w:tc>
          <w:tcPr>
            <w:tcW w:w="4747" w:type="dxa"/>
          </w:tcPr>
          <w:p w14:paraId="2A155E39" w14:textId="77777777" w:rsidR="005B60A0" w:rsidRPr="008D54E0" w:rsidRDefault="005B60A0" w:rsidP="00B50D38">
            <w:pPr>
              <w:spacing w:before="40" w:after="40"/>
              <w:ind w:left="57" w:right="57"/>
              <w:rPr>
                <w:rFonts w:cs="Arial"/>
              </w:rPr>
            </w:pPr>
            <w:r w:rsidRPr="008D54E0">
              <w:rPr>
                <w:rFonts w:cs="Arial"/>
              </w:rPr>
              <w:t>Insert text here</w:t>
            </w:r>
          </w:p>
        </w:tc>
      </w:tr>
    </w:tbl>
    <w:p w14:paraId="0FBB67C1" w14:textId="20312D6D" w:rsidR="005B60A0" w:rsidRPr="004E4905" w:rsidRDefault="004E4905" w:rsidP="005B60A0">
      <w:pPr>
        <w:rPr>
          <w:color w:val="FF0000"/>
        </w:rPr>
      </w:pPr>
      <w:r w:rsidRPr="004E4905">
        <w:rPr>
          <w:color w:val="FF0000"/>
        </w:rPr>
        <w:lastRenderedPageBreak/>
        <w:t>ROM request for alternatives…</w:t>
      </w:r>
    </w:p>
    <w:p w14:paraId="06B0881D" w14:textId="77777777" w:rsidR="009D6F8E" w:rsidRDefault="009D6F8E" w:rsidP="00962D5B"/>
    <w:p w14:paraId="79252F2A" w14:textId="77777777" w:rsidR="00263600" w:rsidRPr="00D1570A" w:rsidRDefault="00263600" w:rsidP="000F4631">
      <w:pPr>
        <w:pStyle w:val="Heading02"/>
      </w:pPr>
      <w:bookmarkStart w:id="21" w:name="_Toc504395614"/>
      <w:r w:rsidRPr="00D1570A">
        <w:t>Relevant Objectives</w:t>
      </w:r>
      <w:bookmarkEnd w:id="21"/>
    </w:p>
    <w:tbl>
      <w:tblPr>
        <w:tblW w:w="9650" w:type="dxa"/>
        <w:tblInd w:w="-142" w:type="dxa"/>
        <w:tblBorders>
          <w:top w:val="single" w:sz="8" w:space="0" w:color="CCE0DA"/>
          <w:left w:val="single" w:sz="8" w:space="0" w:color="CCE0DA"/>
          <w:bottom w:val="single" w:sz="8" w:space="0" w:color="CCE0DA"/>
          <w:right w:val="single" w:sz="8" w:space="0" w:color="CCE0DA"/>
          <w:insideH w:val="single" w:sz="8" w:space="0" w:color="CCE0DA"/>
          <w:insideV w:val="single" w:sz="8" w:space="0" w:color="CCE0DA"/>
        </w:tblBorders>
        <w:tblCellMar>
          <w:left w:w="0" w:type="dxa"/>
          <w:right w:w="0" w:type="dxa"/>
        </w:tblCellMar>
        <w:tblLook w:val="01E0" w:firstRow="1" w:lastRow="1" w:firstColumn="1" w:lastColumn="1" w:noHBand="0" w:noVBand="0"/>
      </w:tblPr>
      <w:tblGrid>
        <w:gridCol w:w="7240"/>
        <w:gridCol w:w="2410"/>
      </w:tblGrid>
      <w:tr w:rsidR="0018496D" w:rsidRPr="00D1570A" w14:paraId="6FFF93DB" w14:textId="77777777" w:rsidTr="006D765D">
        <w:trPr>
          <w:trHeight w:hRule="exact" w:val="499"/>
        </w:trPr>
        <w:tc>
          <w:tcPr>
            <w:tcW w:w="9650" w:type="dxa"/>
            <w:gridSpan w:val="2"/>
            <w:shd w:val="clear" w:color="auto" w:fill="CCE0DA"/>
            <w:vAlign w:val="center"/>
          </w:tcPr>
          <w:p w14:paraId="228F56BF" w14:textId="77777777" w:rsidR="0018496D" w:rsidRPr="00D1570A" w:rsidRDefault="0018496D" w:rsidP="006D765D">
            <w:pPr>
              <w:pStyle w:val="TableHeading"/>
              <w:rPr>
                <w:rFonts w:cs="Arial"/>
              </w:rPr>
            </w:pPr>
            <w:r w:rsidRPr="00D1570A">
              <w:rPr>
                <w:rFonts w:cs="Arial"/>
              </w:rPr>
              <w:t xml:space="preserve">Impact of the modification on the Relevant Charging Methodology Objectives: </w:t>
            </w:r>
          </w:p>
        </w:tc>
      </w:tr>
      <w:tr w:rsidR="0018496D" w:rsidRPr="00D1570A" w14:paraId="7570FFC4" w14:textId="77777777" w:rsidTr="006D765D">
        <w:trPr>
          <w:trHeight w:val="397"/>
        </w:trPr>
        <w:tc>
          <w:tcPr>
            <w:tcW w:w="7240" w:type="dxa"/>
          </w:tcPr>
          <w:p w14:paraId="3AD83AC9" w14:textId="77777777" w:rsidR="0018496D" w:rsidRPr="00D1570A" w:rsidRDefault="0018496D" w:rsidP="006D765D">
            <w:pPr>
              <w:spacing w:before="40"/>
              <w:ind w:left="113"/>
              <w:rPr>
                <w:rFonts w:cs="Arial"/>
              </w:rPr>
            </w:pPr>
            <w:r w:rsidRPr="00D1570A">
              <w:rPr>
                <w:rFonts w:cs="Arial"/>
              </w:rPr>
              <w:t>Relevant Objective</w:t>
            </w:r>
          </w:p>
        </w:tc>
        <w:tc>
          <w:tcPr>
            <w:tcW w:w="2410" w:type="dxa"/>
          </w:tcPr>
          <w:p w14:paraId="1453FF2C" w14:textId="77777777" w:rsidR="0018496D" w:rsidRPr="00D1570A" w:rsidRDefault="0018496D" w:rsidP="006D765D">
            <w:pPr>
              <w:spacing w:before="40"/>
              <w:ind w:left="113" w:right="113"/>
              <w:rPr>
                <w:rFonts w:cs="Arial"/>
              </w:rPr>
            </w:pPr>
            <w:r w:rsidRPr="00D1570A">
              <w:rPr>
                <w:rFonts w:cs="Arial"/>
              </w:rPr>
              <w:t>Identified impact</w:t>
            </w:r>
          </w:p>
        </w:tc>
      </w:tr>
      <w:tr w:rsidR="00512985" w:rsidRPr="00D1570A" w14:paraId="68CF529D" w14:textId="77777777" w:rsidTr="006D765D">
        <w:trPr>
          <w:trHeight w:val="397"/>
        </w:trPr>
        <w:tc>
          <w:tcPr>
            <w:tcW w:w="7240" w:type="dxa"/>
          </w:tcPr>
          <w:p w14:paraId="0B10F8AB" w14:textId="77777777" w:rsidR="00512985" w:rsidRPr="0065262A" w:rsidRDefault="00512985" w:rsidP="006D765D">
            <w:pPr>
              <w:pStyle w:val="Tablebodycopy"/>
              <w:spacing w:before="60" w:after="60" w:line="240" w:lineRule="auto"/>
              <w:ind w:left="453" w:right="238" w:hanging="340"/>
              <w:rPr>
                <w:rFonts w:cs="Arial"/>
              </w:rPr>
            </w:pPr>
            <w:r w:rsidRPr="00D1570A">
              <w:rPr>
                <w:rFonts w:cs="Arial"/>
              </w:rPr>
              <w:t xml:space="preserve">a) </w:t>
            </w:r>
            <w:r w:rsidRPr="00D1570A">
              <w:rPr>
                <w:rFonts w:cs="Arial"/>
              </w:rPr>
              <w:tab/>
            </w:r>
            <w:r w:rsidRPr="0065262A">
              <w:rPr>
                <w:rFonts w:cs="Arial"/>
              </w:rPr>
              <w:t>Save in so far as paragraphs (aa) or (d) apply, that compliance with the charging methodology results in charges which reflect the costs incurred by the licensee in its transportation business;</w:t>
            </w:r>
          </w:p>
        </w:tc>
        <w:tc>
          <w:tcPr>
            <w:tcW w:w="2410" w:type="dxa"/>
          </w:tcPr>
          <w:p w14:paraId="25207258" w14:textId="253B8C26" w:rsidR="00512985" w:rsidRPr="00D1570A" w:rsidRDefault="00512985" w:rsidP="006D765D">
            <w:pPr>
              <w:spacing w:before="40"/>
              <w:ind w:left="113" w:right="113"/>
              <w:rPr>
                <w:rFonts w:cs="Arial"/>
              </w:rPr>
            </w:pPr>
            <w:r>
              <w:rPr>
                <w:rFonts w:cs="Arial"/>
              </w:rPr>
              <w:t>Positive</w:t>
            </w:r>
          </w:p>
        </w:tc>
      </w:tr>
      <w:tr w:rsidR="00512985" w:rsidRPr="00D1570A" w14:paraId="2F55E010" w14:textId="77777777" w:rsidTr="006D765D">
        <w:trPr>
          <w:trHeight w:val="397"/>
        </w:trPr>
        <w:tc>
          <w:tcPr>
            <w:tcW w:w="7240" w:type="dxa"/>
          </w:tcPr>
          <w:p w14:paraId="74A13729" w14:textId="77777777" w:rsidR="00512985" w:rsidRPr="0065262A" w:rsidRDefault="00512985" w:rsidP="006D765D">
            <w:pPr>
              <w:pStyle w:val="Tablebodycopy"/>
              <w:spacing w:before="60" w:after="60" w:line="240" w:lineRule="auto"/>
              <w:ind w:left="511" w:right="238" w:hanging="426"/>
              <w:rPr>
                <w:rFonts w:cs="Arial"/>
              </w:rPr>
            </w:pPr>
            <w:r w:rsidRPr="0065262A">
              <w:rPr>
                <w:rFonts w:cs="Arial"/>
              </w:rPr>
              <w:t>aa)</w:t>
            </w:r>
            <w:r w:rsidRPr="0065262A">
              <w:rPr>
                <w:rFonts w:cs="Arial"/>
              </w:rPr>
              <w:tab/>
              <w:t>That, in so far as prices in respect of transportation arrangements are established by auction, either:</w:t>
            </w:r>
          </w:p>
          <w:p w14:paraId="67CE0FD6" w14:textId="77777777" w:rsidR="00512985" w:rsidRPr="0065262A" w:rsidRDefault="00512985" w:rsidP="00BD3FB5">
            <w:pPr>
              <w:pStyle w:val="Tablebodycopy"/>
              <w:numPr>
                <w:ilvl w:val="0"/>
                <w:numId w:val="16"/>
              </w:numPr>
              <w:spacing w:before="60" w:after="60" w:line="240" w:lineRule="auto"/>
              <w:ind w:left="851" w:right="238" w:hanging="425"/>
              <w:rPr>
                <w:rFonts w:cs="Arial"/>
              </w:rPr>
            </w:pPr>
            <w:r w:rsidRPr="0065262A">
              <w:rPr>
                <w:rFonts w:cs="Arial"/>
              </w:rPr>
              <w:t>no reserve price is applied, or</w:t>
            </w:r>
          </w:p>
          <w:p w14:paraId="67426CF7" w14:textId="77777777" w:rsidR="00512985" w:rsidRPr="0065262A" w:rsidRDefault="00512985" w:rsidP="00BD3FB5">
            <w:pPr>
              <w:pStyle w:val="Tablebodycopy"/>
              <w:numPr>
                <w:ilvl w:val="0"/>
                <w:numId w:val="16"/>
              </w:numPr>
              <w:spacing w:before="60" w:after="60" w:line="240" w:lineRule="auto"/>
              <w:ind w:left="851" w:right="238" w:hanging="425"/>
              <w:rPr>
                <w:rFonts w:cs="Arial"/>
              </w:rPr>
            </w:pPr>
            <w:r w:rsidRPr="0065262A">
              <w:rPr>
                <w:rFonts w:cs="Arial"/>
              </w:rPr>
              <w:t>that reserve price is set at a level -</w:t>
            </w:r>
          </w:p>
          <w:p w14:paraId="7A5B32F8" w14:textId="77777777" w:rsidR="00512985" w:rsidRPr="0065262A" w:rsidRDefault="00512985" w:rsidP="006D765D">
            <w:pPr>
              <w:pStyle w:val="Tablebodycopy"/>
              <w:spacing w:before="60" w:after="60" w:line="240" w:lineRule="auto"/>
              <w:ind w:left="851" w:right="238" w:hanging="425"/>
              <w:rPr>
                <w:rFonts w:cs="Arial"/>
              </w:rPr>
            </w:pPr>
            <w:r w:rsidRPr="0065262A">
              <w:rPr>
                <w:rFonts w:cs="Arial"/>
              </w:rPr>
              <w:t>(I)</w:t>
            </w:r>
            <w:r w:rsidRPr="0065262A">
              <w:rPr>
                <w:rFonts w:cs="Arial"/>
              </w:rPr>
              <w:tab/>
              <w:t>best calculated to promote efficiency and avoid undue preference in the supply of transportation services; and</w:t>
            </w:r>
          </w:p>
          <w:p w14:paraId="17BF3BDF" w14:textId="77777777" w:rsidR="00512985" w:rsidRPr="0065262A" w:rsidRDefault="00512985" w:rsidP="006D765D">
            <w:pPr>
              <w:pStyle w:val="Tablebodycopy"/>
              <w:spacing w:before="60" w:after="60" w:line="240" w:lineRule="auto"/>
              <w:ind w:left="851" w:right="238" w:hanging="425"/>
              <w:rPr>
                <w:rFonts w:cs="Arial"/>
              </w:rPr>
            </w:pPr>
            <w:r w:rsidRPr="0065262A">
              <w:rPr>
                <w:rFonts w:cs="Arial"/>
              </w:rPr>
              <w:t>(II)</w:t>
            </w:r>
            <w:r w:rsidRPr="0065262A">
              <w:rPr>
                <w:rFonts w:cs="Arial"/>
              </w:rPr>
              <w:tab/>
              <w:t>best calculated to promote competition between gas suppliers and between gas shippers;</w:t>
            </w:r>
          </w:p>
        </w:tc>
        <w:tc>
          <w:tcPr>
            <w:tcW w:w="2410" w:type="dxa"/>
          </w:tcPr>
          <w:p w14:paraId="1E68A385" w14:textId="787C5D60" w:rsidR="00512985" w:rsidRPr="00D1570A" w:rsidRDefault="00512985" w:rsidP="001B0669">
            <w:pPr>
              <w:spacing w:before="40"/>
              <w:ind w:left="113" w:right="113"/>
              <w:rPr>
                <w:rFonts w:cs="Arial"/>
              </w:rPr>
            </w:pPr>
            <w:r>
              <w:rPr>
                <w:rFonts w:cs="Arial"/>
              </w:rPr>
              <w:t>Positive</w:t>
            </w:r>
          </w:p>
        </w:tc>
      </w:tr>
      <w:tr w:rsidR="00512985" w:rsidRPr="00D1570A" w14:paraId="4774733C" w14:textId="77777777" w:rsidTr="006D765D">
        <w:trPr>
          <w:trHeight w:val="397"/>
        </w:trPr>
        <w:tc>
          <w:tcPr>
            <w:tcW w:w="7240" w:type="dxa"/>
          </w:tcPr>
          <w:p w14:paraId="0C8188E0" w14:textId="77777777" w:rsidR="00512985" w:rsidRPr="00D1570A" w:rsidRDefault="00512985" w:rsidP="006D765D">
            <w:pPr>
              <w:pStyle w:val="Tablebodycopy"/>
              <w:spacing w:before="60" w:after="60" w:line="240" w:lineRule="auto"/>
              <w:ind w:left="453" w:right="238" w:hanging="340"/>
              <w:rPr>
                <w:rFonts w:cs="Arial"/>
              </w:rPr>
            </w:pPr>
            <w:r w:rsidRPr="00D1570A">
              <w:rPr>
                <w:rFonts w:cs="Arial"/>
              </w:rPr>
              <w:t xml:space="preserve">b) </w:t>
            </w:r>
            <w:r w:rsidRPr="00D1570A">
              <w:rPr>
                <w:rFonts w:cs="Arial"/>
              </w:rPr>
              <w:tab/>
            </w:r>
            <w:r w:rsidRPr="0065262A">
              <w:rPr>
                <w:rFonts w:cs="Arial"/>
              </w:rPr>
              <w:t>That, so far as is consistent with sub-paragraph (a), the charging methodology properly takes account of developments in the transportation business;</w:t>
            </w:r>
          </w:p>
        </w:tc>
        <w:tc>
          <w:tcPr>
            <w:tcW w:w="2410" w:type="dxa"/>
          </w:tcPr>
          <w:p w14:paraId="606CC2A7" w14:textId="20B37775" w:rsidR="00512985" w:rsidRPr="00D1570A" w:rsidRDefault="00512985" w:rsidP="001B0669">
            <w:pPr>
              <w:spacing w:before="40"/>
              <w:ind w:left="113" w:right="113"/>
              <w:rPr>
                <w:rFonts w:cs="Arial"/>
              </w:rPr>
            </w:pPr>
            <w:r w:rsidRPr="00D1570A">
              <w:rPr>
                <w:rFonts w:cs="Arial"/>
              </w:rPr>
              <w:t>Positive</w:t>
            </w:r>
          </w:p>
        </w:tc>
      </w:tr>
      <w:tr w:rsidR="00512985" w:rsidRPr="00D1570A" w14:paraId="13ADF30E" w14:textId="77777777" w:rsidTr="006D765D">
        <w:trPr>
          <w:trHeight w:val="397"/>
        </w:trPr>
        <w:tc>
          <w:tcPr>
            <w:tcW w:w="7240" w:type="dxa"/>
          </w:tcPr>
          <w:p w14:paraId="59759438" w14:textId="77777777" w:rsidR="00512985" w:rsidRPr="0065262A" w:rsidRDefault="00512985" w:rsidP="006D765D">
            <w:pPr>
              <w:pStyle w:val="Tablebodycopy"/>
              <w:spacing w:before="60" w:after="60" w:line="240" w:lineRule="auto"/>
              <w:ind w:left="453" w:right="238" w:hanging="340"/>
              <w:rPr>
                <w:rFonts w:cs="Arial"/>
              </w:rPr>
            </w:pPr>
            <w:r w:rsidRPr="00D1570A">
              <w:rPr>
                <w:rFonts w:cs="Arial"/>
              </w:rPr>
              <w:t xml:space="preserve">c) </w:t>
            </w:r>
            <w:r w:rsidRPr="00D1570A">
              <w:rPr>
                <w:rFonts w:cs="Arial"/>
              </w:rPr>
              <w:tab/>
            </w:r>
            <w:r w:rsidRPr="0065262A">
              <w:rPr>
                <w:rFonts w:cs="Arial"/>
              </w:rPr>
              <w:t>That, so far as is consistent with sub-paragraphs (a) and (b), compliance with the charging methodology facilitates effective competition between gas shippers and between gas suppliers; and</w:t>
            </w:r>
          </w:p>
        </w:tc>
        <w:tc>
          <w:tcPr>
            <w:tcW w:w="2410" w:type="dxa"/>
          </w:tcPr>
          <w:p w14:paraId="0EC416DE" w14:textId="56172854" w:rsidR="00512985" w:rsidRPr="00D1570A" w:rsidRDefault="00512985" w:rsidP="00A30E80">
            <w:pPr>
              <w:spacing w:before="40"/>
              <w:ind w:left="113" w:right="113"/>
              <w:rPr>
                <w:rFonts w:cs="Arial"/>
              </w:rPr>
            </w:pPr>
            <w:r>
              <w:rPr>
                <w:rFonts w:cs="Arial"/>
              </w:rPr>
              <w:t>Positive</w:t>
            </w:r>
          </w:p>
        </w:tc>
      </w:tr>
      <w:tr w:rsidR="0018496D" w:rsidRPr="00D1570A" w14:paraId="760331E9" w14:textId="77777777" w:rsidTr="006D765D">
        <w:trPr>
          <w:trHeight w:val="397"/>
        </w:trPr>
        <w:tc>
          <w:tcPr>
            <w:tcW w:w="7240" w:type="dxa"/>
          </w:tcPr>
          <w:p w14:paraId="1352209A" w14:textId="77777777" w:rsidR="0018496D" w:rsidRPr="0065262A" w:rsidRDefault="0018496D" w:rsidP="006D765D">
            <w:pPr>
              <w:pStyle w:val="Tablebodycopy"/>
              <w:spacing w:before="60" w:after="60" w:line="240" w:lineRule="auto"/>
              <w:ind w:left="453" w:right="238" w:hanging="340"/>
              <w:rPr>
                <w:rFonts w:cs="Arial"/>
              </w:rPr>
            </w:pPr>
            <w:r w:rsidRPr="00D1570A">
              <w:rPr>
                <w:rFonts w:cs="Arial"/>
              </w:rPr>
              <w:t xml:space="preserve">d) </w:t>
            </w:r>
            <w:r w:rsidRPr="00D1570A">
              <w:rPr>
                <w:rFonts w:cs="Arial"/>
              </w:rPr>
              <w:tab/>
            </w:r>
            <w:r w:rsidRPr="0065262A">
              <w:rPr>
                <w:rFonts w:cs="Arial"/>
              </w:rPr>
              <w:t>That the charging methodology reflects any alternative arrangements put in place in accordance with a determination made by the Secretary of State under paragraph 2A(a) of Standard Special Condition A27 (Disposal of Assets).</w:t>
            </w:r>
          </w:p>
        </w:tc>
        <w:tc>
          <w:tcPr>
            <w:tcW w:w="2410" w:type="dxa"/>
          </w:tcPr>
          <w:p w14:paraId="50B9767B" w14:textId="77777777" w:rsidR="0018496D" w:rsidRPr="00D1570A" w:rsidRDefault="0018496D" w:rsidP="006D765D">
            <w:pPr>
              <w:spacing w:before="40"/>
              <w:ind w:left="113" w:right="113"/>
              <w:rPr>
                <w:rFonts w:cs="Arial"/>
              </w:rPr>
            </w:pPr>
            <w:r w:rsidRPr="00D1570A">
              <w:rPr>
                <w:rFonts w:cs="Arial"/>
              </w:rPr>
              <w:t>None</w:t>
            </w:r>
          </w:p>
        </w:tc>
      </w:tr>
      <w:tr w:rsidR="0018496D" w:rsidRPr="00D1570A" w14:paraId="181D0ADB" w14:textId="77777777" w:rsidTr="006D765D">
        <w:trPr>
          <w:trHeight w:val="397"/>
        </w:trPr>
        <w:tc>
          <w:tcPr>
            <w:tcW w:w="7240" w:type="dxa"/>
          </w:tcPr>
          <w:p w14:paraId="739EA0B1" w14:textId="77777777" w:rsidR="0018496D" w:rsidRPr="00D1570A" w:rsidRDefault="0018496D" w:rsidP="006D765D">
            <w:pPr>
              <w:pStyle w:val="Tablebodycopy"/>
              <w:spacing w:before="60" w:after="60" w:line="240" w:lineRule="auto"/>
              <w:ind w:left="426" w:right="238" w:hanging="313"/>
              <w:rPr>
                <w:rFonts w:cs="Arial"/>
              </w:rPr>
            </w:pPr>
            <w:r w:rsidRPr="0065262A">
              <w:rPr>
                <w:rFonts w:cs="Arial"/>
              </w:rPr>
              <w:t>e)  Compliance with the Regulation and any relevant legally binding decisions of the European Commission and/or the Agency for the Co-operation of Energy Regulators.</w:t>
            </w:r>
          </w:p>
        </w:tc>
        <w:tc>
          <w:tcPr>
            <w:tcW w:w="2410" w:type="dxa"/>
          </w:tcPr>
          <w:p w14:paraId="2787999E" w14:textId="77777777" w:rsidR="0018496D" w:rsidRPr="00D1570A" w:rsidRDefault="0018496D" w:rsidP="001B0669">
            <w:pPr>
              <w:spacing w:before="40"/>
              <w:ind w:left="113" w:right="113"/>
              <w:rPr>
                <w:rFonts w:cs="Arial"/>
              </w:rPr>
            </w:pPr>
            <w:r w:rsidRPr="00D1570A">
              <w:rPr>
                <w:rFonts w:cs="Arial"/>
              </w:rPr>
              <w:t>Positive</w:t>
            </w:r>
          </w:p>
        </w:tc>
      </w:tr>
    </w:tbl>
    <w:p w14:paraId="2D363FD6" w14:textId="77777777" w:rsidR="00EE66DF" w:rsidRPr="00D1570A" w:rsidRDefault="001B0669" w:rsidP="0018496D">
      <w:pPr>
        <w:rPr>
          <w:rFonts w:cs="Arial"/>
        </w:rPr>
      </w:pPr>
      <w:r w:rsidRPr="00D1570A">
        <w:rPr>
          <w:rFonts w:cs="Arial"/>
        </w:rPr>
        <w:t>This modification proposal does not</w:t>
      </w:r>
      <w:r w:rsidR="00EE66DF" w:rsidRPr="00D1570A">
        <w:rPr>
          <w:rFonts w:cs="Arial"/>
        </w:rPr>
        <w:t xml:space="preserve"> conflict with:</w:t>
      </w:r>
    </w:p>
    <w:p w14:paraId="153BCB23" w14:textId="77777777" w:rsidR="00EE66DF" w:rsidRPr="00D1570A" w:rsidRDefault="00EE66DF" w:rsidP="00BD3FB5">
      <w:pPr>
        <w:pStyle w:val="BodyText"/>
        <w:numPr>
          <w:ilvl w:val="0"/>
          <w:numId w:val="17"/>
        </w:numPr>
        <w:spacing w:after="0"/>
        <w:ind w:left="567" w:right="238" w:hanging="567"/>
        <w:rPr>
          <w:rFonts w:cs="Arial"/>
          <w:i/>
        </w:rPr>
      </w:pPr>
      <w:r w:rsidRPr="00D1570A">
        <w:rPr>
          <w:rFonts w:cs="Arial"/>
          <w:i/>
        </w:rPr>
        <w:t>paragraphs 8, 9, 10 and 11 of Standard Condition 4B of the Transporter's Licence; or</w:t>
      </w:r>
    </w:p>
    <w:p w14:paraId="31ECC1C0" w14:textId="77777777" w:rsidR="00EE66DF" w:rsidRPr="00D1570A" w:rsidRDefault="00EE66DF" w:rsidP="00BD3FB5">
      <w:pPr>
        <w:pStyle w:val="BodyText"/>
        <w:numPr>
          <w:ilvl w:val="0"/>
          <w:numId w:val="17"/>
        </w:numPr>
        <w:ind w:left="567" w:right="238" w:hanging="567"/>
        <w:rPr>
          <w:rFonts w:cs="Arial"/>
          <w:i/>
        </w:rPr>
      </w:pPr>
      <w:r w:rsidRPr="00D1570A">
        <w:rPr>
          <w:rFonts w:cs="Arial"/>
          <w:i/>
        </w:rPr>
        <w:t>paragraphs 2, 2A and 3 of Standard Special Condition A4 of the Transporter's Licence;</w:t>
      </w:r>
    </w:p>
    <w:p w14:paraId="62D1B9E4" w14:textId="77777777" w:rsidR="00A30E80" w:rsidRPr="00D1570A" w:rsidRDefault="00A30E80" w:rsidP="0018496D">
      <w:pPr>
        <w:rPr>
          <w:rFonts w:cs="Arial"/>
        </w:rPr>
      </w:pPr>
      <w:r w:rsidRPr="00D1570A">
        <w:rPr>
          <w:rFonts w:cs="Arial"/>
        </w:rPr>
        <w:t xml:space="preserve">as the charges will be changed at the required times and to the required notice periods. </w:t>
      </w:r>
    </w:p>
    <w:p w14:paraId="22D5432F" w14:textId="77777777" w:rsidR="00EE66DF" w:rsidRPr="00D1570A" w:rsidRDefault="00EE66DF" w:rsidP="0018496D">
      <w:pPr>
        <w:rPr>
          <w:rFonts w:cs="Arial"/>
        </w:rPr>
      </w:pPr>
    </w:p>
    <w:p w14:paraId="6A7F365E" w14:textId="77777777" w:rsidR="0018496D" w:rsidRPr="00D1570A" w:rsidRDefault="0018496D" w:rsidP="0018496D">
      <w:pPr>
        <w:rPr>
          <w:rFonts w:cs="Arial"/>
        </w:rPr>
      </w:pPr>
      <w:r w:rsidRPr="00D1570A">
        <w:rPr>
          <w:rFonts w:cs="Arial"/>
        </w:rPr>
        <w:t>Demonstration of how the Relevant Object</w:t>
      </w:r>
      <w:r w:rsidR="00EE66DF" w:rsidRPr="00D1570A">
        <w:rPr>
          <w:rFonts w:cs="Arial"/>
        </w:rPr>
        <w:t>ives are furthered:</w:t>
      </w:r>
    </w:p>
    <w:p w14:paraId="2D559B40" w14:textId="77777777" w:rsidR="00A30E80" w:rsidRPr="0065262A" w:rsidRDefault="00A30E80" w:rsidP="0018496D">
      <w:pPr>
        <w:rPr>
          <w:rFonts w:cs="Arial"/>
        </w:rPr>
      </w:pPr>
      <w:r w:rsidRPr="00D1570A">
        <w:rPr>
          <w:rFonts w:cs="Arial"/>
        </w:rPr>
        <w:t xml:space="preserve">b) </w:t>
      </w:r>
      <w:r w:rsidRPr="00D1570A">
        <w:rPr>
          <w:rFonts w:cs="Arial"/>
        </w:rPr>
        <w:tab/>
      </w:r>
      <w:r w:rsidRPr="0065262A">
        <w:rPr>
          <w:rFonts w:cs="Arial"/>
        </w:rPr>
        <w:t>That, so far as is consistent with sub-paragraph (a), the charging methodology properly takes account of developments in the transportation business;</w:t>
      </w:r>
    </w:p>
    <w:p w14:paraId="4831BDB1" w14:textId="77777777" w:rsidR="00A30E80" w:rsidRPr="0065262A" w:rsidRDefault="00A30E80" w:rsidP="0018496D">
      <w:pPr>
        <w:rPr>
          <w:rFonts w:cs="Arial"/>
        </w:rPr>
      </w:pPr>
      <w:r w:rsidRPr="0065262A">
        <w:rPr>
          <w:rFonts w:cs="Arial"/>
        </w:rPr>
        <w:t>The update to the Transmission Services methodology proposal takes into account developments which have taken place in the transportation business</w:t>
      </w:r>
      <w:r w:rsidR="0092705B" w:rsidRPr="0065262A">
        <w:rPr>
          <w:rFonts w:cs="Arial"/>
        </w:rPr>
        <w:t>, in particular that the network is no longer expanding</w:t>
      </w:r>
      <w:r w:rsidRPr="0065262A">
        <w:rPr>
          <w:rFonts w:cs="Arial"/>
        </w:rPr>
        <w:t>.</w:t>
      </w:r>
    </w:p>
    <w:p w14:paraId="3747082B" w14:textId="77777777" w:rsidR="00A30E80" w:rsidRPr="0065262A" w:rsidRDefault="00A30E80" w:rsidP="0018496D">
      <w:pPr>
        <w:rPr>
          <w:rFonts w:cs="Arial"/>
        </w:rPr>
      </w:pPr>
      <w:r w:rsidRPr="0065262A">
        <w:rPr>
          <w:rFonts w:cs="Arial"/>
        </w:rPr>
        <w:t>e)  Compliance with the Regulation and any relevant legally binding decisions of the European Commission and/or the Agency for the Co-operation of Energy Regulators.</w:t>
      </w:r>
    </w:p>
    <w:p w14:paraId="3B111D6F" w14:textId="77777777" w:rsidR="0065262A" w:rsidRDefault="00A30E80" w:rsidP="0018496D">
      <w:pPr>
        <w:rPr>
          <w:rFonts w:cs="Arial"/>
        </w:rPr>
      </w:pPr>
      <w:r w:rsidRPr="00D1570A">
        <w:rPr>
          <w:rFonts w:cs="Arial"/>
        </w:rPr>
        <w:lastRenderedPageBreak/>
        <w:t>The EU Tariff Code compliance is taken into account in this modification proposal.</w:t>
      </w:r>
      <w:r w:rsidR="006D76DE">
        <w:rPr>
          <w:rFonts w:cs="Arial"/>
        </w:rPr>
        <w:br/>
      </w:r>
      <w:r w:rsidR="006D76DE">
        <w:rPr>
          <w:rFonts w:cs="Arial"/>
        </w:rPr>
        <w:br/>
      </w:r>
      <w:r w:rsidR="0065262A">
        <w:rPr>
          <w:rFonts w:cs="Arial"/>
        </w:rPr>
        <w:t>To the extent that TPD Section B is impacted, this will require a review of the standard Relevant Objectives in addition to the above.</w:t>
      </w:r>
    </w:p>
    <w:p w14:paraId="185492B0" w14:textId="77777777" w:rsidR="007F6F96" w:rsidRDefault="007F6F96" w:rsidP="0018496D">
      <w:pPr>
        <w:rPr>
          <w:rFonts w:cs="Arial"/>
        </w:rPr>
      </w:pPr>
    </w:p>
    <w:p w14:paraId="610CFEDA" w14:textId="09CFD869" w:rsidR="007F6F96" w:rsidRPr="007F6F96" w:rsidRDefault="00D023E2" w:rsidP="007F6F96">
      <w:pPr>
        <w:spacing w:before="0" w:after="0" w:line="240" w:lineRule="auto"/>
        <w:rPr>
          <w:rFonts w:eastAsia="Cambria" w:cs="Arial"/>
          <w:color w:val="FF0000"/>
          <w:szCs w:val="20"/>
        </w:rPr>
      </w:pPr>
      <w:r w:rsidRPr="00D023E2">
        <w:rPr>
          <w:rFonts w:eastAsia="Cambria" w:cs="Arial"/>
          <w:color w:val="FF0000"/>
          <w:szCs w:val="20"/>
        </w:rPr>
        <w:t xml:space="preserve">For </w:t>
      </w:r>
      <w:r w:rsidR="007F6F96" w:rsidRPr="00D023E2">
        <w:rPr>
          <w:rFonts w:eastAsia="Cambria" w:cs="Arial"/>
          <w:color w:val="FF0000"/>
          <w:szCs w:val="20"/>
        </w:rPr>
        <w:t>0621</w:t>
      </w:r>
      <w:r w:rsidR="0094437F" w:rsidRPr="00D023E2">
        <w:rPr>
          <w:rFonts w:eastAsia="Cambria" w:cs="Arial"/>
          <w:color w:val="FF0000"/>
          <w:szCs w:val="20"/>
        </w:rPr>
        <w:t xml:space="preserve">B: </w:t>
      </w:r>
      <w:r w:rsidRPr="00D023E2">
        <w:rPr>
          <w:rFonts w:eastAsia="Cambria" w:cs="Arial"/>
          <w:color w:val="FF0000"/>
          <w:szCs w:val="20"/>
        </w:rPr>
        <w:t>Jeff Chandler</w:t>
      </w:r>
    </w:p>
    <w:p w14:paraId="4A99D3A7" w14:textId="77777777" w:rsidR="007F6F96" w:rsidRPr="007F6F96" w:rsidRDefault="007F6F96" w:rsidP="007F6F96">
      <w:pPr>
        <w:spacing w:before="0" w:after="0" w:line="240" w:lineRule="auto"/>
        <w:rPr>
          <w:rFonts w:eastAsia="Cambria" w:cs="Arial"/>
          <w:color w:val="000000"/>
          <w:szCs w:val="20"/>
        </w:rPr>
      </w:pPr>
      <w:r w:rsidRPr="007F6F96">
        <w:rPr>
          <w:rFonts w:eastAsia="Cambria" w:cs="Arial"/>
          <w:color w:val="000000"/>
          <w:szCs w:val="20"/>
        </w:rPr>
        <w:t> </w:t>
      </w:r>
    </w:p>
    <w:p w14:paraId="0A597B13" w14:textId="5BC2BBA7" w:rsidR="007F6F96" w:rsidRPr="007F6F96" w:rsidRDefault="004D75D5" w:rsidP="007F6F96">
      <w:pPr>
        <w:spacing w:before="0" w:after="0" w:line="240" w:lineRule="auto"/>
        <w:rPr>
          <w:rFonts w:eastAsia="Cambria" w:cs="Arial"/>
          <w:color w:val="FF0000"/>
          <w:szCs w:val="20"/>
        </w:rPr>
      </w:pPr>
      <w:r>
        <w:rPr>
          <w:rFonts w:eastAsia="Cambria" w:cs="Arial"/>
          <w:color w:val="FF0000"/>
          <w:szCs w:val="20"/>
        </w:rPr>
        <w:t xml:space="preserve">c) </w:t>
      </w:r>
      <w:r w:rsidR="007F6F96" w:rsidRPr="007F6F96">
        <w:rPr>
          <w:rFonts w:eastAsia="Cambria" w:cs="Arial"/>
          <w:color w:val="FF0000"/>
          <w:szCs w:val="20"/>
        </w:rPr>
        <w:t>That, so far as is consistent with sub-paragraphs (a) and (b), compliance</w:t>
      </w:r>
    </w:p>
    <w:p w14:paraId="25D32D5E" w14:textId="77777777" w:rsidR="007F6F96" w:rsidRPr="007F6F96" w:rsidRDefault="007F6F96" w:rsidP="007F6F96">
      <w:pPr>
        <w:spacing w:before="0" w:after="0" w:line="240" w:lineRule="auto"/>
        <w:rPr>
          <w:rFonts w:eastAsia="Cambria" w:cs="Arial"/>
          <w:color w:val="FF0000"/>
          <w:szCs w:val="20"/>
        </w:rPr>
      </w:pPr>
      <w:r w:rsidRPr="007F6F96">
        <w:rPr>
          <w:rFonts w:eastAsia="Cambria" w:cs="Arial"/>
          <w:color w:val="FF0000"/>
          <w:szCs w:val="20"/>
        </w:rPr>
        <w:t>with the charging methodology facilitates effective competition between</w:t>
      </w:r>
    </w:p>
    <w:p w14:paraId="31804218" w14:textId="79EAC836" w:rsidR="007F6F96" w:rsidRPr="007F6F96" w:rsidRDefault="007F6F96" w:rsidP="007F6F96">
      <w:pPr>
        <w:spacing w:before="0" w:after="0" w:line="240" w:lineRule="auto"/>
        <w:rPr>
          <w:rFonts w:eastAsia="Cambria" w:cs="Arial"/>
          <w:color w:val="FF0000"/>
          <w:szCs w:val="20"/>
        </w:rPr>
      </w:pPr>
      <w:r w:rsidRPr="007F6F96">
        <w:rPr>
          <w:rFonts w:eastAsia="Cambria" w:cs="Arial"/>
          <w:color w:val="FF0000"/>
          <w:szCs w:val="20"/>
        </w:rPr>
        <w:t>gas shi</w:t>
      </w:r>
      <w:r w:rsidR="004D75D5">
        <w:rPr>
          <w:rFonts w:eastAsia="Cambria" w:cs="Arial"/>
          <w:color w:val="FF0000"/>
          <w:szCs w:val="20"/>
        </w:rPr>
        <w:t>ppers and between gas suppliers.</w:t>
      </w:r>
      <w:r w:rsidRPr="007F6F96">
        <w:rPr>
          <w:rFonts w:eastAsia="Cambria" w:cs="Arial"/>
          <w:color w:val="FF0000"/>
          <w:szCs w:val="20"/>
        </w:rPr>
        <w:t xml:space="preserve"> </w:t>
      </w:r>
      <w:r w:rsidR="004D75D5">
        <w:rPr>
          <w:rFonts w:eastAsia="Cambria" w:cs="Arial"/>
          <w:color w:val="FF0000"/>
          <w:szCs w:val="20"/>
        </w:rPr>
        <w:tab/>
      </w:r>
      <w:r w:rsidR="004D75D5">
        <w:rPr>
          <w:rFonts w:eastAsia="Cambria" w:cs="Arial"/>
          <w:color w:val="FF0000"/>
          <w:szCs w:val="20"/>
        </w:rPr>
        <w:tab/>
      </w:r>
      <w:r w:rsidR="004D75D5">
        <w:rPr>
          <w:rFonts w:eastAsia="Cambria" w:cs="Arial"/>
          <w:color w:val="FF0000"/>
          <w:szCs w:val="20"/>
        </w:rPr>
        <w:tab/>
      </w:r>
      <w:r w:rsidR="004D75D5">
        <w:rPr>
          <w:rFonts w:eastAsia="Cambria" w:cs="Arial"/>
          <w:color w:val="FF0000"/>
          <w:szCs w:val="20"/>
        </w:rPr>
        <w:tab/>
      </w:r>
      <w:r w:rsidR="004D75D5">
        <w:rPr>
          <w:rFonts w:eastAsia="Cambria" w:cs="Arial"/>
          <w:color w:val="FF0000"/>
          <w:szCs w:val="20"/>
        </w:rPr>
        <w:tab/>
        <w:t>Positive</w:t>
      </w:r>
    </w:p>
    <w:p w14:paraId="2DE59694" w14:textId="7E39524C" w:rsidR="007F6F96" w:rsidRPr="007F6F96" w:rsidRDefault="007F6F96" w:rsidP="007F6F96">
      <w:pPr>
        <w:spacing w:before="0" w:after="0" w:line="240" w:lineRule="auto"/>
        <w:rPr>
          <w:rFonts w:eastAsia="Cambria" w:cs="Arial"/>
          <w:color w:val="FF0000"/>
          <w:szCs w:val="20"/>
        </w:rPr>
      </w:pPr>
      <w:r w:rsidRPr="007F6F96">
        <w:rPr>
          <w:rFonts w:eastAsia="Cambria" w:cs="Arial"/>
          <w:color w:val="FF0000"/>
          <w:szCs w:val="20"/>
        </w:rPr>
        <w:t> </w:t>
      </w:r>
    </w:p>
    <w:p w14:paraId="688CE291" w14:textId="78172C3C" w:rsidR="007F6F96" w:rsidRPr="00D023E2" w:rsidRDefault="007F6F96" w:rsidP="00D023E2">
      <w:pPr>
        <w:spacing w:before="0" w:after="0" w:line="240" w:lineRule="auto"/>
        <w:rPr>
          <w:rFonts w:eastAsia="Cambria" w:cs="Arial"/>
          <w:color w:val="FF0000"/>
          <w:szCs w:val="20"/>
        </w:rPr>
      </w:pPr>
      <w:r w:rsidRPr="007F6F96">
        <w:rPr>
          <w:rFonts w:eastAsia="Cambria" w:cs="Arial"/>
          <w:color w:val="FF0000"/>
          <w:szCs w:val="20"/>
        </w:rPr>
        <w:t>“Charges derived from the Capacity Weighted Distance (CWD) methodology will only be stable and predictable if the FCC (Forecasted Contracted Capacity) values are stable. FCC values based on Obligated capacity, are published in a</w:t>
      </w:r>
      <w:r w:rsidRPr="00D023E2">
        <w:rPr>
          <w:rFonts w:eastAsia="Cambria" w:cs="Arial"/>
          <w:color w:val="FF0000"/>
          <w:szCs w:val="20"/>
        </w:rPr>
        <w:t>dvance in National Grid’s</w:t>
      </w:r>
      <w:r w:rsidRPr="007F6F96">
        <w:rPr>
          <w:rFonts w:eastAsia="Cambria" w:cs="Arial"/>
          <w:color w:val="FF0000"/>
          <w:szCs w:val="20"/>
        </w:rPr>
        <w:t xml:space="preserve"> licence and change infrequently, they will be more stable than values based on forecasts derived by </w:t>
      </w:r>
      <w:r w:rsidRPr="00D023E2">
        <w:rPr>
          <w:rFonts w:eastAsia="Cambria" w:cs="Arial"/>
          <w:color w:val="FF0000"/>
          <w:szCs w:val="20"/>
        </w:rPr>
        <w:t>National Grid</w:t>
      </w:r>
      <w:r w:rsidRPr="007F6F96">
        <w:rPr>
          <w:rFonts w:eastAsia="Cambria" w:cs="Arial"/>
          <w:color w:val="FF0000"/>
          <w:szCs w:val="20"/>
        </w:rPr>
        <w:t xml:space="preserve"> using a methodology that is yet to be defined and exposed to annual change. More predictable and stable charges will facilitate competition because, all else being equal, greater cost certainty will lower risk and will result in lower cost of capital for Shippers which will reduce barriers to entry and </w:t>
      </w:r>
      <w:r w:rsidRPr="00D023E2">
        <w:rPr>
          <w:rFonts w:eastAsia="Cambria" w:cs="Arial"/>
          <w:color w:val="FF0000"/>
          <w:szCs w:val="20"/>
        </w:rPr>
        <w:t>facilitate competition.</w:t>
      </w:r>
    </w:p>
    <w:p w14:paraId="557D8992" w14:textId="77777777" w:rsidR="000D7F0C" w:rsidRPr="000D7F0C" w:rsidRDefault="000D7F0C" w:rsidP="000D7F0C">
      <w:pPr>
        <w:spacing w:before="0" w:after="0" w:line="240" w:lineRule="auto"/>
        <w:rPr>
          <w:rFonts w:eastAsia="Cambria" w:cs="Arial"/>
          <w:color w:val="FF0000"/>
          <w:szCs w:val="20"/>
        </w:rPr>
      </w:pPr>
      <w:r w:rsidRPr="000D7F0C">
        <w:rPr>
          <w:rFonts w:eastAsia="Cambria" w:cs="Arial"/>
          <w:color w:val="000000"/>
          <w:szCs w:val="20"/>
        </w:rPr>
        <w:br/>
      </w:r>
      <w:r w:rsidRPr="000D7F0C">
        <w:rPr>
          <w:rFonts w:eastAsia="Cambria" w:cs="Arial"/>
          <w:color w:val="FF0000"/>
          <w:szCs w:val="20"/>
        </w:rPr>
        <w:t>e) Compliance with the Regulation and any relevant legally binding decisions</w:t>
      </w:r>
    </w:p>
    <w:p w14:paraId="4C138B6B" w14:textId="77777777" w:rsidR="000D7F0C" w:rsidRPr="000D7F0C" w:rsidRDefault="000D7F0C" w:rsidP="000D7F0C">
      <w:pPr>
        <w:spacing w:before="0" w:after="0" w:line="240" w:lineRule="auto"/>
        <w:rPr>
          <w:rFonts w:eastAsia="Cambria" w:cs="Arial"/>
          <w:color w:val="FF0000"/>
          <w:szCs w:val="20"/>
        </w:rPr>
      </w:pPr>
      <w:r w:rsidRPr="000D7F0C">
        <w:rPr>
          <w:rFonts w:eastAsia="Cambria" w:cs="Arial"/>
          <w:color w:val="FF0000"/>
          <w:szCs w:val="20"/>
        </w:rPr>
        <w:t>of the European Commission and/or the Agency for the Co-operation of</w:t>
      </w:r>
    </w:p>
    <w:p w14:paraId="24D8587F" w14:textId="2A869179" w:rsidR="000D7F0C" w:rsidRPr="000D7F0C" w:rsidRDefault="004D75D5" w:rsidP="000D7F0C">
      <w:pPr>
        <w:spacing w:before="0" w:after="0" w:line="240" w:lineRule="auto"/>
        <w:rPr>
          <w:rFonts w:eastAsia="Cambria" w:cs="Arial"/>
          <w:color w:val="FF0000"/>
          <w:szCs w:val="20"/>
        </w:rPr>
      </w:pPr>
      <w:r>
        <w:rPr>
          <w:rFonts w:eastAsia="Cambria" w:cs="Arial"/>
          <w:color w:val="FF0000"/>
          <w:szCs w:val="20"/>
        </w:rPr>
        <w:t>Energy Regulators.</w:t>
      </w:r>
      <w:r>
        <w:rPr>
          <w:rFonts w:eastAsia="Cambria" w:cs="Arial"/>
          <w:color w:val="FF0000"/>
          <w:szCs w:val="20"/>
        </w:rPr>
        <w:tab/>
      </w:r>
      <w:r>
        <w:rPr>
          <w:rFonts w:eastAsia="Cambria" w:cs="Arial"/>
          <w:color w:val="FF0000"/>
          <w:szCs w:val="20"/>
        </w:rPr>
        <w:tab/>
      </w:r>
      <w:r>
        <w:rPr>
          <w:rFonts w:eastAsia="Cambria" w:cs="Arial"/>
          <w:color w:val="FF0000"/>
          <w:szCs w:val="20"/>
        </w:rPr>
        <w:tab/>
      </w:r>
      <w:r>
        <w:rPr>
          <w:rFonts w:eastAsia="Cambria" w:cs="Arial"/>
          <w:color w:val="FF0000"/>
          <w:szCs w:val="20"/>
        </w:rPr>
        <w:tab/>
      </w:r>
      <w:r>
        <w:rPr>
          <w:rFonts w:eastAsia="Cambria" w:cs="Arial"/>
          <w:color w:val="FF0000"/>
          <w:szCs w:val="20"/>
        </w:rPr>
        <w:tab/>
      </w:r>
      <w:r>
        <w:rPr>
          <w:rFonts w:eastAsia="Cambria" w:cs="Arial"/>
          <w:color w:val="FF0000"/>
          <w:szCs w:val="20"/>
        </w:rPr>
        <w:tab/>
      </w:r>
      <w:r>
        <w:rPr>
          <w:rFonts w:eastAsia="Cambria" w:cs="Arial"/>
          <w:color w:val="FF0000"/>
          <w:szCs w:val="20"/>
        </w:rPr>
        <w:tab/>
      </w:r>
      <w:r>
        <w:rPr>
          <w:rFonts w:eastAsia="Cambria" w:cs="Arial"/>
          <w:color w:val="FF0000"/>
          <w:szCs w:val="20"/>
        </w:rPr>
        <w:tab/>
      </w:r>
      <w:r w:rsidR="000D7F0C" w:rsidRPr="000D7F0C">
        <w:rPr>
          <w:rFonts w:eastAsia="Cambria" w:cs="Arial"/>
          <w:color w:val="FF0000"/>
          <w:szCs w:val="20"/>
        </w:rPr>
        <w:t>Positive</w:t>
      </w:r>
    </w:p>
    <w:p w14:paraId="1AC7C4B3" w14:textId="77777777" w:rsidR="000D7F0C" w:rsidRPr="000D7F0C" w:rsidRDefault="000D7F0C" w:rsidP="000D7F0C">
      <w:pPr>
        <w:spacing w:before="0" w:after="0" w:line="240" w:lineRule="auto"/>
        <w:rPr>
          <w:rFonts w:eastAsia="Cambria" w:cs="Arial"/>
          <w:color w:val="FF0000"/>
          <w:szCs w:val="20"/>
        </w:rPr>
      </w:pPr>
      <w:r w:rsidRPr="000D7F0C">
        <w:rPr>
          <w:rFonts w:eastAsia="Cambria" w:cs="Arial"/>
          <w:color w:val="FF0000"/>
          <w:szCs w:val="20"/>
        </w:rPr>
        <w:t> </w:t>
      </w:r>
    </w:p>
    <w:p w14:paraId="7CD1C238" w14:textId="640DD2F1" w:rsidR="000D7F0C" w:rsidRPr="000D7F0C" w:rsidRDefault="000D7F0C" w:rsidP="004D75D5">
      <w:pPr>
        <w:shd w:val="clear" w:color="auto" w:fill="FFFFFF"/>
        <w:spacing w:before="0" w:after="0" w:line="240" w:lineRule="auto"/>
        <w:textAlignment w:val="baseline"/>
        <w:rPr>
          <w:rFonts w:eastAsia="Cambria" w:cs="Arial"/>
          <w:color w:val="FF0000"/>
          <w:szCs w:val="20"/>
        </w:rPr>
      </w:pPr>
      <w:r w:rsidRPr="000D7F0C">
        <w:rPr>
          <w:rFonts w:eastAsia="Cambria" w:cs="Arial"/>
          <w:color w:val="FF0000"/>
          <w:szCs w:val="20"/>
        </w:rPr>
        <w:t xml:space="preserve">“The proposer of </w:t>
      </w:r>
      <w:r w:rsidR="004D75D5">
        <w:rPr>
          <w:rFonts w:eastAsia="Cambria" w:cs="Arial"/>
          <w:color w:val="FF0000"/>
          <w:szCs w:val="20"/>
        </w:rPr>
        <w:t xml:space="preserve">0621B </w:t>
      </w:r>
      <w:r w:rsidRPr="000D7F0C">
        <w:rPr>
          <w:rFonts w:eastAsia="Cambria" w:cs="Arial"/>
          <w:color w:val="FF0000"/>
          <w:szCs w:val="20"/>
        </w:rPr>
        <w:t>believes the modification is fully compliant with the</w:t>
      </w:r>
      <w:r w:rsidRPr="004D75D5">
        <w:rPr>
          <w:rFonts w:eastAsia="Cambria" w:cs="Arial"/>
          <w:color w:val="FF0000"/>
          <w:szCs w:val="20"/>
        </w:rPr>
        <w:t> </w:t>
      </w:r>
      <w:r w:rsidRPr="000D7F0C">
        <w:rPr>
          <w:rFonts w:eastAsia="Cambria" w:cs="Arial"/>
          <w:color w:val="FF0000"/>
          <w:szCs w:val="20"/>
        </w:rPr>
        <w:t>COMMISSION REGULATION (EU) 2017/460, of 16 March 2017, establishing a network code on harmonised transmission tariff structures for gas.</w:t>
      </w:r>
      <w:r w:rsidR="004D75D5">
        <w:rPr>
          <w:rFonts w:eastAsia="Cambria" w:cs="Arial"/>
          <w:color w:val="FF0000"/>
          <w:szCs w:val="20"/>
        </w:rPr>
        <w:t xml:space="preserve"> One area that may benefit from</w:t>
      </w:r>
      <w:r w:rsidRPr="000D7F0C">
        <w:rPr>
          <w:rFonts w:eastAsia="Cambria" w:cs="Arial"/>
          <w:color w:val="FF0000"/>
          <w:szCs w:val="20"/>
        </w:rPr>
        <w:t xml:space="preserve"> further clarification is Article 4(3), Transmission and non-transmission services and tariffs. The default position is that the transmission services revenue shall be recovered by capacity based tariffs but “as an exception” and subject to the approval of the national regulatory authority,</w:t>
      </w:r>
      <w:r w:rsidRPr="004D75D5">
        <w:rPr>
          <w:rFonts w:eastAsia="Cambria" w:cs="Arial"/>
          <w:color w:val="FF0000"/>
          <w:szCs w:val="20"/>
        </w:rPr>
        <w:t> </w:t>
      </w:r>
      <w:r w:rsidRPr="000D7F0C">
        <w:rPr>
          <w:rFonts w:eastAsia="Cambria" w:cs="Arial"/>
          <w:i/>
          <w:iCs/>
          <w:color w:val="FF0000"/>
          <w:szCs w:val="20"/>
        </w:rPr>
        <w:t>a part</w:t>
      </w:r>
      <w:r w:rsidRPr="004D75D5">
        <w:rPr>
          <w:rFonts w:eastAsia="Cambria" w:cs="Arial"/>
          <w:i/>
          <w:iCs/>
          <w:color w:val="FF0000"/>
          <w:szCs w:val="20"/>
        </w:rPr>
        <w:t> </w:t>
      </w:r>
      <w:r w:rsidRPr="000D7F0C">
        <w:rPr>
          <w:rFonts w:eastAsia="Cambria" w:cs="Arial"/>
          <w:color w:val="FF0000"/>
          <w:szCs w:val="20"/>
        </w:rPr>
        <w:t>of the transmission service may be recovered by (a) flow based charge; or (b) complementary revenue recovery charge (being identified as “commodity based transmission tariffs”) provided that they meet the requirements contained in Article 4(3)(b), summarised below:</w:t>
      </w:r>
    </w:p>
    <w:p w14:paraId="1614CB38" w14:textId="32EBFA0F" w:rsidR="000D7F0C" w:rsidRPr="000D7F0C" w:rsidRDefault="000D7F0C" w:rsidP="004D75D5">
      <w:pPr>
        <w:numPr>
          <w:ilvl w:val="0"/>
          <w:numId w:val="39"/>
        </w:numPr>
        <w:spacing w:before="0" w:after="0" w:line="240" w:lineRule="auto"/>
        <w:rPr>
          <w:rFonts w:cs="Arial"/>
          <w:color w:val="FF0000"/>
          <w:szCs w:val="20"/>
        </w:rPr>
      </w:pPr>
      <w:r w:rsidRPr="000D7F0C">
        <w:rPr>
          <w:rFonts w:cs="Arial"/>
          <w:color w:val="FF0000"/>
          <w:szCs w:val="20"/>
        </w:rPr>
        <w:t>the complementary r</w:t>
      </w:r>
      <w:r w:rsidR="004D75D5">
        <w:rPr>
          <w:rFonts w:cs="Arial"/>
          <w:color w:val="FF0000"/>
          <w:szCs w:val="20"/>
        </w:rPr>
        <w:t>evenue recovery charge shall be</w:t>
      </w:r>
      <w:r w:rsidRPr="000D7F0C">
        <w:rPr>
          <w:rFonts w:cs="Arial"/>
          <w:color w:val="FF0000"/>
          <w:szCs w:val="20"/>
        </w:rPr>
        <w:t>:</w:t>
      </w:r>
    </w:p>
    <w:p w14:paraId="36C4D3F9" w14:textId="77777777" w:rsidR="000D7F0C" w:rsidRPr="000D7F0C" w:rsidRDefault="000D7F0C" w:rsidP="004D75D5">
      <w:pPr>
        <w:spacing w:before="0" w:after="0" w:line="240" w:lineRule="auto"/>
        <w:ind w:left="1440" w:hanging="360"/>
        <w:rPr>
          <w:rFonts w:eastAsia="Cambria" w:cs="Arial"/>
          <w:color w:val="FF0000"/>
          <w:szCs w:val="20"/>
        </w:rPr>
      </w:pPr>
      <w:r w:rsidRPr="000D7F0C">
        <w:rPr>
          <w:rFonts w:eastAsia="Cambria" w:cs="Arial"/>
          <w:color w:val="FF0000"/>
          <w:szCs w:val="20"/>
        </w:rPr>
        <w:t>1.     </w:t>
      </w:r>
      <w:r w:rsidRPr="004D75D5">
        <w:rPr>
          <w:rFonts w:eastAsia="Cambria" w:cs="Arial"/>
          <w:color w:val="FF0000"/>
          <w:szCs w:val="20"/>
        </w:rPr>
        <w:t> </w:t>
      </w:r>
      <w:r w:rsidRPr="000D7F0C">
        <w:rPr>
          <w:rFonts w:eastAsia="Cambria" w:cs="Arial"/>
          <w:color w:val="FF0000"/>
          <w:szCs w:val="20"/>
        </w:rPr>
        <w:t>Levied for the purpose of managing revenue under recovery.</w:t>
      </w:r>
    </w:p>
    <w:p w14:paraId="3804CCE0" w14:textId="77777777" w:rsidR="000D7F0C" w:rsidRPr="000D7F0C" w:rsidRDefault="000D7F0C" w:rsidP="004D75D5">
      <w:pPr>
        <w:spacing w:before="0" w:after="0" w:line="240" w:lineRule="auto"/>
        <w:ind w:left="1440" w:hanging="360"/>
        <w:rPr>
          <w:rFonts w:eastAsia="Cambria" w:cs="Arial"/>
          <w:color w:val="FF0000"/>
          <w:szCs w:val="20"/>
        </w:rPr>
      </w:pPr>
      <w:r w:rsidRPr="000D7F0C">
        <w:rPr>
          <w:rFonts w:eastAsia="Cambria" w:cs="Arial"/>
          <w:color w:val="FF0000"/>
          <w:szCs w:val="20"/>
        </w:rPr>
        <w:t>2.     </w:t>
      </w:r>
      <w:r w:rsidRPr="004D75D5">
        <w:rPr>
          <w:rFonts w:eastAsia="Cambria" w:cs="Arial"/>
          <w:color w:val="FF0000"/>
          <w:szCs w:val="20"/>
        </w:rPr>
        <w:t> </w:t>
      </w:r>
      <w:r w:rsidRPr="000D7F0C">
        <w:rPr>
          <w:rFonts w:eastAsia="Cambria" w:cs="Arial"/>
          <w:color w:val="FF0000"/>
          <w:szCs w:val="20"/>
        </w:rPr>
        <w:t>Calculated on the basis of forecasted flows</w:t>
      </w:r>
    </w:p>
    <w:p w14:paraId="2B3489EA" w14:textId="77777777" w:rsidR="000D7F0C" w:rsidRPr="000D7F0C" w:rsidRDefault="000D7F0C" w:rsidP="004D75D5">
      <w:pPr>
        <w:spacing w:before="0" w:after="0" w:line="240" w:lineRule="auto"/>
        <w:ind w:left="1440" w:hanging="360"/>
        <w:rPr>
          <w:rFonts w:eastAsia="Cambria" w:cs="Arial"/>
          <w:color w:val="FF0000"/>
          <w:szCs w:val="20"/>
        </w:rPr>
      </w:pPr>
      <w:r w:rsidRPr="000D7F0C">
        <w:rPr>
          <w:rFonts w:eastAsia="Cambria" w:cs="Arial"/>
          <w:color w:val="FF0000"/>
          <w:szCs w:val="20"/>
        </w:rPr>
        <w:t>3.     </w:t>
      </w:r>
      <w:r w:rsidRPr="004D75D5">
        <w:rPr>
          <w:rFonts w:eastAsia="Cambria" w:cs="Arial"/>
          <w:color w:val="FF0000"/>
          <w:szCs w:val="20"/>
        </w:rPr>
        <w:t> </w:t>
      </w:r>
      <w:r w:rsidRPr="000D7F0C">
        <w:rPr>
          <w:rFonts w:eastAsia="Cambria" w:cs="Arial"/>
          <w:color w:val="FF0000"/>
          <w:szCs w:val="20"/>
        </w:rPr>
        <w:t>Applied to points other than IPs</w:t>
      </w:r>
    </w:p>
    <w:p w14:paraId="199B9600" w14:textId="77777777" w:rsidR="000D7F0C" w:rsidRPr="000D7F0C" w:rsidRDefault="000D7F0C" w:rsidP="004D75D5">
      <w:pPr>
        <w:spacing w:before="0" w:after="0" w:line="240" w:lineRule="auto"/>
        <w:ind w:left="1440" w:hanging="360"/>
        <w:rPr>
          <w:rFonts w:eastAsia="Cambria" w:cs="Arial"/>
          <w:color w:val="FF0000"/>
          <w:szCs w:val="20"/>
        </w:rPr>
      </w:pPr>
      <w:r w:rsidRPr="000D7F0C">
        <w:rPr>
          <w:rFonts w:eastAsia="Cambria" w:cs="Arial"/>
          <w:color w:val="FF0000"/>
          <w:szCs w:val="20"/>
        </w:rPr>
        <w:t>4.     </w:t>
      </w:r>
      <w:r w:rsidRPr="004D75D5">
        <w:rPr>
          <w:rFonts w:eastAsia="Cambria" w:cs="Arial"/>
          <w:color w:val="FF0000"/>
          <w:szCs w:val="20"/>
        </w:rPr>
        <w:t> </w:t>
      </w:r>
      <w:r w:rsidRPr="000D7F0C">
        <w:rPr>
          <w:rFonts w:eastAsia="Cambria" w:cs="Arial"/>
          <w:color w:val="FF0000"/>
          <w:szCs w:val="20"/>
        </w:rPr>
        <w:t>Applied after the NRA has made an assessment of cost -reflectivity and on cross -subsidisation between IPs and non-IPs.</w:t>
      </w:r>
    </w:p>
    <w:p w14:paraId="00D63620" w14:textId="77777777" w:rsidR="000D7F0C" w:rsidRPr="000D7F0C" w:rsidRDefault="000D7F0C" w:rsidP="004D75D5">
      <w:pPr>
        <w:spacing w:before="0" w:after="0" w:line="240" w:lineRule="auto"/>
        <w:rPr>
          <w:rFonts w:eastAsia="Cambria" w:cs="Arial"/>
          <w:color w:val="FF0000"/>
          <w:szCs w:val="20"/>
        </w:rPr>
      </w:pPr>
      <w:r w:rsidRPr="000D7F0C">
        <w:rPr>
          <w:rFonts w:eastAsia="Cambria" w:cs="Arial"/>
          <w:color w:val="FF0000"/>
          <w:szCs w:val="20"/>
        </w:rPr>
        <w:t> </w:t>
      </w:r>
    </w:p>
    <w:p w14:paraId="34E71EFA" w14:textId="21E4E812" w:rsidR="000D7F0C" w:rsidRPr="000D7F0C" w:rsidRDefault="000D7F0C" w:rsidP="004D75D5">
      <w:pPr>
        <w:numPr>
          <w:ilvl w:val="0"/>
          <w:numId w:val="40"/>
        </w:numPr>
        <w:spacing w:before="0" w:after="0" w:line="240" w:lineRule="auto"/>
        <w:rPr>
          <w:rFonts w:cs="Arial"/>
          <w:color w:val="FF0000"/>
          <w:szCs w:val="20"/>
        </w:rPr>
      </w:pPr>
      <w:r w:rsidRPr="000D7F0C">
        <w:rPr>
          <w:rFonts w:cs="Arial"/>
          <w:color w:val="FF0000"/>
          <w:szCs w:val="20"/>
        </w:rPr>
        <w:t xml:space="preserve">To the extent that use of such commodity based transmission tariff is approved there is no time period for which this must apply – i.e. there is nothing that would prohibit long term use of a commodity based transmission tariff and make the </w:t>
      </w:r>
      <w:r w:rsidR="004D75D5">
        <w:rPr>
          <w:rFonts w:cs="Arial"/>
          <w:color w:val="FF0000"/>
          <w:szCs w:val="20"/>
        </w:rPr>
        <w:t>0</w:t>
      </w:r>
      <w:r w:rsidRPr="000D7F0C">
        <w:rPr>
          <w:rFonts w:cs="Arial"/>
          <w:color w:val="FF0000"/>
          <w:szCs w:val="20"/>
        </w:rPr>
        <w:t>621 proposal more favourable/compliant with the Regulations;</w:t>
      </w:r>
    </w:p>
    <w:p w14:paraId="219C1CE3" w14:textId="65A7B89D" w:rsidR="000D7F0C" w:rsidRDefault="000D7F0C" w:rsidP="004D75D5">
      <w:pPr>
        <w:numPr>
          <w:ilvl w:val="0"/>
          <w:numId w:val="40"/>
        </w:numPr>
        <w:spacing w:before="0" w:after="0" w:line="240" w:lineRule="auto"/>
        <w:rPr>
          <w:rFonts w:cs="Arial"/>
          <w:color w:val="FF0000"/>
          <w:szCs w:val="20"/>
        </w:rPr>
      </w:pPr>
      <w:r w:rsidRPr="000D7F0C">
        <w:rPr>
          <w:rFonts w:cs="Arial"/>
          <w:color w:val="FF0000"/>
          <w:szCs w:val="20"/>
        </w:rPr>
        <w:t>There is a reference to the application of a commodity based transmission tariff being potentially permitted for a</w:t>
      </w:r>
      <w:r w:rsidRPr="004D75D5">
        <w:rPr>
          <w:rFonts w:cs="Arial"/>
          <w:color w:val="FF0000"/>
          <w:szCs w:val="20"/>
        </w:rPr>
        <w:t> </w:t>
      </w:r>
      <w:r w:rsidRPr="000D7F0C">
        <w:rPr>
          <w:rFonts w:cs="Arial"/>
          <w:i/>
          <w:iCs/>
          <w:color w:val="FF0000"/>
          <w:szCs w:val="20"/>
        </w:rPr>
        <w:t>part</w:t>
      </w:r>
      <w:r w:rsidRPr="004D75D5">
        <w:rPr>
          <w:rFonts w:cs="Arial"/>
          <w:i/>
          <w:iCs/>
          <w:color w:val="FF0000"/>
          <w:szCs w:val="20"/>
        </w:rPr>
        <w:t> </w:t>
      </w:r>
      <w:r w:rsidRPr="000D7F0C">
        <w:rPr>
          <w:rFonts w:cs="Arial"/>
          <w:color w:val="FF0000"/>
          <w:szCs w:val="20"/>
        </w:rPr>
        <w:t xml:space="preserve">of the transmission services.  Whilst this is a matter of interpretation (“part” could mean the entire part for example) this suggests that a commodity based transmission tariff would be used together with a capacity based transmission tariff, as is the intention of </w:t>
      </w:r>
      <w:r w:rsidR="004D75D5">
        <w:rPr>
          <w:rFonts w:cs="Arial"/>
          <w:color w:val="FF0000"/>
          <w:szCs w:val="20"/>
        </w:rPr>
        <w:t>0</w:t>
      </w:r>
      <w:r w:rsidRPr="000D7F0C">
        <w:rPr>
          <w:rFonts w:cs="Arial"/>
          <w:color w:val="FF0000"/>
          <w:szCs w:val="20"/>
        </w:rPr>
        <w:t>621B.”</w:t>
      </w:r>
    </w:p>
    <w:p w14:paraId="62DA83B8" w14:textId="77777777" w:rsidR="00BC76DA" w:rsidRDefault="00BC76DA" w:rsidP="00BC76DA">
      <w:pPr>
        <w:ind w:left="360"/>
      </w:pPr>
    </w:p>
    <w:p w14:paraId="73FC0AA6" w14:textId="77777777" w:rsidR="00BC76DA" w:rsidRDefault="00BC76DA" w:rsidP="00BC76DA">
      <w:pPr>
        <w:ind w:left="360"/>
      </w:pPr>
    </w:p>
    <w:p w14:paraId="4F321337" w14:textId="10C48099" w:rsidR="0001704C" w:rsidRDefault="00BC76DA" w:rsidP="00BC76DA">
      <w:pPr>
        <w:ind w:left="360"/>
      </w:pPr>
      <w:r>
        <w:t>For 0621F; P Dhesi</w:t>
      </w:r>
    </w:p>
    <w:p w14:paraId="124CD00D" w14:textId="77777777" w:rsidR="00BC76DA" w:rsidRPr="00EC0643" w:rsidRDefault="00BC76DA" w:rsidP="00BC76DA">
      <w:pPr>
        <w:rPr>
          <w:rFonts w:asciiTheme="minorHAnsi" w:hAnsiTheme="minorHAnsi" w:cstheme="minorHAnsi"/>
          <w:b/>
          <w:color w:val="FF0000"/>
          <w:sz w:val="24"/>
        </w:rPr>
      </w:pPr>
      <w:r w:rsidRPr="00EC0643">
        <w:rPr>
          <w:rFonts w:asciiTheme="minorHAnsi" w:hAnsiTheme="minorHAnsi" w:cstheme="minorHAnsi"/>
          <w:b/>
          <w:color w:val="FF0000"/>
          <w:sz w:val="24"/>
        </w:rPr>
        <w:t>Positive impact on the relevant objectives and relevant charging objectives</w:t>
      </w:r>
    </w:p>
    <w:p w14:paraId="27D6421D" w14:textId="77777777" w:rsidR="00BC76DA" w:rsidRPr="00EC0643" w:rsidRDefault="00BC76DA" w:rsidP="00BC76DA">
      <w:pPr>
        <w:ind w:firstLine="720"/>
        <w:rPr>
          <w:rFonts w:asciiTheme="minorHAnsi" w:hAnsiTheme="minorHAnsi" w:cstheme="minorHAnsi"/>
          <w:color w:val="FF0000"/>
          <w:sz w:val="22"/>
          <w:szCs w:val="22"/>
        </w:rPr>
      </w:pPr>
      <w:r w:rsidRPr="00EC0643">
        <w:rPr>
          <w:rFonts w:asciiTheme="minorHAnsi" w:hAnsiTheme="minorHAnsi" w:cstheme="minorHAnsi"/>
          <w:color w:val="FF0000"/>
          <w:sz w:val="22"/>
          <w:szCs w:val="22"/>
        </w:rPr>
        <w:t>Relevant objectives</w:t>
      </w:r>
    </w:p>
    <w:tbl>
      <w:tblPr>
        <w:tblStyle w:val="TableGrid"/>
        <w:tblW w:w="0" w:type="auto"/>
        <w:tblLook w:val="04A0" w:firstRow="1" w:lastRow="0" w:firstColumn="1" w:lastColumn="0" w:noHBand="0" w:noVBand="1"/>
      </w:tblPr>
      <w:tblGrid>
        <w:gridCol w:w="9016"/>
      </w:tblGrid>
      <w:tr w:rsidR="00EC0643" w:rsidRPr="00EC0643" w14:paraId="1422F2D7" w14:textId="77777777" w:rsidTr="00853616">
        <w:tc>
          <w:tcPr>
            <w:tcW w:w="9016" w:type="dxa"/>
          </w:tcPr>
          <w:p w14:paraId="61B31FA2" w14:textId="77777777" w:rsidR="00BC76DA" w:rsidRPr="00EC0643" w:rsidRDefault="00BC76DA" w:rsidP="00853616">
            <w:pPr>
              <w:rPr>
                <w:rFonts w:asciiTheme="minorHAnsi" w:hAnsiTheme="minorHAnsi" w:cstheme="minorHAnsi"/>
                <w:color w:val="FF0000"/>
                <w:sz w:val="22"/>
                <w:szCs w:val="22"/>
                <w:u w:val="single"/>
              </w:rPr>
            </w:pPr>
            <w:r w:rsidRPr="00EC0643">
              <w:rPr>
                <w:rFonts w:asciiTheme="minorHAnsi" w:hAnsiTheme="minorHAnsi" w:cstheme="minorHAnsi"/>
                <w:color w:val="FF0000"/>
                <w:sz w:val="22"/>
                <w:szCs w:val="22"/>
              </w:rPr>
              <w:t xml:space="preserve">c) </w:t>
            </w:r>
            <w:r w:rsidRPr="00EC0643">
              <w:rPr>
                <w:rFonts w:asciiTheme="minorHAnsi" w:hAnsiTheme="minorHAnsi" w:cstheme="minorHAnsi"/>
                <w:color w:val="FF0000"/>
                <w:sz w:val="22"/>
                <w:szCs w:val="22"/>
                <w:u w:val="single"/>
              </w:rPr>
              <w:t xml:space="preserve">Efficient discharge of the licensee's obligations: </w:t>
            </w:r>
          </w:p>
          <w:p w14:paraId="2FD18689" w14:textId="7F966F95" w:rsidR="00BC76DA" w:rsidRPr="00EC0643" w:rsidRDefault="00BC76DA" w:rsidP="00853616">
            <w:pPr>
              <w:rPr>
                <w:rFonts w:asciiTheme="minorHAnsi" w:hAnsiTheme="minorHAnsi" w:cstheme="minorHAnsi"/>
                <w:color w:val="FF0000"/>
                <w:sz w:val="22"/>
                <w:szCs w:val="22"/>
                <w:u w:val="single"/>
              </w:rPr>
            </w:pPr>
            <w:r w:rsidRPr="00EC0643">
              <w:rPr>
                <w:rFonts w:asciiTheme="minorHAnsi" w:hAnsiTheme="minorHAnsi" w:cstheme="minorHAnsi"/>
                <w:color w:val="FF0000"/>
                <w:sz w:val="22"/>
                <w:szCs w:val="22"/>
              </w:rPr>
              <w:lastRenderedPageBreak/>
              <w:t>Standard Special Condition A5(5) of the NTS Licence sets outs the relevant methodology objectives and Interconnector UK believes that these objectives are better facilitated for the reasons detailed below.</w:t>
            </w:r>
          </w:p>
        </w:tc>
      </w:tr>
      <w:tr w:rsidR="00EC0643" w:rsidRPr="00EC0643" w14:paraId="1C78C35E" w14:textId="77777777" w:rsidTr="00853616">
        <w:tc>
          <w:tcPr>
            <w:tcW w:w="9016" w:type="dxa"/>
          </w:tcPr>
          <w:p w14:paraId="1BCAD702" w14:textId="77777777" w:rsidR="00BC76DA" w:rsidRPr="00EC0643" w:rsidRDefault="00BC76DA" w:rsidP="00853616">
            <w:pPr>
              <w:jc w:val="both"/>
              <w:rPr>
                <w:rFonts w:asciiTheme="minorHAnsi" w:hAnsiTheme="minorHAnsi" w:cstheme="minorHAnsi"/>
                <w:color w:val="FF0000"/>
                <w:sz w:val="22"/>
                <w:szCs w:val="22"/>
              </w:rPr>
            </w:pPr>
            <w:r w:rsidRPr="00EC0643">
              <w:rPr>
                <w:rFonts w:asciiTheme="minorHAnsi" w:hAnsiTheme="minorHAnsi" w:cstheme="minorHAnsi"/>
                <w:color w:val="FF0000"/>
                <w:sz w:val="22"/>
                <w:szCs w:val="22"/>
              </w:rPr>
              <w:lastRenderedPageBreak/>
              <w:t xml:space="preserve">d) </w:t>
            </w:r>
            <w:r w:rsidRPr="00EC0643">
              <w:rPr>
                <w:rFonts w:asciiTheme="minorHAnsi" w:hAnsiTheme="minorHAnsi" w:cstheme="minorHAnsi"/>
                <w:color w:val="FF0000"/>
                <w:sz w:val="22"/>
                <w:szCs w:val="22"/>
                <w:u w:val="single"/>
              </w:rPr>
              <w:t>Securing of effective competition</w:t>
            </w:r>
            <w:r w:rsidRPr="00EC0643">
              <w:rPr>
                <w:rFonts w:asciiTheme="minorHAnsi" w:hAnsiTheme="minorHAnsi" w:cstheme="minorHAnsi"/>
                <w:color w:val="FF0000"/>
                <w:sz w:val="22"/>
                <w:szCs w:val="22"/>
              </w:rPr>
              <w:t xml:space="preserve">: </w:t>
            </w:r>
          </w:p>
          <w:p w14:paraId="4FA72458" w14:textId="77777777" w:rsidR="00BC76DA" w:rsidRPr="00EC0643" w:rsidRDefault="00BC76DA" w:rsidP="00853616">
            <w:pPr>
              <w:jc w:val="both"/>
              <w:rPr>
                <w:rFonts w:asciiTheme="minorHAnsi" w:hAnsiTheme="minorHAnsi" w:cstheme="minorHAnsi"/>
                <w:color w:val="FF0000"/>
                <w:sz w:val="22"/>
                <w:szCs w:val="22"/>
              </w:rPr>
            </w:pPr>
            <w:r w:rsidRPr="00EC0643">
              <w:rPr>
                <w:rFonts w:asciiTheme="minorHAnsi" w:hAnsiTheme="minorHAnsi" w:cstheme="minorHAnsi"/>
                <w:color w:val="FF0000"/>
                <w:sz w:val="22"/>
                <w:szCs w:val="22"/>
              </w:rPr>
              <w:t xml:space="preserve">Effective competition will be enhanced through the equal charging treatment of storage and physically bi-directional interconnection points. It will remove a market distortion for shippers using continental storage via the interconnectors to meet GB’s seasonal flexibility.  It will create more of a level playing field for different sources of seasonal flexibility available to shippers, and ultimately to GB consumers.  It increases the choice of shippers when procuring seasonal flexibility -  they can consider Continental Storage accessed via physically bi-directional IPs or GB-located storage, without the distortion of differential National Grid charges.   </w:t>
            </w:r>
          </w:p>
          <w:p w14:paraId="5A2A1BC9" w14:textId="77777777" w:rsidR="00BC76DA" w:rsidRPr="00EC0643" w:rsidRDefault="00BC76DA" w:rsidP="00853616">
            <w:pPr>
              <w:jc w:val="both"/>
              <w:rPr>
                <w:rFonts w:asciiTheme="minorHAnsi" w:hAnsiTheme="minorHAnsi" w:cstheme="minorHAnsi"/>
                <w:color w:val="FF0000"/>
                <w:sz w:val="22"/>
                <w:szCs w:val="22"/>
              </w:rPr>
            </w:pPr>
            <w:r w:rsidRPr="00EC0643">
              <w:rPr>
                <w:rFonts w:asciiTheme="minorHAnsi" w:hAnsiTheme="minorHAnsi" w:cstheme="minorHAnsi"/>
                <w:color w:val="FF0000"/>
                <w:sz w:val="22"/>
                <w:szCs w:val="22"/>
              </w:rPr>
              <w:t>This is particularly relevant to the GB market and GB consumers following the closure of the Rough storage facility.  It is widely recognised that the GB market now has a relatively low level of seasonal storage within national boundaries. Improved access to Continental Storage, on a levelized and competitive charging basis, would be a step in the right direction to meet the market’s current structural needs.</w:t>
            </w:r>
          </w:p>
        </w:tc>
      </w:tr>
      <w:tr w:rsidR="00EC0643" w:rsidRPr="00EC0643" w14:paraId="577F0FD9" w14:textId="77777777" w:rsidTr="00853616">
        <w:tc>
          <w:tcPr>
            <w:tcW w:w="9016" w:type="dxa"/>
          </w:tcPr>
          <w:p w14:paraId="5FEB9C5A" w14:textId="77777777" w:rsidR="00BC76DA" w:rsidRPr="00EC0643" w:rsidRDefault="00BC76DA" w:rsidP="00853616">
            <w:pPr>
              <w:jc w:val="both"/>
              <w:rPr>
                <w:rFonts w:asciiTheme="minorHAnsi" w:hAnsiTheme="minorHAnsi" w:cstheme="minorHAnsi"/>
                <w:color w:val="FF0000"/>
                <w:sz w:val="22"/>
                <w:szCs w:val="22"/>
              </w:rPr>
            </w:pPr>
            <w:r w:rsidRPr="00EC0643">
              <w:rPr>
                <w:rFonts w:asciiTheme="minorHAnsi" w:hAnsiTheme="minorHAnsi" w:cstheme="minorHAnsi"/>
                <w:color w:val="FF0000"/>
                <w:sz w:val="22"/>
                <w:szCs w:val="22"/>
              </w:rPr>
              <w:t xml:space="preserve">g) </w:t>
            </w:r>
            <w:r w:rsidRPr="00EC0643">
              <w:rPr>
                <w:rFonts w:asciiTheme="minorHAnsi" w:hAnsiTheme="minorHAnsi" w:cstheme="minorHAnsi"/>
                <w:color w:val="FF0000"/>
                <w:sz w:val="22"/>
                <w:szCs w:val="22"/>
                <w:u w:val="single"/>
              </w:rPr>
              <w:t>Compliance with the Regulation</w:t>
            </w:r>
            <w:r w:rsidRPr="00EC0643">
              <w:rPr>
                <w:rFonts w:asciiTheme="minorHAnsi" w:hAnsiTheme="minorHAnsi" w:cstheme="minorHAnsi"/>
                <w:color w:val="FF0000"/>
                <w:sz w:val="22"/>
                <w:szCs w:val="22"/>
              </w:rPr>
              <w:t xml:space="preserve">: </w:t>
            </w:r>
          </w:p>
          <w:p w14:paraId="6CDA132A" w14:textId="5C83A721" w:rsidR="00BC76DA" w:rsidRPr="00EC0643" w:rsidRDefault="00BC76DA" w:rsidP="00853616">
            <w:pPr>
              <w:jc w:val="both"/>
              <w:rPr>
                <w:rFonts w:asciiTheme="minorHAnsi" w:hAnsiTheme="minorHAnsi" w:cstheme="minorHAnsi"/>
                <w:color w:val="FF0000"/>
                <w:sz w:val="22"/>
                <w:szCs w:val="22"/>
              </w:rPr>
            </w:pPr>
            <w:r w:rsidRPr="00EC0643">
              <w:rPr>
                <w:rFonts w:asciiTheme="minorHAnsi" w:hAnsiTheme="minorHAnsi" w:cstheme="minorHAnsi"/>
                <w:color w:val="FF0000"/>
                <w:sz w:val="22"/>
                <w:szCs w:val="22"/>
              </w:rPr>
              <w:t xml:space="preserve">Key objectives of the EU’s third energy package are to facilitate efficient gas trade and competition across borders. Given that physically bi-directional IPs compete with GB storage and that the unequal treatment distorts cross border trade, the Modification 0621F solution is necessary to ensure GB compliance with: </w:t>
            </w:r>
          </w:p>
          <w:p w14:paraId="051E36BC" w14:textId="77777777" w:rsidR="00BC76DA" w:rsidRPr="00EC0643" w:rsidRDefault="00BC76DA" w:rsidP="00BC76DA">
            <w:pPr>
              <w:pStyle w:val="ListParagraph"/>
              <w:numPr>
                <w:ilvl w:val="0"/>
                <w:numId w:val="42"/>
              </w:numPr>
              <w:jc w:val="both"/>
              <w:rPr>
                <w:rFonts w:asciiTheme="minorHAnsi" w:hAnsiTheme="minorHAnsi" w:cstheme="minorHAnsi"/>
                <w:color w:val="FF0000"/>
                <w:sz w:val="22"/>
                <w:szCs w:val="22"/>
              </w:rPr>
            </w:pPr>
            <w:r w:rsidRPr="00EC0643">
              <w:rPr>
                <w:rFonts w:asciiTheme="minorHAnsi" w:hAnsiTheme="minorHAnsi" w:cstheme="minorHAnsi"/>
                <w:color w:val="FF0000"/>
                <w:sz w:val="22"/>
                <w:szCs w:val="22"/>
              </w:rPr>
              <w:t>Tariffs for access to networks under Regulation (EC) No 715/2009:</w:t>
            </w:r>
          </w:p>
          <w:p w14:paraId="7326832A" w14:textId="77777777" w:rsidR="00BC76DA" w:rsidRPr="00EC0643" w:rsidRDefault="00BC76DA" w:rsidP="00853616">
            <w:pPr>
              <w:ind w:left="720"/>
              <w:jc w:val="both"/>
              <w:rPr>
                <w:rFonts w:asciiTheme="minorHAnsi" w:hAnsiTheme="minorHAnsi" w:cstheme="minorHAnsi"/>
                <w:color w:val="FF0000"/>
                <w:sz w:val="22"/>
                <w:szCs w:val="22"/>
              </w:rPr>
            </w:pPr>
            <w:r w:rsidRPr="00EC0643">
              <w:rPr>
                <w:rFonts w:asciiTheme="minorHAnsi" w:hAnsiTheme="minorHAnsi" w:cstheme="minorHAnsi"/>
                <w:color w:val="FF0000"/>
                <w:sz w:val="22"/>
                <w:szCs w:val="22"/>
              </w:rPr>
              <w:t xml:space="preserve">Article 13.1 of </w:t>
            </w:r>
            <w:r w:rsidRPr="00EC0643">
              <w:rPr>
                <w:rFonts w:asciiTheme="minorHAnsi" w:hAnsiTheme="minorHAnsi" w:cstheme="minorHAnsi"/>
                <w:i/>
                <w:color w:val="FF0000"/>
                <w:sz w:val="22"/>
                <w:szCs w:val="22"/>
              </w:rPr>
              <w:t>Tariffs for access to networks</w:t>
            </w:r>
            <w:r w:rsidRPr="00EC0643">
              <w:rPr>
                <w:rFonts w:asciiTheme="minorHAnsi" w:hAnsiTheme="minorHAnsi" w:cstheme="minorHAnsi"/>
                <w:color w:val="FF0000"/>
                <w:sz w:val="22"/>
                <w:szCs w:val="22"/>
              </w:rPr>
              <w:t xml:space="preserve"> in Regulation (EC) 715/2009 which says </w:t>
            </w:r>
            <w:r w:rsidRPr="00EC0643">
              <w:rPr>
                <w:rFonts w:asciiTheme="minorHAnsi" w:hAnsiTheme="minorHAnsi" w:cstheme="minorHAnsi"/>
                <w:i/>
                <w:color w:val="FF0000"/>
                <w:sz w:val="22"/>
                <w:szCs w:val="22"/>
              </w:rPr>
              <w:t>“Tariffs, or the methodologies used to calculate them, shall be applied in a non-discriminatory manner.”</w:t>
            </w:r>
            <w:r w:rsidRPr="00EC0643">
              <w:rPr>
                <w:rFonts w:asciiTheme="minorHAnsi" w:hAnsiTheme="minorHAnsi" w:cstheme="minorHAnsi"/>
                <w:color w:val="FF0000"/>
                <w:sz w:val="22"/>
                <w:szCs w:val="22"/>
              </w:rPr>
              <w:t xml:space="preserve"> And  </w:t>
            </w:r>
            <w:r w:rsidRPr="00EC0643">
              <w:rPr>
                <w:rFonts w:asciiTheme="minorHAnsi" w:hAnsiTheme="minorHAnsi" w:cstheme="minorHAnsi"/>
                <w:i/>
                <w:color w:val="FF0000"/>
                <w:sz w:val="22"/>
                <w:szCs w:val="22"/>
              </w:rPr>
              <w:t>“Tariffs, or the methodologies used to calculate them shall facilitate efficient gas trade and competition”</w:t>
            </w:r>
            <w:r w:rsidRPr="00EC0643">
              <w:rPr>
                <w:rFonts w:asciiTheme="minorHAnsi" w:hAnsiTheme="minorHAnsi" w:cstheme="minorHAnsi"/>
                <w:color w:val="FF0000"/>
                <w:sz w:val="22"/>
                <w:szCs w:val="22"/>
              </w:rPr>
              <w:t xml:space="preserve"> </w:t>
            </w:r>
          </w:p>
          <w:p w14:paraId="2782DD4B" w14:textId="77777777" w:rsidR="00BC76DA" w:rsidRPr="00EC0643" w:rsidRDefault="00BC76DA" w:rsidP="00853616">
            <w:pPr>
              <w:ind w:left="720"/>
              <w:jc w:val="both"/>
              <w:rPr>
                <w:rFonts w:asciiTheme="minorHAnsi" w:hAnsiTheme="minorHAnsi" w:cstheme="minorHAnsi"/>
                <w:i/>
                <w:color w:val="FF0000"/>
                <w:sz w:val="22"/>
                <w:szCs w:val="22"/>
              </w:rPr>
            </w:pPr>
            <w:r w:rsidRPr="00EC0643">
              <w:rPr>
                <w:rFonts w:asciiTheme="minorHAnsi" w:hAnsiTheme="minorHAnsi" w:cstheme="minorHAnsi"/>
                <w:color w:val="FF0000"/>
                <w:sz w:val="22"/>
                <w:szCs w:val="22"/>
              </w:rPr>
              <w:t xml:space="preserve">And 13.2 which requires </w:t>
            </w:r>
            <w:r w:rsidRPr="00EC0643">
              <w:rPr>
                <w:rFonts w:asciiTheme="minorHAnsi" w:hAnsiTheme="minorHAnsi" w:cstheme="minorHAnsi"/>
                <w:i/>
                <w:color w:val="FF0000"/>
                <w:sz w:val="22"/>
                <w:szCs w:val="22"/>
              </w:rPr>
              <w:t>”Tariffs for network access shall neither restrict market liquidity nor distort trade across borders of different transmission systems”</w:t>
            </w:r>
          </w:p>
          <w:p w14:paraId="6270439C" w14:textId="77777777" w:rsidR="00BC76DA" w:rsidRPr="00EC0643" w:rsidRDefault="00BC76DA" w:rsidP="00BC76DA">
            <w:pPr>
              <w:pStyle w:val="ListParagraph"/>
              <w:numPr>
                <w:ilvl w:val="0"/>
                <w:numId w:val="42"/>
              </w:numPr>
              <w:jc w:val="both"/>
              <w:rPr>
                <w:rFonts w:asciiTheme="minorHAnsi" w:hAnsiTheme="minorHAnsi" w:cstheme="minorHAnsi"/>
                <w:i/>
                <w:color w:val="FF0000"/>
                <w:sz w:val="22"/>
                <w:szCs w:val="22"/>
              </w:rPr>
            </w:pPr>
            <w:r w:rsidRPr="00EC0643">
              <w:rPr>
                <w:rFonts w:asciiTheme="minorHAnsi" w:hAnsiTheme="minorHAnsi" w:cstheme="minorHAnsi"/>
                <w:color w:val="FF0000"/>
                <w:sz w:val="22"/>
                <w:szCs w:val="22"/>
              </w:rPr>
              <w:t>Reference price methodology application under Article 6 of Commission Regulation (EU) 2017/460</w:t>
            </w:r>
          </w:p>
          <w:p w14:paraId="07DEAED0" w14:textId="77777777" w:rsidR="00BC76DA" w:rsidRPr="00EC0643" w:rsidRDefault="00BC76DA" w:rsidP="00853616">
            <w:pPr>
              <w:pStyle w:val="ListParagraph"/>
              <w:jc w:val="both"/>
              <w:rPr>
                <w:rFonts w:asciiTheme="minorHAnsi" w:hAnsiTheme="minorHAnsi" w:cstheme="minorHAnsi"/>
                <w:color w:val="FF0000"/>
                <w:sz w:val="22"/>
                <w:szCs w:val="22"/>
              </w:rPr>
            </w:pPr>
          </w:p>
          <w:p w14:paraId="04E50DB3" w14:textId="77777777" w:rsidR="00BC76DA" w:rsidRPr="00EC0643" w:rsidRDefault="00BC76DA" w:rsidP="00853616">
            <w:pPr>
              <w:pStyle w:val="ListParagraph"/>
              <w:jc w:val="both"/>
              <w:rPr>
                <w:rFonts w:asciiTheme="minorHAnsi" w:hAnsiTheme="minorHAnsi" w:cstheme="minorHAnsi"/>
                <w:color w:val="FF0000"/>
                <w:sz w:val="22"/>
                <w:szCs w:val="22"/>
              </w:rPr>
            </w:pPr>
            <w:r w:rsidRPr="00EC0643">
              <w:rPr>
                <w:rFonts w:asciiTheme="minorHAnsi" w:hAnsiTheme="minorHAnsi" w:cstheme="minorHAnsi"/>
                <w:color w:val="FF0000"/>
                <w:sz w:val="22"/>
                <w:szCs w:val="22"/>
              </w:rPr>
              <w:t>Under Article 7(e), TSOs must ensure that the reference prices do not distort cross-border trade.</w:t>
            </w:r>
          </w:p>
          <w:p w14:paraId="624B3EFA" w14:textId="77777777" w:rsidR="00BC76DA" w:rsidRPr="00EC0643" w:rsidRDefault="00BC76DA" w:rsidP="00853616">
            <w:pPr>
              <w:pStyle w:val="BoardPaperHeading2"/>
              <w:jc w:val="both"/>
              <w:rPr>
                <w:rFonts w:asciiTheme="minorHAnsi" w:hAnsiTheme="minorHAnsi" w:cstheme="minorHAnsi"/>
                <w:b w:val="0"/>
                <w:color w:val="FF0000"/>
              </w:rPr>
            </w:pPr>
            <w:r w:rsidRPr="00EC0643">
              <w:rPr>
                <w:rFonts w:asciiTheme="minorHAnsi" w:eastAsia="Times New Roman" w:hAnsiTheme="minorHAnsi" w:cstheme="minorHAnsi"/>
                <w:b w:val="0"/>
                <w:color w:val="FF0000"/>
              </w:rPr>
              <w:t xml:space="preserve">It should be noted that a discount for physically bi-directional IPs is entirely consistent with the TAR code given TSOs can make adjustments to the application of the reference price methodology in accordance with Article 6.4 or Article 9. </w:t>
            </w:r>
            <w:r w:rsidRPr="00EC0643">
              <w:rPr>
                <w:rFonts w:asciiTheme="minorHAnsi" w:hAnsiTheme="minorHAnsi" w:cstheme="minorHAnsi"/>
                <w:b w:val="0"/>
                <w:color w:val="FF0000"/>
              </w:rPr>
              <w:t xml:space="preserve"> </w:t>
            </w:r>
          </w:p>
          <w:p w14:paraId="7BBBEA70" w14:textId="77777777" w:rsidR="00BC76DA" w:rsidRPr="00EC0643" w:rsidRDefault="00BC76DA" w:rsidP="00853616">
            <w:pPr>
              <w:jc w:val="both"/>
              <w:rPr>
                <w:rFonts w:asciiTheme="minorHAnsi" w:hAnsiTheme="minorHAnsi" w:cstheme="minorHAnsi"/>
                <w:color w:val="FF0000"/>
                <w:sz w:val="22"/>
                <w:szCs w:val="22"/>
              </w:rPr>
            </w:pPr>
            <w:r w:rsidRPr="00EC0643">
              <w:rPr>
                <w:rFonts w:asciiTheme="minorHAnsi" w:hAnsiTheme="minorHAnsi" w:cstheme="minorHAnsi"/>
                <w:color w:val="FF0000"/>
                <w:sz w:val="22"/>
                <w:szCs w:val="22"/>
              </w:rPr>
              <w:t xml:space="preserve">Under Article 6.4(a), TSOs can make adjustments to reference prices at any given entry or exit point to meet the competitive level of the reference price. </w:t>
            </w:r>
          </w:p>
          <w:p w14:paraId="731DC0EC" w14:textId="77777777" w:rsidR="00BC76DA" w:rsidRPr="00EC0643" w:rsidRDefault="00BC76DA" w:rsidP="00853616">
            <w:pPr>
              <w:rPr>
                <w:rFonts w:asciiTheme="minorHAnsi" w:hAnsiTheme="minorHAnsi" w:cstheme="minorHAnsi"/>
                <w:color w:val="FF0000"/>
                <w:sz w:val="22"/>
                <w:szCs w:val="22"/>
              </w:rPr>
            </w:pPr>
          </w:p>
        </w:tc>
      </w:tr>
    </w:tbl>
    <w:p w14:paraId="408FEA3F" w14:textId="77777777" w:rsidR="00BC76DA" w:rsidRPr="00EC0643" w:rsidRDefault="00BC76DA" w:rsidP="00BC76DA">
      <w:pPr>
        <w:rPr>
          <w:rFonts w:asciiTheme="minorHAnsi" w:hAnsiTheme="minorHAnsi" w:cstheme="minorHAnsi"/>
          <w:color w:val="FF0000"/>
          <w:sz w:val="22"/>
          <w:szCs w:val="22"/>
        </w:rPr>
      </w:pPr>
    </w:p>
    <w:p w14:paraId="6C1A5ABC" w14:textId="77777777" w:rsidR="00BC76DA" w:rsidRPr="00EC0643" w:rsidRDefault="00BC76DA" w:rsidP="00BC76DA">
      <w:pPr>
        <w:ind w:firstLine="720"/>
        <w:rPr>
          <w:rFonts w:asciiTheme="minorHAnsi" w:hAnsiTheme="minorHAnsi" w:cstheme="minorHAnsi"/>
          <w:color w:val="FF0000"/>
          <w:sz w:val="22"/>
          <w:szCs w:val="22"/>
        </w:rPr>
      </w:pPr>
      <w:r w:rsidRPr="00EC0643">
        <w:rPr>
          <w:rFonts w:asciiTheme="minorHAnsi" w:hAnsiTheme="minorHAnsi" w:cstheme="minorHAnsi"/>
          <w:color w:val="FF0000"/>
          <w:sz w:val="22"/>
          <w:szCs w:val="22"/>
        </w:rPr>
        <w:lastRenderedPageBreak/>
        <w:t>Relevant Charging Objectives</w:t>
      </w:r>
    </w:p>
    <w:tbl>
      <w:tblPr>
        <w:tblStyle w:val="TableGrid"/>
        <w:tblW w:w="0" w:type="auto"/>
        <w:tblLook w:val="04A0" w:firstRow="1" w:lastRow="0" w:firstColumn="1" w:lastColumn="0" w:noHBand="0" w:noVBand="1"/>
      </w:tblPr>
      <w:tblGrid>
        <w:gridCol w:w="9016"/>
      </w:tblGrid>
      <w:tr w:rsidR="00EC0643" w:rsidRPr="00EC0643" w14:paraId="5CB18105" w14:textId="77777777" w:rsidTr="00853616">
        <w:tc>
          <w:tcPr>
            <w:tcW w:w="9016" w:type="dxa"/>
          </w:tcPr>
          <w:p w14:paraId="4A17D50F" w14:textId="77777777" w:rsidR="00BC76DA" w:rsidRPr="00EC0643" w:rsidRDefault="00BC76DA" w:rsidP="00853616">
            <w:pPr>
              <w:jc w:val="both"/>
              <w:rPr>
                <w:rFonts w:asciiTheme="minorHAnsi" w:hAnsiTheme="minorHAnsi" w:cstheme="minorHAnsi"/>
                <w:color w:val="FF0000"/>
                <w:sz w:val="22"/>
                <w:szCs w:val="22"/>
              </w:rPr>
            </w:pPr>
            <w:r w:rsidRPr="00EC0643">
              <w:rPr>
                <w:rFonts w:asciiTheme="minorHAnsi" w:hAnsiTheme="minorHAnsi" w:cstheme="minorHAnsi"/>
                <w:color w:val="FF0000"/>
                <w:sz w:val="22"/>
                <w:szCs w:val="22"/>
                <w:u w:val="single"/>
              </w:rPr>
              <w:t>aa)(l)</w:t>
            </w:r>
            <w:r w:rsidRPr="00EC0643">
              <w:rPr>
                <w:rFonts w:asciiTheme="minorHAnsi" w:hAnsiTheme="minorHAnsi" w:cstheme="minorHAnsi"/>
                <w:color w:val="FF0000"/>
                <w:sz w:val="22"/>
                <w:szCs w:val="22"/>
                <w:u w:val="single"/>
              </w:rPr>
              <w:tab/>
              <w:t>best calculated to promote efficiency and avoid undue preference in the supply of transportation services:</w:t>
            </w:r>
            <w:r w:rsidRPr="00EC0643">
              <w:rPr>
                <w:rFonts w:asciiTheme="minorHAnsi" w:hAnsiTheme="minorHAnsi" w:cstheme="minorHAnsi"/>
                <w:color w:val="FF0000"/>
                <w:sz w:val="22"/>
                <w:szCs w:val="22"/>
              </w:rPr>
              <w:t xml:space="preserve">  </w:t>
            </w:r>
          </w:p>
          <w:p w14:paraId="0F55768C" w14:textId="77777777" w:rsidR="00BC76DA" w:rsidRPr="00EC0643" w:rsidRDefault="00BC76DA" w:rsidP="00853616">
            <w:pPr>
              <w:jc w:val="both"/>
              <w:rPr>
                <w:rFonts w:asciiTheme="minorHAnsi" w:hAnsiTheme="minorHAnsi" w:cstheme="minorHAnsi"/>
                <w:color w:val="FF0000"/>
                <w:sz w:val="22"/>
                <w:szCs w:val="22"/>
                <w:u w:val="single"/>
              </w:rPr>
            </w:pPr>
            <w:r w:rsidRPr="00EC0643">
              <w:rPr>
                <w:rFonts w:asciiTheme="minorHAnsi" w:hAnsiTheme="minorHAnsi" w:cstheme="minorHAnsi"/>
                <w:color w:val="FF0000"/>
                <w:sz w:val="22"/>
                <w:szCs w:val="22"/>
              </w:rPr>
              <w:t xml:space="preserve">By removing  double charging of bi-directional IP flows a market distortion will be removed. The solution ensures a level playing field for users of GB storage and seasonal flexibility via physically bi-directional IPs. </w:t>
            </w:r>
          </w:p>
        </w:tc>
      </w:tr>
      <w:tr w:rsidR="00EC0643" w:rsidRPr="00EC0643" w14:paraId="1C26DAAA" w14:textId="77777777" w:rsidTr="00853616">
        <w:tc>
          <w:tcPr>
            <w:tcW w:w="9016" w:type="dxa"/>
          </w:tcPr>
          <w:p w14:paraId="20AF8472" w14:textId="77777777" w:rsidR="00BC76DA" w:rsidRPr="00EC0643" w:rsidRDefault="00BC76DA" w:rsidP="00853616">
            <w:pPr>
              <w:jc w:val="both"/>
              <w:rPr>
                <w:rFonts w:asciiTheme="minorHAnsi" w:hAnsiTheme="minorHAnsi" w:cstheme="minorHAnsi"/>
                <w:color w:val="FF0000"/>
                <w:sz w:val="22"/>
                <w:szCs w:val="22"/>
                <w:u w:val="single"/>
              </w:rPr>
            </w:pPr>
            <w:r w:rsidRPr="00EC0643">
              <w:rPr>
                <w:rFonts w:asciiTheme="minorHAnsi" w:hAnsiTheme="minorHAnsi" w:cstheme="minorHAnsi"/>
                <w:color w:val="FF0000"/>
                <w:sz w:val="22"/>
                <w:szCs w:val="22"/>
                <w:u w:val="single"/>
              </w:rPr>
              <w:t>aa)(II)</w:t>
            </w:r>
            <w:r w:rsidRPr="00EC0643">
              <w:rPr>
                <w:rFonts w:asciiTheme="minorHAnsi" w:hAnsiTheme="minorHAnsi" w:cstheme="minorHAnsi"/>
                <w:color w:val="FF0000"/>
                <w:sz w:val="22"/>
                <w:szCs w:val="22"/>
                <w:u w:val="single"/>
              </w:rPr>
              <w:tab/>
              <w:t xml:space="preserve">best calculated to promote competition between gas suppliers and between gas shippers: </w:t>
            </w:r>
          </w:p>
          <w:p w14:paraId="044ED4A4" w14:textId="77777777" w:rsidR="00BC76DA" w:rsidRPr="00EC0643" w:rsidRDefault="00BC76DA" w:rsidP="00BC76DA">
            <w:pPr>
              <w:jc w:val="both"/>
              <w:rPr>
                <w:rFonts w:asciiTheme="minorHAnsi" w:hAnsiTheme="minorHAnsi" w:cstheme="minorHAnsi"/>
                <w:color w:val="FF0000"/>
                <w:sz w:val="22"/>
                <w:szCs w:val="22"/>
              </w:rPr>
            </w:pPr>
            <w:r w:rsidRPr="00EC0643">
              <w:rPr>
                <w:rFonts w:asciiTheme="minorHAnsi" w:hAnsiTheme="minorHAnsi" w:cstheme="minorHAnsi"/>
                <w:color w:val="FF0000"/>
                <w:sz w:val="22"/>
                <w:szCs w:val="22"/>
              </w:rPr>
              <w:t xml:space="preserve">Effective competition will be enhanced through the equal charging treatment of storage and physically bi-directional interconnection points. It will remove a market distortion for shippers using continental storage via the interconnectors to meet GB’s seasonal flexibility.  It will create more of a level playing field for different sources of seasonal flexibility available to shippers, and ultimately to GB consumers.  It increases the choice of shippers when procuring seasonal flexibility -  they can consider Continental Storage accessed via physically bi-directional IPs or GB-located storage, without the distortion of differential National Grid charges.   </w:t>
            </w:r>
          </w:p>
          <w:p w14:paraId="0878C4E9" w14:textId="5F403852" w:rsidR="00BC76DA" w:rsidRPr="00EC0643" w:rsidRDefault="00BC76DA" w:rsidP="00BC76DA">
            <w:pPr>
              <w:jc w:val="both"/>
              <w:rPr>
                <w:rFonts w:asciiTheme="minorHAnsi" w:hAnsiTheme="minorHAnsi" w:cstheme="minorHAnsi"/>
                <w:color w:val="FF0000"/>
                <w:sz w:val="22"/>
                <w:szCs w:val="22"/>
                <w:u w:val="single"/>
              </w:rPr>
            </w:pPr>
            <w:r w:rsidRPr="00EC0643">
              <w:rPr>
                <w:rFonts w:asciiTheme="minorHAnsi" w:hAnsiTheme="minorHAnsi" w:cstheme="minorHAnsi"/>
                <w:color w:val="FF0000"/>
                <w:sz w:val="22"/>
                <w:szCs w:val="22"/>
              </w:rPr>
              <w:t>This is particularly relevant to the GB market and GB consumers following the closure of the Rough storage facility.  It is widely recognised that the GB market now has a relatively low level of seasonal storage within national boundaries. Improved access to Continental Storage, on a levelized and competitive charging basis, would be a step in the right direction to meet the market’s current structural needs.</w:t>
            </w:r>
          </w:p>
        </w:tc>
      </w:tr>
      <w:tr w:rsidR="00EC0643" w:rsidRPr="00EC0643" w14:paraId="52A04552" w14:textId="77777777" w:rsidTr="00853616">
        <w:tc>
          <w:tcPr>
            <w:tcW w:w="9016" w:type="dxa"/>
          </w:tcPr>
          <w:p w14:paraId="199F7231" w14:textId="77777777" w:rsidR="00BC76DA" w:rsidRPr="00EC0643" w:rsidRDefault="00BC76DA" w:rsidP="00853616">
            <w:pPr>
              <w:jc w:val="both"/>
              <w:rPr>
                <w:rFonts w:asciiTheme="minorHAnsi" w:hAnsiTheme="minorHAnsi" w:cstheme="minorHAnsi"/>
                <w:color w:val="FF0000"/>
                <w:sz w:val="22"/>
                <w:szCs w:val="22"/>
              </w:rPr>
            </w:pPr>
            <w:r w:rsidRPr="00EC0643">
              <w:rPr>
                <w:rFonts w:asciiTheme="minorHAnsi" w:hAnsiTheme="minorHAnsi" w:cstheme="minorHAnsi"/>
                <w:color w:val="FF0000"/>
                <w:sz w:val="22"/>
                <w:szCs w:val="22"/>
                <w:u w:val="single"/>
              </w:rPr>
              <w:t>e) Compliance with the Regulation:</w:t>
            </w:r>
            <w:r w:rsidRPr="00EC0643">
              <w:rPr>
                <w:rFonts w:asciiTheme="minorHAnsi" w:hAnsiTheme="minorHAnsi" w:cstheme="minorHAnsi"/>
                <w:color w:val="FF0000"/>
                <w:sz w:val="22"/>
                <w:szCs w:val="22"/>
              </w:rPr>
              <w:t xml:space="preserve">  </w:t>
            </w:r>
          </w:p>
          <w:p w14:paraId="15EF5F22" w14:textId="77777777" w:rsidR="00BC76DA" w:rsidRPr="00EC0643" w:rsidRDefault="00BC76DA" w:rsidP="00BC76DA">
            <w:pPr>
              <w:jc w:val="both"/>
              <w:rPr>
                <w:rFonts w:asciiTheme="minorHAnsi" w:hAnsiTheme="minorHAnsi" w:cstheme="minorHAnsi"/>
                <w:color w:val="FF0000"/>
                <w:sz w:val="22"/>
                <w:szCs w:val="22"/>
              </w:rPr>
            </w:pPr>
            <w:r w:rsidRPr="00EC0643">
              <w:rPr>
                <w:rFonts w:asciiTheme="minorHAnsi" w:hAnsiTheme="minorHAnsi" w:cstheme="minorHAnsi"/>
                <w:color w:val="FF0000"/>
                <w:sz w:val="22"/>
                <w:szCs w:val="22"/>
              </w:rPr>
              <w:t xml:space="preserve">Key objectives of the EU’s third energy package are to facilitate efficient gas trade and competition across borders. Given that physically bi-directional IPs compete with GB storage and that the unequal treatment distorts cross border trade, the Modification 0621F solution is necessary to ensure GB compliance with: </w:t>
            </w:r>
          </w:p>
          <w:p w14:paraId="1B215C9E" w14:textId="77777777" w:rsidR="00BC76DA" w:rsidRPr="00EC0643" w:rsidRDefault="00BC76DA" w:rsidP="00BC76DA">
            <w:pPr>
              <w:pStyle w:val="ListParagraph"/>
              <w:numPr>
                <w:ilvl w:val="0"/>
                <w:numId w:val="42"/>
              </w:numPr>
              <w:jc w:val="both"/>
              <w:rPr>
                <w:rFonts w:asciiTheme="minorHAnsi" w:hAnsiTheme="minorHAnsi" w:cstheme="minorHAnsi"/>
                <w:color w:val="FF0000"/>
                <w:sz w:val="22"/>
                <w:szCs w:val="22"/>
              </w:rPr>
            </w:pPr>
            <w:r w:rsidRPr="00EC0643">
              <w:rPr>
                <w:rFonts w:asciiTheme="minorHAnsi" w:hAnsiTheme="minorHAnsi" w:cstheme="minorHAnsi"/>
                <w:color w:val="FF0000"/>
                <w:sz w:val="22"/>
                <w:szCs w:val="22"/>
              </w:rPr>
              <w:t>Tariffs for access to networks under Regulation (EC) No 715/2009:</w:t>
            </w:r>
          </w:p>
          <w:p w14:paraId="69EAD4E4" w14:textId="77777777" w:rsidR="00BC76DA" w:rsidRPr="00EC0643" w:rsidRDefault="00BC76DA" w:rsidP="00BC76DA">
            <w:pPr>
              <w:ind w:left="720"/>
              <w:jc w:val="both"/>
              <w:rPr>
                <w:rFonts w:asciiTheme="minorHAnsi" w:hAnsiTheme="minorHAnsi" w:cstheme="minorHAnsi"/>
                <w:color w:val="FF0000"/>
                <w:sz w:val="22"/>
                <w:szCs w:val="22"/>
              </w:rPr>
            </w:pPr>
            <w:r w:rsidRPr="00EC0643">
              <w:rPr>
                <w:rFonts w:asciiTheme="minorHAnsi" w:hAnsiTheme="minorHAnsi" w:cstheme="minorHAnsi"/>
                <w:color w:val="FF0000"/>
                <w:sz w:val="22"/>
                <w:szCs w:val="22"/>
              </w:rPr>
              <w:t xml:space="preserve">Article 13.1 of </w:t>
            </w:r>
            <w:r w:rsidRPr="00EC0643">
              <w:rPr>
                <w:rFonts w:asciiTheme="minorHAnsi" w:hAnsiTheme="minorHAnsi" w:cstheme="minorHAnsi"/>
                <w:i/>
                <w:color w:val="FF0000"/>
                <w:sz w:val="22"/>
                <w:szCs w:val="22"/>
              </w:rPr>
              <w:t>Tariffs for access to networks</w:t>
            </w:r>
            <w:r w:rsidRPr="00EC0643">
              <w:rPr>
                <w:rFonts w:asciiTheme="minorHAnsi" w:hAnsiTheme="minorHAnsi" w:cstheme="minorHAnsi"/>
                <w:color w:val="FF0000"/>
                <w:sz w:val="22"/>
                <w:szCs w:val="22"/>
              </w:rPr>
              <w:t xml:space="preserve"> in Regulation (EC) 715/2009 which says </w:t>
            </w:r>
            <w:r w:rsidRPr="00EC0643">
              <w:rPr>
                <w:rFonts w:asciiTheme="minorHAnsi" w:hAnsiTheme="minorHAnsi" w:cstheme="minorHAnsi"/>
                <w:i/>
                <w:color w:val="FF0000"/>
                <w:sz w:val="22"/>
                <w:szCs w:val="22"/>
              </w:rPr>
              <w:t>“Tariffs, or the methodologies used to calculate them, shall be applied in a non-discriminatory manner.”</w:t>
            </w:r>
            <w:r w:rsidRPr="00EC0643">
              <w:rPr>
                <w:rFonts w:asciiTheme="minorHAnsi" w:hAnsiTheme="minorHAnsi" w:cstheme="minorHAnsi"/>
                <w:color w:val="FF0000"/>
                <w:sz w:val="22"/>
                <w:szCs w:val="22"/>
              </w:rPr>
              <w:t xml:space="preserve"> And  </w:t>
            </w:r>
            <w:r w:rsidRPr="00EC0643">
              <w:rPr>
                <w:rFonts w:asciiTheme="minorHAnsi" w:hAnsiTheme="minorHAnsi" w:cstheme="minorHAnsi"/>
                <w:i/>
                <w:color w:val="FF0000"/>
                <w:sz w:val="22"/>
                <w:szCs w:val="22"/>
              </w:rPr>
              <w:t>“Tariffs, or the methodologies used to calculate them shall facilitate efficient gas trade and competition”</w:t>
            </w:r>
            <w:r w:rsidRPr="00EC0643">
              <w:rPr>
                <w:rFonts w:asciiTheme="minorHAnsi" w:hAnsiTheme="minorHAnsi" w:cstheme="minorHAnsi"/>
                <w:color w:val="FF0000"/>
                <w:sz w:val="22"/>
                <w:szCs w:val="22"/>
              </w:rPr>
              <w:t xml:space="preserve"> </w:t>
            </w:r>
          </w:p>
          <w:p w14:paraId="70F61135" w14:textId="77777777" w:rsidR="00BC76DA" w:rsidRPr="00EC0643" w:rsidRDefault="00BC76DA" w:rsidP="00BC76DA">
            <w:pPr>
              <w:ind w:left="720"/>
              <w:jc w:val="both"/>
              <w:rPr>
                <w:rFonts w:asciiTheme="minorHAnsi" w:hAnsiTheme="minorHAnsi" w:cstheme="minorHAnsi"/>
                <w:i/>
                <w:color w:val="FF0000"/>
                <w:sz w:val="22"/>
                <w:szCs w:val="22"/>
              </w:rPr>
            </w:pPr>
            <w:r w:rsidRPr="00EC0643">
              <w:rPr>
                <w:rFonts w:asciiTheme="minorHAnsi" w:hAnsiTheme="minorHAnsi" w:cstheme="minorHAnsi"/>
                <w:color w:val="FF0000"/>
                <w:sz w:val="22"/>
                <w:szCs w:val="22"/>
              </w:rPr>
              <w:t xml:space="preserve">And 13.2 which requires </w:t>
            </w:r>
            <w:r w:rsidRPr="00EC0643">
              <w:rPr>
                <w:rFonts w:asciiTheme="minorHAnsi" w:hAnsiTheme="minorHAnsi" w:cstheme="minorHAnsi"/>
                <w:i/>
                <w:color w:val="FF0000"/>
                <w:sz w:val="22"/>
                <w:szCs w:val="22"/>
              </w:rPr>
              <w:t>”Tariffs for network access shall neither restrict market liquidity nor distort trade across borders of different transmission systems”</w:t>
            </w:r>
          </w:p>
          <w:p w14:paraId="2AFF0B0D" w14:textId="77777777" w:rsidR="00BC76DA" w:rsidRPr="00EC0643" w:rsidRDefault="00BC76DA" w:rsidP="00BC76DA">
            <w:pPr>
              <w:pStyle w:val="ListParagraph"/>
              <w:numPr>
                <w:ilvl w:val="0"/>
                <w:numId w:val="42"/>
              </w:numPr>
              <w:jc w:val="both"/>
              <w:rPr>
                <w:rFonts w:asciiTheme="minorHAnsi" w:hAnsiTheme="minorHAnsi" w:cstheme="minorHAnsi"/>
                <w:i/>
                <w:color w:val="FF0000"/>
                <w:sz w:val="22"/>
                <w:szCs w:val="22"/>
              </w:rPr>
            </w:pPr>
            <w:r w:rsidRPr="00EC0643">
              <w:rPr>
                <w:rFonts w:asciiTheme="minorHAnsi" w:hAnsiTheme="minorHAnsi" w:cstheme="minorHAnsi"/>
                <w:color w:val="FF0000"/>
                <w:sz w:val="22"/>
                <w:szCs w:val="22"/>
              </w:rPr>
              <w:t>Reference price methodology application under Article 6 of Commission Regulation (EU) 2017/460</w:t>
            </w:r>
          </w:p>
          <w:p w14:paraId="1557C1AD" w14:textId="77777777" w:rsidR="00BC76DA" w:rsidRPr="00EC0643" w:rsidRDefault="00BC76DA" w:rsidP="00BC76DA">
            <w:pPr>
              <w:pStyle w:val="ListParagraph"/>
              <w:jc w:val="both"/>
              <w:rPr>
                <w:rFonts w:asciiTheme="minorHAnsi" w:hAnsiTheme="minorHAnsi" w:cstheme="minorHAnsi"/>
                <w:color w:val="FF0000"/>
                <w:sz w:val="22"/>
                <w:szCs w:val="22"/>
              </w:rPr>
            </w:pPr>
          </w:p>
          <w:p w14:paraId="62ADB60E" w14:textId="77777777" w:rsidR="00BC76DA" w:rsidRPr="00EC0643" w:rsidRDefault="00BC76DA" w:rsidP="00BC76DA">
            <w:pPr>
              <w:pStyle w:val="ListParagraph"/>
              <w:jc w:val="both"/>
              <w:rPr>
                <w:rFonts w:asciiTheme="minorHAnsi" w:hAnsiTheme="minorHAnsi" w:cstheme="minorHAnsi"/>
                <w:color w:val="FF0000"/>
                <w:sz w:val="22"/>
                <w:szCs w:val="22"/>
              </w:rPr>
            </w:pPr>
            <w:r w:rsidRPr="00EC0643">
              <w:rPr>
                <w:rFonts w:asciiTheme="minorHAnsi" w:hAnsiTheme="minorHAnsi" w:cstheme="minorHAnsi"/>
                <w:color w:val="FF0000"/>
                <w:sz w:val="22"/>
                <w:szCs w:val="22"/>
              </w:rPr>
              <w:t>Under Article 7(e), TSOs must ensure that the reference prices do not distort cross-border trade.</w:t>
            </w:r>
          </w:p>
          <w:p w14:paraId="3D2E175F" w14:textId="77777777" w:rsidR="00BC76DA" w:rsidRPr="00EC0643" w:rsidRDefault="00BC76DA" w:rsidP="00BC76DA">
            <w:pPr>
              <w:pStyle w:val="BoardPaperHeading2"/>
              <w:jc w:val="both"/>
              <w:rPr>
                <w:rFonts w:asciiTheme="minorHAnsi" w:hAnsiTheme="minorHAnsi" w:cstheme="minorHAnsi"/>
                <w:b w:val="0"/>
                <w:color w:val="FF0000"/>
              </w:rPr>
            </w:pPr>
            <w:r w:rsidRPr="00EC0643">
              <w:rPr>
                <w:rFonts w:asciiTheme="minorHAnsi" w:eastAsia="Times New Roman" w:hAnsiTheme="minorHAnsi" w:cstheme="minorHAnsi"/>
                <w:b w:val="0"/>
                <w:color w:val="FF0000"/>
              </w:rPr>
              <w:t xml:space="preserve">It should be noted that a discount for physically bi-directional IPs is entirely consistent with the TAR code given TSOs can make adjustments to the application of the reference price methodology in accordance with Article 6.4 or Article 9. </w:t>
            </w:r>
            <w:r w:rsidRPr="00EC0643">
              <w:rPr>
                <w:rFonts w:asciiTheme="minorHAnsi" w:hAnsiTheme="minorHAnsi" w:cstheme="minorHAnsi"/>
                <w:b w:val="0"/>
                <w:color w:val="FF0000"/>
              </w:rPr>
              <w:t xml:space="preserve"> </w:t>
            </w:r>
          </w:p>
          <w:p w14:paraId="14EC91C1" w14:textId="2C435AA6" w:rsidR="00BC76DA" w:rsidRPr="00EC0643" w:rsidRDefault="00BC76DA" w:rsidP="00BC76DA">
            <w:pPr>
              <w:jc w:val="both"/>
              <w:rPr>
                <w:rFonts w:asciiTheme="minorHAnsi" w:hAnsiTheme="minorHAnsi" w:cstheme="minorHAnsi"/>
                <w:color w:val="FF0000"/>
                <w:sz w:val="22"/>
                <w:szCs w:val="22"/>
                <w:u w:val="single"/>
              </w:rPr>
            </w:pPr>
            <w:r w:rsidRPr="00EC0643">
              <w:rPr>
                <w:rFonts w:asciiTheme="minorHAnsi" w:hAnsiTheme="minorHAnsi" w:cstheme="minorHAnsi"/>
                <w:color w:val="FF0000"/>
                <w:sz w:val="22"/>
                <w:szCs w:val="22"/>
              </w:rPr>
              <w:t>Under Article 6.4(a), TSOs can make adjustments to reference prices at any given entry or exit point to meet the competitive level of the reference price</w:t>
            </w:r>
          </w:p>
        </w:tc>
      </w:tr>
    </w:tbl>
    <w:p w14:paraId="69903B12" w14:textId="77777777" w:rsidR="00BC76DA" w:rsidRPr="00B75418" w:rsidRDefault="00BC76DA" w:rsidP="00BC76DA">
      <w:pPr>
        <w:jc w:val="both"/>
        <w:rPr>
          <w:rFonts w:asciiTheme="minorHAnsi" w:hAnsiTheme="minorHAnsi" w:cstheme="minorHAnsi"/>
          <w:b/>
          <w:sz w:val="22"/>
          <w:szCs w:val="22"/>
        </w:rPr>
      </w:pPr>
    </w:p>
    <w:p w14:paraId="5D370B09" w14:textId="77777777" w:rsidR="00BC76DA" w:rsidRPr="00B75418" w:rsidRDefault="00BC76DA" w:rsidP="00BC76DA">
      <w:pPr>
        <w:jc w:val="both"/>
        <w:rPr>
          <w:rFonts w:asciiTheme="minorHAnsi" w:hAnsiTheme="minorHAnsi" w:cstheme="minorHAnsi"/>
          <w:b/>
          <w:sz w:val="22"/>
          <w:szCs w:val="22"/>
        </w:rPr>
      </w:pPr>
    </w:p>
    <w:p w14:paraId="23AF4EE2" w14:textId="77777777" w:rsidR="00BC76DA" w:rsidRPr="00B75418" w:rsidRDefault="00BC76DA" w:rsidP="00BC76DA">
      <w:pPr>
        <w:jc w:val="both"/>
        <w:rPr>
          <w:rFonts w:asciiTheme="minorHAnsi" w:hAnsiTheme="minorHAnsi" w:cstheme="minorHAnsi"/>
          <w:b/>
          <w:sz w:val="22"/>
          <w:szCs w:val="22"/>
        </w:rPr>
      </w:pPr>
    </w:p>
    <w:p w14:paraId="1771FC2F" w14:textId="77777777" w:rsidR="00BC76DA" w:rsidRPr="00B75418" w:rsidRDefault="00BC76DA" w:rsidP="00BC76DA">
      <w:pPr>
        <w:jc w:val="both"/>
        <w:rPr>
          <w:rFonts w:asciiTheme="minorHAnsi" w:hAnsiTheme="minorHAnsi" w:cstheme="minorHAnsi"/>
          <w:b/>
          <w:sz w:val="22"/>
          <w:szCs w:val="22"/>
        </w:rPr>
      </w:pPr>
    </w:p>
    <w:p w14:paraId="0AE466E0" w14:textId="77777777" w:rsidR="00BC76DA" w:rsidRPr="00B75418" w:rsidRDefault="00BC76DA" w:rsidP="00BC76DA">
      <w:pPr>
        <w:jc w:val="both"/>
        <w:rPr>
          <w:rFonts w:asciiTheme="minorHAnsi" w:hAnsiTheme="minorHAnsi" w:cstheme="minorHAnsi"/>
          <w:b/>
          <w:sz w:val="22"/>
          <w:szCs w:val="22"/>
        </w:rPr>
      </w:pPr>
    </w:p>
    <w:p w14:paraId="774B6402" w14:textId="77777777" w:rsidR="00BC76DA" w:rsidRPr="00B75418" w:rsidRDefault="00BC76DA" w:rsidP="00BC76DA">
      <w:pPr>
        <w:jc w:val="both"/>
        <w:rPr>
          <w:rFonts w:asciiTheme="minorHAnsi" w:hAnsiTheme="minorHAnsi" w:cstheme="minorHAnsi"/>
          <w:b/>
          <w:sz w:val="22"/>
          <w:szCs w:val="22"/>
        </w:rPr>
      </w:pPr>
    </w:p>
    <w:p w14:paraId="22488941" w14:textId="77777777" w:rsidR="00BC76DA" w:rsidRPr="00B75418" w:rsidRDefault="00BC76DA" w:rsidP="00BC76DA">
      <w:pPr>
        <w:jc w:val="both"/>
        <w:rPr>
          <w:rFonts w:asciiTheme="minorHAnsi" w:hAnsiTheme="minorHAnsi" w:cstheme="minorHAnsi"/>
          <w:b/>
          <w:sz w:val="22"/>
          <w:szCs w:val="22"/>
        </w:rPr>
      </w:pPr>
    </w:p>
    <w:p w14:paraId="53C64513" w14:textId="77777777" w:rsidR="00BC76DA" w:rsidRPr="00B75418" w:rsidRDefault="00BC76DA" w:rsidP="00BC76DA">
      <w:pPr>
        <w:jc w:val="both"/>
        <w:rPr>
          <w:rFonts w:asciiTheme="minorHAnsi" w:hAnsiTheme="minorHAnsi" w:cstheme="minorHAnsi"/>
          <w:b/>
          <w:sz w:val="22"/>
          <w:szCs w:val="22"/>
        </w:rPr>
      </w:pPr>
    </w:p>
    <w:p w14:paraId="7854C829" w14:textId="77777777" w:rsidR="00BC76DA" w:rsidRPr="00B75418" w:rsidRDefault="00BC76DA" w:rsidP="00BC76DA">
      <w:pPr>
        <w:jc w:val="both"/>
        <w:rPr>
          <w:rFonts w:asciiTheme="minorHAnsi" w:hAnsiTheme="minorHAnsi" w:cstheme="minorHAnsi"/>
          <w:b/>
          <w:sz w:val="22"/>
          <w:szCs w:val="22"/>
        </w:rPr>
      </w:pPr>
    </w:p>
    <w:p w14:paraId="678FBA10" w14:textId="77777777" w:rsidR="00BC76DA" w:rsidRPr="00B75418" w:rsidRDefault="00BC76DA" w:rsidP="00BC76DA">
      <w:pPr>
        <w:jc w:val="both"/>
        <w:rPr>
          <w:rFonts w:asciiTheme="minorHAnsi" w:hAnsiTheme="minorHAnsi" w:cstheme="minorHAnsi"/>
          <w:b/>
          <w:sz w:val="22"/>
          <w:szCs w:val="22"/>
        </w:rPr>
      </w:pPr>
    </w:p>
    <w:p w14:paraId="0FE1EAAE" w14:textId="77777777" w:rsidR="00BC76DA" w:rsidRPr="00B75418" w:rsidRDefault="00BC76DA" w:rsidP="00BC76DA">
      <w:pPr>
        <w:jc w:val="both"/>
        <w:rPr>
          <w:rFonts w:asciiTheme="minorHAnsi" w:hAnsiTheme="minorHAnsi" w:cstheme="minorHAnsi"/>
          <w:b/>
          <w:sz w:val="22"/>
          <w:szCs w:val="22"/>
        </w:rPr>
      </w:pPr>
    </w:p>
    <w:p w14:paraId="68F4DA25" w14:textId="77777777" w:rsidR="00BC76DA" w:rsidRPr="00B75418" w:rsidRDefault="00BC76DA" w:rsidP="00BC76DA">
      <w:pPr>
        <w:jc w:val="both"/>
        <w:rPr>
          <w:rFonts w:asciiTheme="minorHAnsi" w:hAnsiTheme="minorHAnsi" w:cstheme="minorHAnsi"/>
          <w:b/>
          <w:sz w:val="22"/>
          <w:szCs w:val="22"/>
        </w:rPr>
      </w:pPr>
    </w:p>
    <w:p w14:paraId="14619B7B" w14:textId="77777777" w:rsidR="00BC76DA" w:rsidRPr="00B75418" w:rsidRDefault="00BC76DA" w:rsidP="00BC76DA">
      <w:pPr>
        <w:jc w:val="both"/>
        <w:rPr>
          <w:rFonts w:asciiTheme="minorHAnsi" w:hAnsiTheme="minorHAnsi" w:cstheme="minorHAnsi"/>
          <w:b/>
          <w:sz w:val="22"/>
          <w:szCs w:val="22"/>
        </w:rPr>
      </w:pPr>
    </w:p>
    <w:p w14:paraId="3B3F9BE7" w14:textId="77777777" w:rsidR="00BC76DA" w:rsidRDefault="00BC76DA" w:rsidP="00BC76DA">
      <w:pPr>
        <w:ind w:left="360"/>
      </w:pPr>
    </w:p>
    <w:p w14:paraId="4F17FE85" w14:textId="77777777" w:rsidR="0001704C" w:rsidRDefault="0001704C" w:rsidP="0001704C">
      <w:pPr>
        <w:pStyle w:val="ListParagraph"/>
        <w:numPr>
          <w:ilvl w:val="0"/>
          <w:numId w:val="40"/>
        </w:numPr>
      </w:pPr>
    </w:p>
    <w:p w14:paraId="668C107A" w14:textId="77777777" w:rsidR="0001704C" w:rsidRDefault="0001704C" w:rsidP="0001704C">
      <w:pPr>
        <w:pStyle w:val="ListParagraph"/>
        <w:numPr>
          <w:ilvl w:val="0"/>
          <w:numId w:val="40"/>
        </w:numPr>
      </w:pPr>
      <w:r>
        <w:t xml:space="preserve">Impact on [which?] standard relevant </w:t>
      </w:r>
      <w:commentRangeStart w:id="22"/>
      <w:r>
        <w:t xml:space="preserve">objectives </w:t>
      </w:r>
      <w:commentRangeEnd w:id="22"/>
      <w:r>
        <w:rPr>
          <w:rStyle w:val="CommentReference"/>
        </w:rPr>
        <w:commentReference w:id="22"/>
      </w:r>
    </w:p>
    <w:p w14:paraId="26610232" w14:textId="77777777" w:rsidR="0001704C" w:rsidRDefault="0001704C" w:rsidP="0001704C">
      <w:pPr>
        <w:pStyle w:val="ListParagraph"/>
        <w:numPr>
          <w:ilvl w:val="0"/>
          <w:numId w:val="40"/>
        </w:numPr>
      </w:pPr>
      <w:r>
        <w:t>National grid view</w:t>
      </w:r>
    </w:p>
    <w:p w14:paraId="729E04E3" w14:textId="77777777" w:rsidR="0001704C" w:rsidRDefault="0001704C" w:rsidP="0001704C">
      <w:pPr>
        <w:pStyle w:val="ListParagraph"/>
        <w:numPr>
          <w:ilvl w:val="0"/>
          <w:numId w:val="40"/>
        </w:numPr>
      </w:pPr>
      <w:r>
        <w:t>narrative of workgroup view</w:t>
      </w:r>
    </w:p>
    <w:p w14:paraId="332E78AB" w14:textId="77777777" w:rsidR="0001704C" w:rsidRDefault="0001704C" w:rsidP="0001704C">
      <w:pPr>
        <w:pStyle w:val="ListParagraph"/>
        <w:numPr>
          <w:ilvl w:val="0"/>
          <w:numId w:val="40"/>
        </w:numPr>
      </w:pPr>
      <w:r>
        <w:t>look at 0501…</w:t>
      </w:r>
    </w:p>
    <w:p w14:paraId="18D809DF" w14:textId="77777777" w:rsidR="0001704C" w:rsidRDefault="0001704C" w:rsidP="0001704C">
      <w:pPr>
        <w:pStyle w:val="ListParagraph"/>
        <w:numPr>
          <w:ilvl w:val="0"/>
          <w:numId w:val="40"/>
        </w:numPr>
      </w:pPr>
      <w:r>
        <w:t>0517</w:t>
      </w:r>
    </w:p>
    <w:p w14:paraId="32FF6A02" w14:textId="77777777" w:rsidR="0001704C" w:rsidRDefault="0001704C" w:rsidP="0001704C">
      <w:pPr>
        <w:pStyle w:val="ListParagraph"/>
        <w:numPr>
          <w:ilvl w:val="0"/>
          <w:numId w:val="40"/>
        </w:numPr>
      </w:pPr>
    </w:p>
    <w:p w14:paraId="03BB9AE6" w14:textId="77777777" w:rsidR="0001704C" w:rsidRPr="000D7F0C" w:rsidRDefault="0001704C" w:rsidP="004D75D5">
      <w:pPr>
        <w:numPr>
          <w:ilvl w:val="0"/>
          <w:numId w:val="40"/>
        </w:numPr>
        <w:spacing w:before="0" w:after="0" w:line="240" w:lineRule="auto"/>
        <w:rPr>
          <w:rFonts w:cs="Arial"/>
          <w:color w:val="FF0000"/>
          <w:szCs w:val="20"/>
        </w:rPr>
      </w:pPr>
    </w:p>
    <w:p w14:paraId="73802400" w14:textId="77777777" w:rsidR="001529A0" w:rsidRPr="004D75D5" w:rsidRDefault="001529A0" w:rsidP="004D75D5">
      <w:pPr>
        <w:spacing w:before="0" w:after="0" w:line="240" w:lineRule="auto"/>
        <w:rPr>
          <w:rFonts w:cs="Arial"/>
          <w:szCs w:val="20"/>
        </w:rPr>
      </w:pPr>
    </w:p>
    <w:p w14:paraId="1AA2ED90" w14:textId="77777777" w:rsidR="00450385" w:rsidRPr="00D1570A" w:rsidRDefault="00C31A20" w:rsidP="000F4631">
      <w:pPr>
        <w:pStyle w:val="Heading02"/>
        <w:rPr>
          <w:noProof/>
        </w:rPr>
      </w:pPr>
      <w:bookmarkStart w:id="23" w:name="_Toc504395615"/>
      <w:r w:rsidRPr="00D1570A">
        <w:rPr>
          <w:noProof/>
        </w:rPr>
        <w:t>Imple</w:t>
      </w:r>
      <w:r w:rsidR="00461C2F" w:rsidRPr="00D1570A">
        <w:rPr>
          <w:noProof/>
        </w:rPr>
        <w:t>me</w:t>
      </w:r>
      <w:r w:rsidRPr="00D1570A">
        <w:rPr>
          <w:noProof/>
        </w:rPr>
        <w:t>ntation</w:t>
      </w:r>
      <w:bookmarkEnd w:id="23"/>
    </w:p>
    <w:p w14:paraId="778076AA" w14:textId="77777777" w:rsidR="00EE253D" w:rsidRPr="00D1570A" w:rsidRDefault="001533E5" w:rsidP="00EE253D">
      <w:pPr>
        <w:keepNext/>
        <w:outlineLvl w:val="3"/>
        <w:rPr>
          <w:rFonts w:cs="Arial"/>
        </w:rPr>
      </w:pPr>
      <w:r w:rsidRPr="00D1570A">
        <w:rPr>
          <w:rFonts w:cs="Arial"/>
        </w:rPr>
        <w:t xml:space="preserve">No implementation timescales proposed, these will be </w:t>
      </w:r>
      <w:r w:rsidR="00EE253D" w:rsidRPr="00D1570A">
        <w:rPr>
          <w:rFonts w:cs="Arial"/>
        </w:rPr>
        <w:t>discussed w</w:t>
      </w:r>
      <w:r w:rsidR="003E687C" w:rsidRPr="00D1570A">
        <w:rPr>
          <w:rFonts w:cs="Arial"/>
        </w:rPr>
        <w:t>ithin the work</w:t>
      </w:r>
      <w:r w:rsidR="00EE253D" w:rsidRPr="00D1570A">
        <w:rPr>
          <w:rFonts w:cs="Arial"/>
        </w:rPr>
        <w:t>groups.</w:t>
      </w:r>
    </w:p>
    <w:p w14:paraId="1655514B" w14:textId="77777777" w:rsidR="00B12FA7" w:rsidRDefault="007A2C07" w:rsidP="00EE253D">
      <w:pPr>
        <w:keepNext/>
        <w:outlineLvl w:val="3"/>
        <w:rPr>
          <w:rFonts w:cs="Arial"/>
        </w:rPr>
      </w:pPr>
      <w:r w:rsidRPr="00D1570A">
        <w:rPr>
          <w:rFonts w:cs="Arial"/>
        </w:rPr>
        <w:t>This modification and the resulting methodology change will take effect for prices from October 2019</w:t>
      </w:r>
      <w:r w:rsidR="00714858" w:rsidRPr="00D1570A">
        <w:rPr>
          <w:rFonts w:cs="Arial"/>
        </w:rPr>
        <w:t xml:space="preserve">, </w:t>
      </w:r>
      <w:r w:rsidR="00B12FA7" w:rsidRPr="00D1570A">
        <w:rPr>
          <w:rFonts w:cs="Arial"/>
        </w:rPr>
        <w:t xml:space="preserve">in order </w:t>
      </w:r>
      <w:r w:rsidR="00714858" w:rsidRPr="00D1570A">
        <w:rPr>
          <w:rFonts w:cs="Arial"/>
        </w:rPr>
        <w:t>to</w:t>
      </w:r>
      <w:r w:rsidR="00B12FA7" w:rsidRPr="00D1570A">
        <w:rPr>
          <w:rFonts w:cs="Arial"/>
        </w:rPr>
        <w:t xml:space="preserve"> achieve compliance with the</w:t>
      </w:r>
      <w:r w:rsidR="00714858" w:rsidRPr="00D1570A">
        <w:rPr>
          <w:rFonts w:cs="Arial"/>
        </w:rPr>
        <w:t xml:space="preserve"> EU </w:t>
      </w:r>
      <w:r w:rsidR="00B12FA7" w:rsidRPr="00D1570A">
        <w:rPr>
          <w:rFonts w:cs="Arial"/>
        </w:rPr>
        <w:t>Tariff Code.</w:t>
      </w:r>
    </w:p>
    <w:p w14:paraId="548ED8EA" w14:textId="77777777" w:rsidR="00461585" w:rsidRDefault="00461585" w:rsidP="00EE253D">
      <w:pPr>
        <w:keepNext/>
        <w:outlineLvl w:val="3"/>
        <w:rPr>
          <w:rFonts w:cs="Arial"/>
        </w:rPr>
      </w:pPr>
    </w:p>
    <w:p w14:paraId="072466AC" w14:textId="342BAC2E" w:rsidR="00461585" w:rsidRPr="00461585" w:rsidRDefault="00461585" w:rsidP="00EE253D">
      <w:pPr>
        <w:keepNext/>
        <w:outlineLvl w:val="3"/>
        <w:rPr>
          <w:rFonts w:cs="Arial"/>
          <w:i/>
          <w:color w:val="FF0000"/>
        </w:rPr>
      </w:pPr>
      <w:r w:rsidRPr="00461585">
        <w:rPr>
          <w:rFonts w:cs="Arial"/>
          <w:i/>
          <w:color w:val="FF0000"/>
        </w:rPr>
        <w:t>Latest Ofgem decision date? May 2019?</w:t>
      </w:r>
    </w:p>
    <w:p w14:paraId="15F21C73" w14:textId="77777777" w:rsidR="001529A0" w:rsidRPr="00D1570A" w:rsidRDefault="001529A0" w:rsidP="00EE253D">
      <w:pPr>
        <w:keepNext/>
        <w:outlineLvl w:val="3"/>
        <w:rPr>
          <w:rFonts w:cs="Arial"/>
        </w:rPr>
      </w:pPr>
    </w:p>
    <w:p w14:paraId="621C75B2" w14:textId="77777777" w:rsidR="00F007A0" w:rsidRPr="00D1570A" w:rsidRDefault="00F007A0" w:rsidP="000F4631">
      <w:pPr>
        <w:pStyle w:val="Heading02"/>
      </w:pPr>
      <w:bookmarkStart w:id="24" w:name="_Toc156882583"/>
      <w:bookmarkStart w:id="25" w:name="_Toc163008071"/>
      <w:bookmarkStart w:id="26" w:name="_Toc504395616"/>
      <w:r w:rsidRPr="00D1570A">
        <w:t>Legal Text</w:t>
      </w:r>
      <w:bookmarkEnd w:id="24"/>
      <w:bookmarkEnd w:id="25"/>
      <w:bookmarkEnd w:id="26"/>
    </w:p>
    <w:p w14:paraId="78DC2A7E" w14:textId="77777777" w:rsidR="006D765D" w:rsidRPr="00D1570A" w:rsidRDefault="006D765D" w:rsidP="006D765D">
      <w:pPr>
        <w:pStyle w:val="Heading4"/>
        <w:keepLines w:val="0"/>
        <w:numPr>
          <w:ilvl w:val="0"/>
          <w:numId w:val="0"/>
        </w:numPr>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t>Text Commentary</w:t>
      </w:r>
    </w:p>
    <w:p w14:paraId="31571524" w14:textId="77777777" w:rsidR="006D765D" w:rsidRPr="00D1570A" w:rsidRDefault="00220A27" w:rsidP="006D765D">
      <w:pPr>
        <w:rPr>
          <w:rFonts w:cs="Arial"/>
        </w:rPr>
      </w:pPr>
      <w:r w:rsidRPr="00D1570A">
        <w:rPr>
          <w:rFonts w:cs="Arial"/>
        </w:rPr>
        <w:t>To be provided later</w:t>
      </w:r>
    </w:p>
    <w:p w14:paraId="74D2D92C" w14:textId="77777777" w:rsidR="006D765D" w:rsidRPr="00D1570A" w:rsidRDefault="006D765D" w:rsidP="006D765D">
      <w:pPr>
        <w:pStyle w:val="Heading4"/>
        <w:keepLines w:val="0"/>
        <w:numPr>
          <w:ilvl w:val="0"/>
          <w:numId w:val="0"/>
        </w:numPr>
        <w:spacing w:before="240"/>
        <w:rPr>
          <w:rFonts w:ascii="Arial" w:eastAsia="Times New Roman" w:hAnsi="Arial" w:cs="Arial"/>
          <w:i w:val="0"/>
          <w:iCs w:val="0"/>
          <w:color w:val="008576"/>
          <w:sz w:val="24"/>
          <w:szCs w:val="28"/>
        </w:rPr>
      </w:pPr>
      <w:r w:rsidRPr="00D1570A">
        <w:rPr>
          <w:rFonts w:ascii="Arial" w:eastAsia="Times New Roman" w:hAnsi="Arial" w:cs="Arial"/>
          <w:i w:val="0"/>
          <w:iCs w:val="0"/>
          <w:color w:val="008576"/>
          <w:sz w:val="24"/>
          <w:szCs w:val="28"/>
        </w:rPr>
        <w:lastRenderedPageBreak/>
        <w:t>Text</w:t>
      </w:r>
    </w:p>
    <w:p w14:paraId="57E257AE" w14:textId="77777777" w:rsidR="00220A27" w:rsidRDefault="00220A27" w:rsidP="00220A27">
      <w:pPr>
        <w:rPr>
          <w:rFonts w:cs="Arial"/>
        </w:rPr>
      </w:pPr>
      <w:r w:rsidRPr="00D1570A">
        <w:rPr>
          <w:rFonts w:cs="Arial"/>
        </w:rPr>
        <w:t>To be provided later</w:t>
      </w:r>
    </w:p>
    <w:p w14:paraId="7D92602A" w14:textId="77777777" w:rsidR="001529A0" w:rsidRPr="00D1570A" w:rsidRDefault="001529A0" w:rsidP="00220A27">
      <w:pPr>
        <w:rPr>
          <w:rFonts w:cs="Arial"/>
        </w:rPr>
      </w:pPr>
    </w:p>
    <w:p w14:paraId="214AA13A" w14:textId="77777777" w:rsidR="00F73FD6" w:rsidRPr="00D1570A" w:rsidRDefault="00A00B4A" w:rsidP="000F4631">
      <w:pPr>
        <w:pStyle w:val="Heading02"/>
      </w:pPr>
      <w:bookmarkStart w:id="27" w:name="_Toc504395617"/>
      <w:r w:rsidRPr="00D1570A">
        <w:t>Recommendation</w:t>
      </w:r>
      <w:r w:rsidR="006D75CD" w:rsidRPr="00D1570A">
        <w:t>s</w:t>
      </w:r>
      <w:bookmarkEnd w:id="27"/>
      <w:r w:rsidRPr="00D1570A">
        <w:t xml:space="preserve"> </w:t>
      </w:r>
    </w:p>
    <w:p w14:paraId="2DA1C86E" w14:textId="77777777" w:rsidR="000F4631" w:rsidRPr="00EB32BB" w:rsidRDefault="000F4631" w:rsidP="000F4631">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Workgroup’s Recommendation to Panel</w:t>
      </w:r>
    </w:p>
    <w:p w14:paraId="3292F0C3" w14:textId="1DBCF9CF" w:rsidR="000F4631" w:rsidRPr="008C182E" w:rsidRDefault="000F4631" w:rsidP="000F4631">
      <w:r w:rsidRPr="008C182E">
        <w:t xml:space="preserve">The Workgroup </w:t>
      </w:r>
      <w:r w:rsidR="007558A0" w:rsidRPr="007558A0">
        <w:rPr>
          <w:color w:val="FF0000"/>
        </w:rPr>
        <w:t xml:space="preserve">recommends to </w:t>
      </w:r>
      <w:r w:rsidRPr="007558A0">
        <w:rPr>
          <w:color w:val="FF0000"/>
        </w:rPr>
        <w:t>Panel that</w:t>
      </w:r>
      <w:r w:rsidR="007558A0" w:rsidRPr="007558A0">
        <w:rPr>
          <w:color w:val="FF0000"/>
        </w:rPr>
        <w:t xml:space="preserve"> the workgroup report should proceed to consultation.</w:t>
      </w:r>
    </w:p>
    <w:p w14:paraId="2164B641" w14:textId="77777777" w:rsidR="000F4631" w:rsidRPr="007558A0" w:rsidRDefault="000F4631" w:rsidP="000F4631">
      <w:pPr>
        <w:pStyle w:val="ListBullet2"/>
        <w:rPr>
          <w:rFonts w:cs="Arial"/>
          <w:strike/>
        </w:rPr>
      </w:pPr>
      <w:r w:rsidRPr="007558A0">
        <w:rPr>
          <w:rFonts w:cs="Arial"/>
          <w:strike/>
        </w:rPr>
        <w:t xml:space="preserve">Agree that </w:t>
      </w:r>
      <w:r w:rsidRPr="007558A0">
        <w:rPr>
          <w:strike/>
        </w:rPr>
        <w:t>Authority Direction</w:t>
      </w:r>
      <w:r w:rsidRPr="007558A0">
        <w:rPr>
          <w:rFonts w:cs="Arial"/>
          <w:strike/>
        </w:rPr>
        <w:t xml:space="preserve"> should apply</w:t>
      </w:r>
    </w:p>
    <w:p w14:paraId="2FB0A532" w14:textId="77777777" w:rsidR="000F4631" w:rsidRPr="007558A0" w:rsidRDefault="000F4631" w:rsidP="000F4631">
      <w:pPr>
        <w:pStyle w:val="ListBullet2"/>
        <w:rPr>
          <w:rFonts w:cs="Arial"/>
          <w:strike/>
        </w:rPr>
      </w:pPr>
      <w:r w:rsidRPr="007558A0">
        <w:rPr>
          <w:rFonts w:cs="Arial"/>
          <w:strike/>
        </w:rPr>
        <w:t>Refer this proposal to a Workgroup for assessment.</w:t>
      </w:r>
    </w:p>
    <w:p w14:paraId="376CD553" w14:textId="77777777" w:rsidR="000F4631" w:rsidRPr="007558A0" w:rsidRDefault="000F4631" w:rsidP="000F4631">
      <w:pPr>
        <w:pStyle w:val="ListBullet2"/>
        <w:numPr>
          <w:ilvl w:val="0"/>
          <w:numId w:val="0"/>
        </w:numPr>
        <w:spacing w:before="240"/>
        <w:rPr>
          <w:rFonts w:cs="Arial"/>
          <w:i/>
          <w:strike/>
          <w:color w:val="00B274"/>
        </w:rPr>
      </w:pPr>
      <w:r w:rsidRPr="007558A0">
        <w:rPr>
          <w:rFonts w:cs="Arial"/>
          <w:i/>
          <w:strike/>
          <w:color w:val="00B274"/>
        </w:rPr>
        <w:t>The Code Administrator may set alternative subheadings appropriate to the specific Code.</w:t>
      </w:r>
    </w:p>
    <w:p w14:paraId="65409C01" w14:textId="77777777" w:rsidR="000F4631" w:rsidRPr="007558A0" w:rsidRDefault="000F4631" w:rsidP="000F4631">
      <w:pPr>
        <w:pStyle w:val="Heading4"/>
        <w:keepLines w:val="0"/>
        <w:numPr>
          <w:ilvl w:val="0"/>
          <w:numId w:val="0"/>
        </w:numPr>
        <w:spacing w:before="240"/>
        <w:rPr>
          <w:rFonts w:ascii="Arial" w:eastAsia="Times New Roman" w:hAnsi="Arial" w:cs="Arial"/>
          <w:i w:val="0"/>
          <w:iCs w:val="0"/>
          <w:strike/>
          <w:color w:val="008576"/>
          <w:sz w:val="24"/>
          <w:szCs w:val="28"/>
        </w:rPr>
      </w:pPr>
      <w:r w:rsidRPr="007558A0">
        <w:rPr>
          <w:rFonts w:ascii="Arial" w:eastAsia="Times New Roman" w:hAnsi="Arial" w:cs="Arial"/>
          <w:i w:val="0"/>
          <w:iCs w:val="0"/>
          <w:strike/>
          <w:color w:val="008576"/>
          <w:sz w:val="24"/>
          <w:szCs w:val="28"/>
        </w:rPr>
        <w:t>Insert subheading here</w:t>
      </w:r>
    </w:p>
    <w:p w14:paraId="7AADBDCF" w14:textId="77777777" w:rsidR="000F4631" w:rsidRPr="007558A0" w:rsidRDefault="000F4631" w:rsidP="000F4631">
      <w:pPr>
        <w:rPr>
          <w:strike/>
        </w:rPr>
      </w:pPr>
      <w:r w:rsidRPr="007558A0">
        <w:rPr>
          <w:strike/>
        </w:rPr>
        <w:t>Insert text here</w:t>
      </w:r>
    </w:p>
    <w:p w14:paraId="721E2C82" w14:textId="7C4189BD" w:rsidR="000C124B" w:rsidRPr="00D1570A" w:rsidRDefault="000C124B" w:rsidP="000C124B">
      <w:pPr>
        <w:pStyle w:val="Heading02"/>
      </w:pPr>
      <w:bookmarkStart w:id="28" w:name="_Toc504395618"/>
      <w:r>
        <w:t>Appendices</w:t>
      </w:r>
      <w:bookmarkEnd w:id="28"/>
    </w:p>
    <w:p w14:paraId="7C2FAE77" w14:textId="77777777" w:rsidR="005631F9" w:rsidRDefault="005631F9" w:rsidP="005631F9">
      <w:pPr>
        <w:rPr>
          <w:rFonts w:eastAsia="Cambria" w:cs="Arial"/>
          <w:color w:val="FF0000"/>
          <w:sz w:val="21"/>
          <w:szCs w:val="21"/>
        </w:rPr>
      </w:pPr>
    </w:p>
    <w:p w14:paraId="3753459B" w14:textId="5DD63116" w:rsidR="00D22CEB" w:rsidRDefault="005631F9" w:rsidP="0002309B">
      <w:pPr>
        <w:rPr>
          <w:rFonts w:eastAsia="Cambria" w:cs="Arial"/>
          <w:color w:val="FF0000"/>
          <w:sz w:val="21"/>
          <w:szCs w:val="21"/>
        </w:rPr>
      </w:pPr>
      <w:r>
        <w:rPr>
          <w:rFonts w:eastAsia="Cambria" w:cs="Arial"/>
          <w:color w:val="FF0000"/>
          <w:sz w:val="21"/>
          <w:szCs w:val="21"/>
        </w:rPr>
        <w:t xml:space="preserve">Appendix: </w:t>
      </w:r>
      <w:r w:rsidR="000C124B" w:rsidRPr="006835CA">
        <w:rPr>
          <w:rFonts w:eastAsia="Cambria" w:cs="Arial"/>
          <w:color w:val="FF0000"/>
          <w:sz w:val="21"/>
          <w:szCs w:val="21"/>
        </w:rPr>
        <w:t>C</w:t>
      </w:r>
      <w:r w:rsidR="000C124B" w:rsidRPr="00EC6DFA">
        <w:rPr>
          <w:rFonts w:eastAsia="Cambria" w:cs="Arial"/>
          <w:color w:val="FF0000"/>
          <w:sz w:val="21"/>
          <w:szCs w:val="21"/>
        </w:rPr>
        <w:t>ustomer/stakeholder obj</w:t>
      </w:r>
      <w:r w:rsidR="000C124B">
        <w:rPr>
          <w:rFonts w:eastAsia="Cambria" w:cs="Arial"/>
          <w:color w:val="FF0000"/>
          <w:sz w:val="21"/>
          <w:szCs w:val="21"/>
        </w:rPr>
        <w:t>ectives developed within NTSCMF</w:t>
      </w:r>
    </w:p>
    <w:p w14:paraId="5618B3F1" w14:textId="2CBC8705" w:rsidR="004D4875" w:rsidRDefault="004D4875">
      <w:pPr>
        <w:spacing w:before="0" w:after="0" w:line="240" w:lineRule="auto"/>
        <w:rPr>
          <w:rFonts w:eastAsia="Cambria" w:cs="Arial"/>
          <w:color w:val="FF0000"/>
          <w:sz w:val="21"/>
          <w:szCs w:val="21"/>
        </w:rPr>
      </w:pPr>
      <w:r>
        <w:rPr>
          <w:rFonts w:eastAsia="Cambria" w:cs="Arial"/>
          <w:color w:val="FF0000"/>
          <w:sz w:val="21"/>
          <w:szCs w:val="21"/>
        </w:rPr>
        <w:br w:type="page"/>
      </w:r>
    </w:p>
    <w:p w14:paraId="5794A434" w14:textId="77777777" w:rsidR="004D4875" w:rsidRDefault="004D4875" w:rsidP="0002309B">
      <w:pPr>
        <w:rPr>
          <w:rFonts w:eastAsia="Cambria" w:cs="Arial"/>
          <w:color w:val="FF0000"/>
          <w:sz w:val="21"/>
          <w:szCs w:val="21"/>
        </w:rPr>
      </w:pPr>
    </w:p>
    <w:p w14:paraId="64D6DBA5" w14:textId="77777777" w:rsidR="004D4875" w:rsidRPr="004D4875" w:rsidRDefault="004D4875" w:rsidP="004D4875">
      <w:pPr>
        <w:rPr>
          <w:rFonts w:cs="Arial"/>
        </w:rPr>
      </w:pPr>
      <w:r w:rsidRPr="004D4875">
        <w:rPr>
          <w:rFonts w:cs="Arial"/>
        </w:rPr>
        <w:t>Part III</w:t>
      </w:r>
      <w:r w:rsidRPr="004D4875">
        <w:rPr>
          <w:rFonts w:cs="Arial"/>
        </w:rPr>
        <w:tab/>
        <w:t>Workgroup sub-report 0621A</w:t>
      </w:r>
    </w:p>
    <w:p w14:paraId="21B54387" w14:textId="77777777" w:rsidR="004D4875" w:rsidRPr="004D4875" w:rsidRDefault="004D4875" w:rsidP="004D4875">
      <w:pPr>
        <w:rPr>
          <w:rFonts w:cs="Arial"/>
        </w:rPr>
      </w:pPr>
      <w:r w:rsidRPr="004D4875">
        <w:rPr>
          <w:rFonts w:cs="Arial"/>
        </w:rPr>
        <w:t>Part IV</w:t>
      </w:r>
      <w:r w:rsidRPr="004D4875">
        <w:rPr>
          <w:rFonts w:cs="Arial"/>
        </w:rPr>
        <w:tab/>
        <w:t>Workgroup sub-report 0621B</w:t>
      </w:r>
    </w:p>
    <w:p w14:paraId="41EC4BD0" w14:textId="77777777" w:rsidR="004D4875" w:rsidRPr="004D4875" w:rsidRDefault="004D4875" w:rsidP="004D4875">
      <w:pPr>
        <w:rPr>
          <w:rFonts w:cs="Arial"/>
        </w:rPr>
      </w:pPr>
      <w:r w:rsidRPr="004D4875">
        <w:rPr>
          <w:rFonts w:cs="Arial"/>
        </w:rPr>
        <w:t>Part V</w:t>
      </w:r>
      <w:r w:rsidRPr="004D4875">
        <w:rPr>
          <w:rFonts w:cs="Arial"/>
        </w:rPr>
        <w:tab/>
        <w:t>Workgroup sub-report 0621C</w:t>
      </w:r>
    </w:p>
    <w:p w14:paraId="21254621" w14:textId="77777777" w:rsidR="004D4875" w:rsidRPr="004D4875" w:rsidRDefault="004D4875" w:rsidP="004D4875">
      <w:pPr>
        <w:rPr>
          <w:rFonts w:cs="Arial"/>
        </w:rPr>
      </w:pPr>
      <w:r w:rsidRPr="004D4875">
        <w:rPr>
          <w:rFonts w:cs="Arial"/>
        </w:rPr>
        <w:t>Part VI</w:t>
      </w:r>
      <w:r w:rsidRPr="004D4875">
        <w:rPr>
          <w:rFonts w:cs="Arial"/>
        </w:rPr>
        <w:tab/>
        <w:t>Workgroup sub-report 0621D</w:t>
      </w:r>
    </w:p>
    <w:p w14:paraId="2E00121E" w14:textId="77777777" w:rsidR="004D4875" w:rsidRPr="004D4875" w:rsidRDefault="004D4875" w:rsidP="004D4875">
      <w:pPr>
        <w:rPr>
          <w:rFonts w:cs="Arial"/>
        </w:rPr>
      </w:pPr>
      <w:r w:rsidRPr="004D4875">
        <w:rPr>
          <w:rFonts w:cs="Arial"/>
        </w:rPr>
        <w:t>Part VII</w:t>
      </w:r>
      <w:r w:rsidRPr="004D4875">
        <w:rPr>
          <w:rFonts w:cs="Arial"/>
        </w:rPr>
        <w:tab/>
        <w:t>Workgroup sub-report 0621E</w:t>
      </w:r>
    </w:p>
    <w:p w14:paraId="53C3D03B" w14:textId="635A41E7" w:rsidR="004D4875" w:rsidRPr="004D4875" w:rsidRDefault="004D4875" w:rsidP="004D4875">
      <w:pPr>
        <w:rPr>
          <w:rFonts w:cs="Arial"/>
        </w:rPr>
      </w:pPr>
      <w:r w:rsidRPr="004D4875">
        <w:rPr>
          <w:rFonts w:cs="Arial"/>
        </w:rPr>
        <w:t>Part VIII</w:t>
      </w:r>
      <w:r>
        <w:rPr>
          <w:rFonts w:cs="Arial"/>
        </w:rPr>
        <w:t xml:space="preserve"> W</w:t>
      </w:r>
      <w:r w:rsidRPr="004D4875">
        <w:rPr>
          <w:rFonts w:cs="Arial"/>
        </w:rPr>
        <w:t>orkgroup sub-report 0621F</w:t>
      </w:r>
    </w:p>
    <w:p w14:paraId="1A183E47" w14:textId="77777777" w:rsidR="004D4875" w:rsidRPr="004D4875" w:rsidRDefault="004D4875" w:rsidP="004D4875">
      <w:pPr>
        <w:rPr>
          <w:rFonts w:cs="Arial"/>
        </w:rPr>
      </w:pPr>
      <w:r w:rsidRPr="004D4875">
        <w:rPr>
          <w:rFonts w:cs="Arial"/>
        </w:rPr>
        <w:t>Part IX</w:t>
      </w:r>
      <w:r w:rsidRPr="004D4875">
        <w:rPr>
          <w:rFonts w:cs="Arial"/>
        </w:rPr>
        <w:tab/>
        <w:t>Workgroup sub-report 0621G</w:t>
      </w:r>
    </w:p>
    <w:p w14:paraId="2F19F147" w14:textId="77777777" w:rsidR="004D4875" w:rsidRPr="004D4875" w:rsidRDefault="004D4875" w:rsidP="004D4875">
      <w:pPr>
        <w:rPr>
          <w:rFonts w:cs="Arial"/>
        </w:rPr>
      </w:pPr>
      <w:r w:rsidRPr="004D4875">
        <w:rPr>
          <w:rFonts w:cs="Arial"/>
        </w:rPr>
        <w:t>Part X</w:t>
      </w:r>
      <w:r w:rsidRPr="004D4875">
        <w:rPr>
          <w:rFonts w:cs="Arial"/>
        </w:rPr>
        <w:tab/>
        <w:t>Workgroup sub-report 0621H</w:t>
      </w:r>
    </w:p>
    <w:p w14:paraId="0CBC13D3" w14:textId="1149EF36" w:rsidR="004D4875" w:rsidRPr="00D1570A" w:rsidRDefault="004D4875" w:rsidP="004D4875">
      <w:pPr>
        <w:rPr>
          <w:rFonts w:cs="Arial"/>
        </w:rPr>
      </w:pPr>
      <w:r w:rsidRPr="004D4875">
        <w:rPr>
          <w:rFonts w:cs="Arial"/>
        </w:rPr>
        <w:t>Part XI</w:t>
      </w:r>
      <w:r w:rsidRPr="004D4875">
        <w:rPr>
          <w:rFonts w:cs="Arial"/>
        </w:rPr>
        <w:tab/>
        <w:t>Workgroup sub-report 0621J</w:t>
      </w:r>
    </w:p>
    <w:sectPr w:rsidR="004D4875" w:rsidRPr="00D1570A" w:rsidSect="00F34F88">
      <w:headerReference w:type="default" r:id="rId47"/>
      <w:footerReference w:type="default" r:id="rId48"/>
      <w:type w:val="continuous"/>
      <w:pgSz w:w="11906" w:h="16838"/>
      <w:pgMar w:top="1113" w:right="1416" w:bottom="567" w:left="1134" w:header="144" w:footer="70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Author" w:initials="A">
    <w:p w14:paraId="5526602C" w14:textId="41DA96CD" w:rsidR="0061725B" w:rsidRDefault="0061725B">
      <w:pPr>
        <w:pStyle w:val="CommentText"/>
      </w:pPr>
      <w:r>
        <w:rPr>
          <w:rStyle w:val="CommentReference"/>
        </w:rPr>
        <w:annotationRef/>
      </w:r>
      <w:r>
        <w:rPr>
          <w:noProof/>
        </w:rPr>
        <w:t>0621A text suggested by Nick Wye / B Enault Storengy, for discussion at workgroup on 23 Jan 18</w:t>
      </w:r>
    </w:p>
  </w:comment>
  <w:comment w:id="10" w:author="Author" w:initials="A">
    <w:p w14:paraId="0B44B0F8" w14:textId="3CB1048D" w:rsidR="00A3215D" w:rsidRDefault="00A3215D">
      <w:pPr>
        <w:pStyle w:val="CommentText"/>
      </w:pPr>
      <w:r>
        <w:rPr>
          <w:rStyle w:val="CommentReference"/>
        </w:rPr>
        <w:annotationRef/>
      </w:r>
      <w:r>
        <w:t>First draft of text to be reviewed by workgroup 04/04/18 or 12/04/18</w:t>
      </w:r>
    </w:p>
  </w:comment>
  <w:comment w:id="11" w:author="Author" w:initials="A">
    <w:p w14:paraId="696506F2" w14:textId="65DE1DBD" w:rsidR="00964237" w:rsidRDefault="00964237">
      <w:pPr>
        <w:pStyle w:val="CommentText"/>
      </w:pPr>
      <w:r>
        <w:rPr>
          <w:rStyle w:val="CommentReference"/>
        </w:rPr>
        <w:annotationRef/>
      </w:r>
      <w:r>
        <w:t>Workgroup response on 120418</w:t>
      </w:r>
    </w:p>
  </w:comment>
  <w:comment w:id="12" w:author="Author" w:initials="A">
    <w:p w14:paraId="0F4593C3" w14:textId="3C96E42C" w:rsidR="0061725B" w:rsidRDefault="0061725B">
      <w:pPr>
        <w:pStyle w:val="CommentText"/>
      </w:pPr>
      <w:r>
        <w:rPr>
          <w:rStyle w:val="CommentReference"/>
        </w:rPr>
        <w:annotationRef/>
      </w:r>
      <w:r>
        <w:t>RH suggestion to promote discussion as to why such a charge is desirable</w:t>
      </w:r>
    </w:p>
  </w:comment>
  <w:comment w:id="13" w:author="Author" w:initials="A">
    <w:p w14:paraId="4657A707" w14:textId="17D960C0" w:rsidR="0061725B" w:rsidRDefault="0061725B">
      <w:pPr>
        <w:pStyle w:val="CommentText"/>
      </w:pPr>
      <w:r>
        <w:rPr>
          <w:rStyle w:val="CommentReference"/>
        </w:rPr>
        <w:annotationRef/>
      </w:r>
      <w:r>
        <w:rPr>
          <w:noProof/>
        </w:rPr>
        <w:t>inclusion requested by D Hawkins 11 Jan 18</w:t>
      </w:r>
    </w:p>
  </w:comment>
  <w:comment w:id="14" w:author="Author" w:initials="A">
    <w:p w14:paraId="4C0A335A" w14:textId="78C89B06" w:rsidR="0061725B" w:rsidRDefault="0061725B">
      <w:pPr>
        <w:pStyle w:val="CommentText"/>
      </w:pPr>
      <w:r>
        <w:rPr>
          <w:rStyle w:val="CommentReference"/>
        </w:rPr>
        <w:annotationRef/>
      </w:r>
      <w:r>
        <w:t>from 11 Jan 18 meeting</w:t>
      </w:r>
    </w:p>
  </w:comment>
  <w:comment w:id="15" w:author="Author" w:initials="A">
    <w:p w14:paraId="248D5EB9" w14:textId="77777777" w:rsidR="0061725B" w:rsidRDefault="0061725B" w:rsidP="00BF1257">
      <w:pPr>
        <w:pStyle w:val="CommentText"/>
      </w:pPr>
      <w:r>
        <w:rPr>
          <w:rStyle w:val="CommentReference"/>
        </w:rPr>
        <w:annotationRef/>
      </w:r>
      <w:r>
        <w:rPr>
          <w:rStyle w:val="CommentReference"/>
        </w:rPr>
        <w:annotationRef/>
      </w:r>
      <w:r>
        <w:t>from 11 Jan 18 meeting</w:t>
      </w:r>
    </w:p>
    <w:p w14:paraId="5E77A351" w14:textId="77777777" w:rsidR="0061725B" w:rsidRDefault="0061725B" w:rsidP="00BF1257">
      <w:pPr>
        <w:pStyle w:val="CommentText"/>
      </w:pPr>
    </w:p>
  </w:comment>
  <w:comment w:id="17" w:author="Author" w:initials="A">
    <w:p w14:paraId="5671F602" w14:textId="7273F481" w:rsidR="0061725B" w:rsidRDefault="0061725B">
      <w:pPr>
        <w:pStyle w:val="CommentText"/>
      </w:pPr>
      <w:r>
        <w:rPr>
          <w:rStyle w:val="CommentReference"/>
        </w:rPr>
        <w:annotationRef/>
      </w:r>
      <w:r>
        <w:t>check link</w:t>
      </w:r>
    </w:p>
  </w:comment>
  <w:comment w:id="18" w:author="Author" w:initials="A">
    <w:p w14:paraId="11A95309" w14:textId="667810BD" w:rsidR="0061725B" w:rsidRDefault="0061725B">
      <w:pPr>
        <w:pStyle w:val="CommentText"/>
      </w:pPr>
      <w:r>
        <w:rPr>
          <w:rStyle w:val="CommentReference"/>
        </w:rPr>
        <w:annotationRef/>
      </w:r>
      <w:r>
        <w:t xml:space="preserve">check </w:t>
      </w:r>
      <w:r w:rsidRPr="00E21FCF">
        <w:t>0621E</w:t>
      </w:r>
      <w:r>
        <w:t xml:space="preserve">. In comparison table publication of CWD distances and FCCCs had “?” for 0621E </w:t>
      </w:r>
    </w:p>
    <w:p w14:paraId="353B97FA" w14:textId="77777777" w:rsidR="0061725B" w:rsidRDefault="0061725B">
      <w:pPr>
        <w:pStyle w:val="CommentText"/>
      </w:pPr>
    </w:p>
  </w:comment>
  <w:comment w:id="16" w:author="Author" w:initials="A">
    <w:p w14:paraId="49B6E00F" w14:textId="0E4DC0F8" w:rsidR="0061725B" w:rsidRDefault="0061725B">
      <w:pPr>
        <w:pStyle w:val="CommentText"/>
      </w:pPr>
      <w:r>
        <w:rPr>
          <w:rStyle w:val="CommentReference"/>
        </w:rPr>
        <w:annotationRef/>
      </w:r>
      <w:r>
        <w:t>first draft of text, to be reviewed/edited by workgroup 04/04/18</w:t>
      </w:r>
    </w:p>
  </w:comment>
  <w:comment w:id="19" w:author="Author" w:initials="A">
    <w:p w14:paraId="7B393037" w14:textId="3F1C5217" w:rsidR="0061725B" w:rsidRDefault="0061725B">
      <w:pPr>
        <w:pStyle w:val="CommentText"/>
      </w:pPr>
      <w:r>
        <w:rPr>
          <w:rStyle w:val="CommentReference"/>
        </w:rPr>
        <w:annotationRef/>
      </w:r>
      <w:r>
        <w:t>is it necessary to clarify the period in which these will apply or is it from implementation?</w:t>
      </w:r>
    </w:p>
  </w:comment>
  <w:comment w:id="20" w:author="Author" w:initials="A">
    <w:p w14:paraId="2FEB78A5" w14:textId="77777777" w:rsidR="0061725B" w:rsidRDefault="0061725B" w:rsidP="00F64CD9">
      <w:pPr>
        <w:pStyle w:val="CommentText"/>
      </w:pPr>
      <w:r>
        <w:rPr>
          <w:rStyle w:val="CommentReference"/>
        </w:rPr>
        <w:annotationRef/>
      </w:r>
      <w:r>
        <w:t>first draft of text, to be reviewed/edited by workgroup 04/04/18</w:t>
      </w:r>
    </w:p>
    <w:p w14:paraId="6B78BC45" w14:textId="11DB94E3" w:rsidR="0061725B" w:rsidRDefault="0061725B">
      <w:pPr>
        <w:pStyle w:val="CommentText"/>
      </w:pPr>
    </w:p>
  </w:comment>
  <w:comment w:id="22" w:author="Author" w:initials="A">
    <w:p w14:paraId="0B9298D6" w14:textId="77777777" w:rsidR="0061725B" w:rsidRDefault="0061725B" w:rsidP="0001704C">
      <w:r>
        <w:rPr>
          <w:rStyle w:val="CommentReference"/>
        </w:rPr>
        <w:annotationRef/>
      </w:r>
      <w:r>
        <w:rPr>
          <w:noProof/>
        </w:rPr>
        <w:t xml:space="preserve">(cost reflectivity? Security of </w:t>
      </w:r>
      <w:r>
        <w:t>supply, legislation?)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26602C" w15:done="0"/>
  <w15:commentEx w15:paraId="0B44B0F8" w15:done="0"/>
  <w15:commentEx w15:paraId="696506F2" w15:done="0"/>
  <w15:commentEx w15:paraId="0F4593C3" w15:done="0"/>
  <w15:commentEx w15:paraId="4657A707" w15:done="0"/>
  <w15:commentEx w15:paraId="4C0A335A" w15:done="0"/>
  <w15:commentEx w15:paraId="5E77A351" w15:done="0"/>
  <w15:commentEx w15:paraId="5671F602" w15:done="0"/>
  <w15:commentEx w15:paraId="353B97FA" w15:done="0"/>
  <w15:commentEx w15:paraId="49B6E00F" w15:done="0"/>
  <w15:commentEx w15:paraId="7B393037" w15:done="0"/>
  <w15:commentEx w15:paraId="6B78BC45" w15:done="0"/>
  <w15:commentEx w15:paraId="0B9298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26602C" w16cid:durableId="1E67426C"/>
  <w16cid:commentId w16cid:paraId="0B44B0F8" w16cid:durableId="1E67B5ED"/>
  <w16cid:commentId w16cid:paraId="696506F2" w16cid:durableId="1E67B798"/>
  <w16cid:commentId w16cid:paraId="0F4593C3" w16cid:durableId="1E67426D"/>
  <w16cid:commentId w16cid:paraId="4657A707" w16cid:durableId="1E67426E"/>
  <w16cid:commentId w16cid:paraId="4C0A335A" w16cid:durableId="1E67426F"/>
  <w16cid:commentId w16cid:paraId="5E77A351" w16cid:durableId="1E674270"/>
  <w16cid:commentId w16cid:paraId="5671F602" w16cid:durableId="1E67846C"/>
  <w16cid:commentId w16cid:paraId="353B97FA" w16cid:durableId="1E6785FC"/>
  <w16cid:commentId w16cid:paraId="49B6E00F" w16cid:durableId="1E678240"/>
  <w16cid:commentId w16cid:paraId="7B393037" w16cid:durableId="1E6787A1"/>
  <w16cid:commentId w16cid:paraId="6B78BC45" w16cid:durableId="1E678AE1"/>
  <w16cid:commentId w16cid:paraId="0B9298D6" w16cid:durableId="1E6742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B3AA2" w14:textId="77777777" w:rsidR="00CB6848" w:rsidRDefault="00CB6848">
      <w:pPr>
        <w:spacing w:line="240" w:lineRule="auto"/>
      </w:pPr>
      <w:r>
        <w:separator/>
      </w:r>
    </w:p>
    <w:p w14:paraId="5D852CFF" w14:textId="77777777" w:rsidR="00CB6848" w:rsidRDefault="00CB6848"/>
  </w:endnote>
  <w:endnote w:type="continuationSeparator" w:id="0">
    <w:p w14:paraId="23FD9728" w14:textId="77777777" w:rsidR="00CB6848" w:rsidRDefault="00CB6848">
      <w:pPr>
        <w:spacing w:line="240" w:lineRule="auto"/>
      </w:pPr>
      <w:r>
        <w:continuationSeparator/>
      </w:r>
    </w:p>
    <w:p w14:paraId="529CB1A5" w14:textId="77777777" w:rsidR="00CB6848" w:rsidRDefault="00CB68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20B0604020202020204"/>
    <w:charset w:val="00"/>
    <w:family w:val="auto"/>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7"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AA3E8" w14:textId="28FC9C97" w:rsidR="0061725B" w:rsidRPr="00897DA5" w:rsidRDefault="0061725B" w:rsidP="00EA3F0B">
    <w:pPr>
      <w:pStyle w:val="Footer"/>
      <w:pBdr>
        <w:top w:val="single" w:sz="4" w:space="1" w:color="auto"/>
      </w:pBdr>
      <w:tabs>
        <w:tab w:val="clear" w:pos="4320"/>
        <w:tab w:val="clear" w:pos="8640"/>
        <w:tab w:val="left" w:pos="2532"/>
        <w:tab w:val="center" w:pos="4962"/>
        <w:tab w:val="right" w:pos="9356"/>
      </w:tabs>
      <w:spacing w:before="0" w:after="0" w:line="240" w:lineRule="auto"/>
      <w:rPr>
        <w:rFonts w:cs="Arial"/>
        <w:sz w:val="16"/>
        <w:szCs w:val="16"/>
      </w:rPr>
    </w:pPr>
    <w:r>
      <w:rPr>
        <w:rFonts w:cs="Arial"/>
        <w:sz w:val="16"/>
        <w:szCs w:val="16"/>
      </w:rPr>
      <w:t>UNC 0621</w:t>
    </w:r>
    <w:r w:rsidR="00E03442">
      <w:rPr>
        <w:rFonts w:cs="Arial"/>
        <w:sz w:val="16"/>
        <w:szCs w:val="16"/>
      </w:rPr>
      <w:t>/A/B/C/D/E/F/G/H/J</w:t>
    </w:r>
    <w:r>
      <w:rPr>
        <w:rFonts w:cs="Arial"/>
        <w:sz w:val="16"/>
        <w:szCs w:val="16"/>
      </w:rPr>
      <w:tab/>
    </w:r>
    <w:r>
      <w:rPr>
        <w:rFonts w:cs="Arial"/>
        <w:sz w:val="16"/>
        <w:szCs w:val="16"/>
      </w:rPr>
      <w:tab/>
    </w:r>
    <w:r w:rsidRPr="000660DF">
      <w:rPr>
        <w:rFonts w:cs="Arial"/>
        <w:sz w:val="16"/>
        <w:szCs w:val="16"/>
        <w:lang w:val="en-US"/>
      </w:rPr>
      <w:t xml:space="preserve">Page </w:t>
    </w:r>
    <w:r w:rsidRPr="000660DF">
      <w:rPr>
        <w:rFonts w:cs="Arial"/>
        <w:sz w:val="16"/>
        <w:szCs w:val="16"/>
        <w:lang w:val="en-US"/>
      </w:rPr>
      <w:fldChar w:fldCharType="begin"/>
    </w:r>
    <w:r w:rsidRPr="000660DF">
      <w:rPr>
        <w:rFonts w:cs="Arial"/>
        <w:sz w:val="16"/>
        <w:szCs w:val="16"/>
        <w:lang w:val="en-US"/>
      </w:rPr>
      <w:instrText xml:space="preserve"> PAGE </w:instrText>
    </w:r>
    <w:r w:rsidRPr="000660DF">
      <w:rPr>
        <w:rFonts w:cs="Arial"/>
        <w:sz w:val="16"/>
        <w:szCs w:val="16"/>
        <w:lang w:val="en-US"/>
      </w:rPr>
      <w:fldChar w:fldCharType="separate"/>
    </w:r>
    <w:r>
      <w:rPr>
        <w:rFonts w:cs="Arial"/>
        <w:noProof/>
        <w:sz w:val="16"/>
        <w:szCs w:val="16"/>
        <w:lang w:val="en-US"/>
      </w:rPr>
      <w:t>22</w:t>
    </w:r>
    <w:r w:rsidRPr="000660DF">
      <w:rPr>
        <w:rFonts w:cs="Arial"/>
        <w:sz w:val="16"/>
        <w:szCs w:val="16"/>
        <w:lang w:val="en-US"/>
      </w:rPr>
      <w:fldChar w:fldCharType="end"/>
    </w:r>
    <w:r w:rsidRPr="000660DF">
      <w:rPr>
        <w:rFonts w:cs="Arial"/>
        <w:sz w:val="16"/>
        <w:szCs w:val="16"/>
        <w:lang w:val="en-US"/>
      </w:rPr>
      <w:t xml:space="preserve"> of </w:t>
    </w:r>
    <w:r w:rsidRPr="000660DF">
      <w:rPr>
        <w:rFonts w:cs="Arial"/>
        <w:sz w:val="16"/>
        <w:szCs w:val="16"/>
        <w:lang w:val="en-US"/>
      </w:rPr>
      <w:fldChar w:fldCharType="begin"/>
    </w:r>
    <w:r w:rsidRPr="000660DF">
      <w:rPr>
        <w:rFonts w:cs="Arial"/>
        <w:sz w:val="16"/>
        <w:szCs w:val="16"/>
        <w:lang w:val="en-US"/>
      </w:rPr>
      <w:instrText xml:space="preserve"> NUMPAGES </w:instrText>
    </w:r>
    <w:r w:rsidRPr="000660DF">
      <w:rPr>
        <w:rFonts w:cs="Arial"/>
        <w:sz w:val="16"/>
        <w:szCs w:val="16"/>
        <w:lang w:val="en-US"/>
      </w:rPr>
      <w:fldChar w:fldCharType="separate"/>
    </w:r>
    <w:r>
      <w:rPr>
        <w:rFonts w:cs="Arial"/>
        <w:noProof/>
        <w:sz w:val="16"/>
        <w:szCs w:val="16"/>
        <w:lang w:val="en-US"/>
      </w:rPr>
      <w:t>34</w:t>
    </w:r>
    <w:r w:rsidRPr="000660DF">
      <w:rPr>
        <w:rFonts w:cs="Arial"/>
        <w:sz w:val="16"/>
        <w:szCs w:val="16"/>
        <w:lang w:val="en-US"/>
      </w:rPr>
      <w:fldChar w:fldCharType="end"/>
    </w:r>
    <w:r w:rsidR="00E03442">
      <w:rPr>
        <w:rFonts w:cs="Arial"/>
        <w:sz w:val="16"/>
        <w:szCs w:val="16"/>
        <w:lang w:val="en-US"/>
      </w:rPr>
      <w:tab/>
      <w:t>Version 0.9</w:t>
    </w:r>
  </w:p>
  <w:p w14:paraId="6F3EDD82" w14:textId="3576C8A8" w:rsidR="0061725B" w:rsidRPr="000660DF" w:rsidRDefault="0061725B" w:rsidP="00FD0418">
    <w:pPr>
      <w:pStyle w:val="Footer"/>
      <w:pBdr>
        <w:top w:val="single" w:sz="4" w:space="1" w:color="auto"/>
      </w:pBdr>
      <w:tabs>
        <w:tab w:val="clear" w:pos="4320"/>
        <w:tab w:val="clear" w:pos="8640"/>
        <w:tab w:val="center" w:pos="4962"/>
        <w:tab w:val="right" w:pos="9356"/>
      </w:tabs>
      <w:spacing w:before="0" w:after="0" w:line="240" w:lineRule="auto"/>
      <w:jc w:val="center"/>
      <w:rPr>
        <w:rFonts w:cs="Arial"/>
        <w:sz w:val="16"/>
        <w:szCs w:val="16"/>
      </w:rPr>
    </w:pPr>
    <w:r>
      <w:rPr>
        <w:rFonts w:cs="Arial"/>
        <w:sz w:val="16"/>
        <w:szCs w:val="16"/>
        <w:lang w:val="en-US"/>
      </w:rPr>
      <w:t>Draft Workgroup Report</w:t>
    </w:r>
    <w:r>
      <w:rPr>
        <w:rFonts w:cs="Arial"/>
        <w:sz w:val="16"/>
        <w:szCs w:val="16"/>
        <w:lang w:val="en-US"/>
      </w:rPr>
      <w:tab/>
    </w:r>
    <w:r>
      <w:rPr>
        <w:rFonts w:cs="Arial"/>
        <w:sz w:val="16"/>
        <w:szCs w:val="16"/>
      </w:rPr>
      <w:tab/>
    </w:r>
    <w:r>
      <w:rPr>
        <w:rFonts w:cs="Arial"/>
        <w:sz w:val="16"/>
        <w:szCs w:val="16"/>
        <w:lang w:val="en-US"/>
      </w:rPr>
      <w:t>2</w:t>
    </w:r>
    <w:r w:rsidR="00E03442">
      <w:rPr>
        <w:rFonts w:cs="Arial"/>
        <w:sz w:val="16"/>
        <w:szCs w:val="16"/>
        <w:lang w:val="en-US"/>
      </w:rPr>
      <w:t>9</w:t>
    </w:r>
    <w:r>
      <w:rPr>
        <w:rFonts w:cs="Arial"/>
        <w:sz w:val="16"/>
        <w:szCs w:val="16"/>
        <w:lang w:val="en-US"/>
      </w:rPr>
      <w:t xml:space="preserve"> </w:t>
    </w:r>
    <w:r w:rsidR="00E03442">
      <w:rPr>
        <w:rFonts w:cs="Arial"/>
        <w:sz w:val="16"/>
        <w:szCs w:val="16"/>
        <w:lang w:val="en-US"/>
      </w:rPr>
      <w:t>March</w:t>
    </w:r>
    <w:r>
      <w:rPr>
        <w:rFonts w:cs="Arial"/>
        <w:sz w:val="16"/>
        <w:szCs w:val="16"/>
        <w:lang w:val="en-US"/>
      </w:rP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C55F0" w14:textId="77777777" w:rsidR="00CB6848" w:rsidRDefault="00CB6848">
      <w:pPr>
        <w:spacing w:line="240" w:lineRule="auto"/>
      </w:pPr>
      <w:r>
        <w:separator/>
      </w:r>
    </w:p>
    <w:p w14:paraId="2399BAB8" w14:textId="77777777" w:rsidR="00CB6848" w:rsidRDefault="00CB6848"/>
  </w:footnote>
  <w:footnote w:type="continuationSeparator" w:id="0">
    <w:p w14:paraId="30117AB0" w14:textId="77777777" w:rsidR="00CB6848" w:rsidRDefault="00CB6848">
      <w:pPr>
        <w:spacing w:line="240" w:lineRule="auto"/>
      </w:pPr>
      <w:r>
        <w:continuationSeparator/>
      </w:r>
    </w:p>
    <w:p w14:paraId="299C8542" w14:textId="77777777" w:rsidR="00CB6848" w:rsidRDefault="00CB6848"/>
  </w:footnote>
  <w:footnote w:id="1">
    <w:p w14:paraId="5C4BFACA" w14:textId="77777777" w:rsidR="0061725B" w:rsidRDefault="0061725B" w:rsidP="004D6F2C">
      <w:pPr>
        <w:pStyle w:val="FootnoteText"/>
      </w:pPr>
      <w:r>
        <w:rPr>
          <w:rStyle w:val="FootnoteReference"/>
        </w:rPr>
        <w:footnoteRef/>
      </w:r>
      <w:r>
        <w:t xml:space="preserve"> As described in Standard Special Condition A5:</w:t>
      </w:r>
      <w:r w:rsidRPr="00560D8D">
        <w:t xml:space="preserve"> </w:t>
      </w:r>
      <w:r>
        <w:t>‘</w:t>
      </w:r>
      <w:r w:rsidRPr="00560D8D">
        <w:t>Obligations as Regard Charging Methodology</w:t>
      </w:r>
      <w:r>
        <w:t>’ of the NTS Licence, paragraph 5.</w:t>
      </w:r>
    </w:p>
  </w:footnote>
  <w:footnote w:id="2">
    <w:p w14:paraId="4DF862BD" w14:textId="2CEB77BF" w:rsidR="0061725B" w:rsidRDefault="0061725B" w:rsidP="00D47185">
      <w:pPr>
        <w:pStyle w:val="Heading4"/>
        <w:keepLines w:val="0"/>
        <w:numPr>
          <w:ilvl w:val="0"/>
          <w:numId w:val="0"/>
        </w:numPr>
        <w:spacing w:before="120"/>
      </w:pPr>
      <w:r>
        <w:rPr>
          <w:rStyle w:val="FootnoteReference"/>
        </w:rPr>
        <w:footnoteRef/>
      </w:r>
      <w:r>
        <w:t xml:space="preserve"> </w:t>
      </w:r>
      <w:hyperlink r:id="rId1" w:history="1">
        <w:r w:rsidRPr="00D1570A">
          <w:rPr>
            <w:rStyle w:val="Hyperlink"/>
            <w:rFonts w:ascii="ArialMT" w:eastAsia="Cambria" w:hAnsi="ArialMT" w:cs="ArialMT"/>
            <w:b w:val="0"/>
            <w:szCs w:val="20"/>
          </w:rPr>
          <w:t>http://www.gasgovernance.co.uk/sites/default/files/EU%20Tariff%20Code%20-%20final%20clean.pdf</w:t>
        </w:r>
      </w:hyperlink>
    </w:p>
  </w:footnote>
  <w:footnote w:id="3">
    <w:p w14:paraId="4B0C52FD" w14:textId="5BD276B7" w:rsidR="0061725B" w:rsidRPr="00A523A9" w:rsidRDefault="0061725B">
      <w:pPr>
        <w:pStyle w:val="FootnoteText"/>
        <w:rPr>
          <w:i/>
        </w:rPr>
      </w:pPr>
      <w:r w:rsidRPr="00A523A9">
        <w:rPr>
          <w:rStyle w:val="FootnoteReference"/>
          <w:i/>
        </w:rPr>
        <w:footnoteRef/>
      </w:r>
      <w:r w:rsidRPr="00A523A9">
        <w:rPr>
          <w:i/>
        </w:rPr>
        <w:t xml:space="preserve"> </w:t>
      </w:r>
      <w:hyperlink r:id="rId2" w:history="1">
        <w:r w:rsidRPr="00E07408">
          <w:rPr>
            <w:rStyle w:val="Hyperlink"/>
            <w:i/>
          </w:rPr>
          <w:t>https://www.ofgem.gov.uk/gas/transmission-networks/gas-transmission-charging-review</w:t>
        </w:r>
      </w:hyperlink>
      <w:r>
        <w:rPr>
          <w:i/>
        </w:rPr>
        <w:t xml:space="preserve"> </w:t>
      </w:r>
    </w:p>
  </w:footnote>
  <w:footnote w:id="4">
    <w:p w14:paraId="2B2E605D" w14:textId="77777777" w:rsidR="0061725B" w:rsidRDefault="0061725B" w:rsidP="00B60DC2">
      <w:pPr>
        <w:pStyle w:val="FootnoteText"/>
      </w:pPr>
      <w:r>
        <w:rPr>
          <w:rStyle w:val="FootnoteReference"/>
        </w:rPr>
        <w:footnoteRef/>
      </w:r>
      <w:r>
        <w:t xml:space="preserve"> See </w:t>
      </w:r>
      <w:hyperlink r:id="rId3" w:history="1">
        <w:r w:rsidRPr="005E05A8">
          <w:rPr>
            <w:rStyle w:val="Hyperlink"/>
            <w:rFonts w:eastAsia="Cambria" w:cs="Arial"/>
          </w:rPr>
          <w:t>https://www.gasgovernance.co.uk/ntscmf/subg1model</w:t>
        </w:r>
      </w:hyperlink>
    </w:p>
  </w:footnote>
  <w:footnote w:id="5">
    <w:p w14:paraId="3B117AF6" w14:textId="77777777" w:rsidR="0061725B" w:rsidRDefault="0061725B" w:rsidP="00AA0B23">
      <w:pPr>
        <w:pStyle w:val="FootnoteText"/>
      </w:pPr>
      <w:r>
        <w:rPr>
          <w:rStyle w:val="FootnoteReference"/>
        </w:rPr>
        <w:footnoteRef/>
      </w:r>
      <w:r>
        <w:t xml:space="preserve"> </w:t>
      </w:r>
      <w:hyperlink r:id="rId4" w:history="1">
        <w:r w:rsidRPr="001B41B0">
          <w:rPr>
            <w:rStyle w:val="Hyperlink"/>
          </w:rPr>
          <w:t>https://www.gasgovernance.co.uk/sites/default/files/ggf/book/2017-08/Bacton%20IP%20capacity%20discount%20paper%20IUK%20v2.0.pdf</w:t>
        </w:r>
      </w:hyperlink>
      <w:r>
        <w:t xml:space="preserve"> </w:t>
      </w:r>
    </w:p>
  </w:footnote>
  <w:footnote w:id="6">
    <w:p w14:paraId="28A6F2CE" w14:textId="65C1F170" w:rsidR="0061725B" w:rsidRPr="003C1A4C" w:rsidRDefault="0061725B" w:rsidP="00AA0B23">
      <w:pPr>
        <w:pStyle w:val="FootnoteText"/>
        <w:jc w:val="both"/>
        <w:rPr>
          <w:rFonts w:asciiTheme="minorHAnsi" w:hAnsiTheme="minorHAnsi" w:cstheme="minorHAnsi"/>
        </w:rPr>
      </w:pPr>
      <w:r w:rsidRPr="003C1A4C">
        <w:rPr>
          <w:rStyle w:val="FootnoteReference"/>
          <w:rFonts w:asciiTheme="minorHAnsi" w:hAnsiTheme="minorHAnsi" w:cstheme="minorHAnsi"/>
        </w:rPr>
        <w:footnoteRef/>
      </w:r>
      <w:r w:rsidRPr="003C1A4C">
        <w:rPr>
          <w:rFonts w:asciiTheme="minorHAnsi" w:hAnsiTheme="minorHAnsi" w:cstheme="minorHAnsi"/>
        </w:rPr>
        <w:t xml:space="preserve"> </w:t>
      </w:r>
      <w:r w:rsidR="00586D62" w:rsidRPr="00586D62">
        <w:rPr>
          <w:rFonts w:asciiTheme="minorHAnsi" w:hAnsiTheme="minorHAnsi" w:cstheme="minorHAnsi"/>
        </w:rPr>
        <w:t>Interconnector UK</w:t>
      </w:r>
      <w:r w:rsidR="00586D62" w:rsidRPr="00B75418">
        <w:rPr>
          <w:rFonts w:asciiTheme="minorHAnsi" w:hAnsiTheme="minorHAnsi" w:cstheme="minorHAnsi"/>
          <w:b/>
        </w:rPr>
        <w:t xml:space="preserve"> </w:t>
      </w:r>
      <w:r w:rsidRPr="003C1A4C">
        <w:rPr>
          <w:rFonts w:asciiTheme="minorHAnsi" w:hAnsiTheme="minorHAnsi" w:cstheme="minorHAnsi"/>
        </w:rPr>
        <w:t>used the 2014/15 gas year as an illustration assuming profiled capacity bookings. In this year, there were 42TWh of GB exports and 31TWh of GB imports through the Bacton IP with a total NTS transmission volume of 750TWh (Energy Trends monthly data shown in Figure 1).  Applying a discount of 50% to the Bacton net IP total of 62TWh compared to total entry + exit of 2*750TWh = 1500TWh would mean 2.1% of TSO revenue would be redistributed and recovered from other points on the network (62/1500 * 50%). A 50% discount on the gross Bacton IP flows under this illustration for an option (a) approach would mean a 2.4% increase in charges at other points (73/1500 * 50% = 2.4% impact).</w:t>
      </w:r>
    </w:p>
  </w:footnote>
  <w:footnote w:id="7">
    <w:p w14:paraId="27BD8E99" w14:textId="1F9460DC" w:rsidR="0061725B" w:rsidRDefault="0061725B" w:rsidP="00AA0B23">
      <w:pPr>
        <w:pStyle w:val="FootnoteText"/>
        <w:jc w:val="both"/>
      </w:pPr>
      <w:r w:rsidRPr="003C1A4C">
        <w:rPr>
          <w:rStyle w:val="FootnoteReference"/>
          <w:rFonts w:asciiTheme="minorHAnsi" w:hAnsiTheme="minorHAnsi" w:cstheme="minorHAnsi"/>
        </w:rPr>
        <w:footnoteRef/>
      </w:r>
      <w:r w:rsidRPr="003C1A4C">
        <w:rPr>
          <w:rFonts w:asciiTheme="minorHAnsi" w:hAnsiTheme="minorHAnsi" w:cstheme="minorHAnsi"/>
        </w:rPr>
        <w:t xml:space="preserve"> </w:t>
      </w:r>
      <w:r w:rsidR="00586D62" w:rsidRPr="00586D62">
        <w:rPr>
          <w:rFonts w:asciiTheme="minorHAnsi" w:hAnsiTheme="minorHAnsi" w:cstheme="minorHAnsi"/>
        </w:rPr>
        <w:t>Interconnector UK</w:t>
      </w:r>
      <w:r w:rsidRPr="00586D62">
        <w:rPr>
          <w:rFonts w:asciiTheme="minorHAnsi" w:hAnsiTheme="minorHAnsi" w:cstheme="minorHAnsi"/>
        </w:rPr>
        <w:t xml:space="preserve"> analysis based on NG Transmission Services CWD Model for the 2018/19 gas year.  </w:t>
      </w:r>
      <w:r w:rsidR="00586D62" w:rsidRPr="00586D62">
        <w:rPr>
          <w:rFonts w:asciiTheme="minorHAnsi" w:hAnsiTheme="minorHAnsi" w:cstheme="minorHAnsi"/>
        </w:rPr>
        <w:t>Interconnector UK has</w:t>
      </w:r>
      <w:r w:rsidRPr="003C1A4C">
        <w:rPr>
          <w:rFonts w:asciiTheme="minorHAnsi" w:hAnsiTheme="minorHAnsi" w:cstheme="minorHAnsi"/>
        </w:rPr>
        <w:t xml:space="preserve"> based the revenue estimate on the obligated capacity bookings but have assumed that, as the Bacton IP is bi</w:t>
      </w:r>
      <w:r w:rsidR="00586D62">
        <w:rPr>
          <w:rFonts w:asciiTheme="minorHAnsi" w:hAnsiTheme="minorHAnsi" w:cstheme="minorHAnsi"/>
        </w:rPr>
        <w:t>-</w:t>
      </w:r>
      <w:r w:rsidRPr="003C1A4C">
        <w:rPr>
          <w:rFonts w:asciiTheme="minorHAnsi" w:hAnsiTheme="minorHAnsi" w:cstheme="minorHAnsi"/>
        </w:rPr>
        <w:t>directional the full obligated capacity will be booked in one or other direction, but not both at the same time.</w:t>
      </w:r>
      <w:r w:rsidRPr="0074198A">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6A6E4" w14:textId="513DA7B2" w:rsidR="0061725B" w:rsidRDefault="0061725B" w:rsidP="00F34F88">
    <w:pPr>
      <w:spacing w:after="0"/>
      <w:jc w:val="right"/>
      <w:rPr>
        <w:rFonts w:cs="Arial"/>
        <w:i/>
        <w:color w:val="00B274"/>
      </w:rPr>
    </w:pPr>
    <w:r>
      <w:rPr>
        <w:rFonts w:cs="Arial"/>
        <w:i/>
        <w:noProof/>
        <w:color w:val="00B274"/>
      </w:rPr>
      <w:drawing>
        <wp:anchor distT="0" distB="0" distL="114300" distR="114300" simplePos="0" relativeHeight="251657728" behindDoc="0" locked="0" layoutInCell="1" allowOverlap="1" wp14:anchorId="1520FDAE" wp14:editId="5D138762">
          <wp:simplePos x="0" y="0"/>
          <wp:positionH relativeFrom="column">
            <wp:posOffset>-228600</wp:posOffset>
          </wp:positionH>
          <wp:positionV relativeFrom="paragraph">
            <wp:posOffset>159385</wp:posOffset>
          </wp:positionV>
          <wp:extent cx="1371600" cy="647700"/>
          <wp:effectExtent l="0" t="0" r="0" b="0"/>
          <wp:wrapThrough wrapText="bothSides">
            <wp:wrapPolygon edited="0">
              <wp:start x="0" y="0"/>
              <wp:lineTo x="0" y="20965"/>
              <wp:lineTo x="21300" y="20965"/>
              <wp:lineTo x="21300" y="0"/>
              <wp:lineTo x="0" y="0"/>
            </wp:wrapPolygon>
          </wp:wrapThrough>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47700"/>
                  </a:xfrm>
                  <a:prstGeom prst="rect">
                    <a:avLst/>
                  </a:prstGeom>
                  <a:noFill/>
                </pic:spPr>
              </pic:pic>
            </a:graphicData>
          </a:graphic>
          <wp14:sizeRelH relativeFrom="page">
            <wp14:pctWidth>0</wp14:pctWidth>
          </wp14:sizeRelH>
          <wp14:sizeRelV relativeFrom="page">
            <wp14:pctHeight>0</wp14:pctHeight>
          </wp14:sizeRelV>
        </wp:anchor>
      </w:drawing>
    </w:r>
  </w:p>
  <w:p w14:paraId="430D3FA3" w14:textId="77777777" w:rsidR="0061725B" w:rsidRDefault="0061725B" w:rsidP="00DD0FC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0C6B"/>
    <w:multiLevelType w:val="hybridMultilevel"/>
    <w:tmpl w:val="5164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14909"/>
    <w:multiLevelType w:val="multilevel"/>
    <w:tmpl w:val="340CFED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94418A0"/>
    <w:multiLevelType w:val="hybridMultilevel"/>
    <w:tmpl w:val="DC460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C3282"/>
    <w:multiLevelType w:val="hybridMultilevel"/>
    <w:tmpl w:val="343A0958"/>
    <w:lvl w:ilvl="0" w:tplc="9DF441A8">
      <w:start w:val="1"/>
      <w:numFmt w:val="bullet"/>
      <w:pStyle w:val="ListContinue5"/>
      <w:lvlText w:val=""/>
      <w:lvlJc w:val="left"/>
      <w:pPr>
        <w:tabs>
          <w:tab w:val="num" w:pos="2835"/>
        </w:tabs>
        <w:ind w:left="2835" w:hanging="2835"/>
      </w:pPr>
      <w:rPr>
        <w:rFonts w:ascii="Symbol" w:hAnsi="Symbol" w:hint="default"/>
        <w:b w:val="0"/>
        <w:i w:val="0"/>
        <w:color w:val="EEB211"/>
        <w:sz w:val="32"/>
      </w:rPr>
    </w:lvl>
    <w:lvl w:ilvl="1" w:tplc="23D04494" w:tentative="1">
      <w:start w:val="1"/>
      <w:numFmt w:val="bullet"/>
      <w:lvlText w:val="o"/>
      <w:lvlJc w:val="left"/>
      <w:pPr>
        <w:tabs>
          <w:tab w:val="num" w:pos="1440"/>
        </w:tabs>
        <w:ind w:left="1440" w:hanging="360"/>
      </w:pPr>
      <w:rPr>
        <w:rFonts w:ascii="Courier New" w:hAnsi="Courier New" w:cs="Wingdings" w:hint="default"/>
      </w:rPr>
    </w:lvl>
    <w:lvl w:ilvl="2" w:tplc="6E80AE8C" w:tentative="1">
      <w:start w:val="1"/>
      <w:numFmt w:val="bullet"/>
      <w:lvlText w:val=""/>
      <w:lvlJc w:val="left"/>
      <w:pPr>
        <w:tabs>
          <w:tab w:val="num" w:pos="2160"/>
        </w:tabs>
        <w:ind w:left="2160" w:hanging="360"/>
      </w:pPr>
      <w:rPr>
        <w:rFonts w:ascii="Wingdings" w:hAnsi="Wingdings" w:hint="default"/>
      </w:rPr>
    </w:lvl>
    <w:lvl w:ilvl="3" w:tplc="B68A4F2E" w:tentative="1">
      <w:start w:val="1"/>
      <w:numFmt w:val="bullet"/>
      <w:lvlText w:val=""/>
      <w:lvlJc w:val="left"/>
      <w:pPr>
        <w:tabs>
          <w:tab w:val="num" w:pos="2880"/>
        </w:tabs>
        <w:ind w:left="2880" w:hanging="360"/>
      </w:pPr>
      <w:rPr>
        <w:rFonts w:ascii="Symbol" w:hAnsi="Symbol" w:hint="default"/>
      </w:rPr>
    </w:lvl>
    <w:lvl w:ilvl="4" w:tplc="F59855C6" w:tentative="1">
      <w:start w:val="1"/>
      <w:numFmt w:val="bullet"/>
      <w:lvlText w:val="o"/>
      <w:lvlJc w:val="left"/>
      <w:pPr>
        <w:tabs>
          <w:tab w:val="num" w:pos="3600"/>
        </w:tabs>
        <w:ind w:left="3600" w:hanging="360"/>
      </w:pPr>
      <w:rPr>
        <w:rFonts w:ascii="Courier New" w:hAnsi="Courier New" w:cs="Wingdings" w:hint="default"/>
      </w:rPr>
    </w:lvl>
    <w:lvl w:ilvl="5" w:tplc="231C2B90" w:tentative="1">
      <w:start w:val="1"/>
      <w:numFmt w:val="bullet"/>
      <w:lvlText w:val=""/>
      <w:lvlJc w:val="left"/>
      <w:pPr>
        <w:tabs>
          <w:tab w:val="num" w:pos="4320"/>
        </w:tabs>
        <w:ind w:left="4320" w:hanging="360"/>
      </w:pPr>
      <w:rPr>
        <w:rFonts w:ascii="Wingdings" w:hAnsi="Wingdings" w:hint="default"/>
      </w:rPr>
    </w:lvl>
    <w:lvl w:ilvl="6" w:tplc="B9A6BA0C" w:tentative="1">
      <w:start w:val="1"/>
      <w:numFmt w:val="bullet"/>
      <w:lvlText w:val=""/>
      <w:lvlJc w:val="left"/>
      <w:pPr>
        <w:tabs>
          <w:tab w:val="num" w:pos="5040"/>
        </w:tabs>
        <w:ind w:left="5040" w:hanging="360"/>
      </w:pPr>
      <w:rPr>
        <w:rFonts w:ascii="Symbol" w:hAnsi="Symbol" w:hint="default"/>
      </w:rPr>
    </w:lvl>
    <w:lvl w:ilvl="7" w:tplc="D9A87C10" w:tentative="1">
      <w:start w:val="1"/>
      <w:numFmt w:val="bullet"/>
      <w:lvlText w:val="o"/>
      <w:lvlJc w:val="left"/>
      <w:pPr>
        <w:tabs>
          <w:tab w:val="num" w:pos="5760"/>
        </w:tabs>
        <w:ind w:left="5760" w:hanging="360"/>
      </w:pPr>
      <w:rPr>
        <w:rFonts w:ascii="Courier New" w:hAnsi="Courier New" w:cs="Wingdings" w:hint="default"/>
      </w:rPr>
    </w:lvl>
    <w:lvl w:ilvl="8" w:tplc="16B4647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3D1A4F"/>
    <w:multiLevelType w:val="hybridMultilevel"/>
    <w:tmpl w:val="8606184E"/>
    <w:lvl w:ilvl="0" w:tplc="35520E32">
      <w:start w:val="1"/>
      <w:numFmt w:val="bullet"/>
      <w:pStyle w:val="ListContinue6"/>
      <w:lvlText w:val=""/>
      <w:lvlJc w:val="left"/>
      <w:pPr>
        <w:tabs>
          <w:tab w:val="num" w:pos="2968"/>
        </w:tabs>
        <w:ind w:left="2968" w:hanging="2835"/>
      </w:pPr>
      <w:rPr>
        <w:rFonts w:ascii="Symbol" w:hAnsi="Symbol" w:hint="default"/>
        <w:b w:val="0"/>
        <w:i w:val="0"/>
        <w:color w:val="00B274"/>
        <w:sz w:val="32"/>
      </w:rPr>
    </w:lvl>
    <w:lvl w:ilvl="1" w:tplc="E8D28288" w:tentative="1">
      <w:start w:val="1"/>
      <w:numFmt w:val="bullet"/>
      <w:lvlText w:val="o"/>
      <w:lvlJc w:val="left"/>
      <w:pPr>
        <w:tabs>
          <w:tab w:val="num" w:pos="2855"/>
        </w:tabs>
        <w:ind w:left="2855" w:hanging="360"/>
      </w:pPr>
      <w:rPr>
        <w:rFonts w:ascii="Courier New" w:hAnsi="Courier New" w:cs="Wingdings" w:hint="default"/>
      </w:rPr>
    </w:lvl>
    <w:lvl w:ilvl="2" w:tplc="1226A236" w:tentative="1">
      <w:start w:val="1"/>
      <w:numFmt w:val="bullet"/>
      <w:lvlText w:val=""/>
      <w:lvlJc w:val="left"/>
      <w:pPr>
        <w:tabs>
          <w:tab w:val="num" w:pos="3575"/>
        </w:tabs>
        <w:ind w:left="3575" w:hanging="360"/>
      </w:pPr>
      <w:rPr>
        <w:rFonts w:ascii="Wingdings" w:hAnsi="Wingdings" w:hint="default"/>
      </w:rPr>
    </w:lvl>
    <w:lvl w:ilvl="3" w:tplc="7F3EEBB8" w:tentative="1">
      <w:start w:val="1"/>
      <w:numFmt w:val="bullet"/>
      <w:lvlText w:val=""/>
      <w:lvlJc w:val="left"/>
      <w:pPr>
        <w:tabs>
          <w:tab w:val="num" w:pos="4295"/>
        </w:tabs>
        <w:ind w:left="4295" w:hanging="360"/>
      </w:pPr>
      <w:rPr>
        <w:rFonts w:ascii="Symbol" w:hAnsi="Symbol" w:hint="default"/>
      </w:rPr>
    </w:lvl>
    <w:lvl w:ilvl="4" w:tplc="BAE22870" w:tentative="1">
      <w:start w:val="1"/>
      <w:numFmt w:val="bullet"/>
      <w:lvlText w:val="o"/>
      <w:lvlJc w:val="left"/>
      <w:pPr>
        <w:tabs>
          <w:tab w:val="num" w:pos="5015"/>
        </w:tabs>
        <w:ind w:left="5015" w:hanging="360"/>
      </w:pPr>
      <w:rPr>
        <w:rFonts w:ascii="Courier New" w:hAnsi="Courier New" w:cs="Wingdings" w:hint="default"/>
      </w:rPr>
    </w:lvl>
    <w:lvl w:ilvl="5" w:tplc="9354A5D4" w:tentative="1">
      <w:start w:val="1"/>
      <w:numFmt w:val="bullet"/>
      <w:lvlText w:val=""/>
      <w:lvlJc w:val="left"/>
      <w:pPr>
        <w:tabs>
          <w:tab w:val="num" w:pos="5735"/>
        </w:tabs>
        <w:ind w:left="5735" w:hanging="360"/>
      </w:pPr>
      <w:rPr>
        <w:rFonts w:ascii="Wingdings" w:hAnsi="Wingdings" w:hint="default"/>
      </w:rPr>
    </w:lvl>
    <w:lvl w:ilvl="6" w:tplc="34B20C2A" w:tentative="1">
      <w:start w:val="1"/>
      <w:numFmt w:val="bullet"/>
      <w:lvlText w:val=""/>
      <w:lvlJc w:val="left"/>
      <w:pPr>
        <w:tabs>
          <w:tab w:val="num" w:pos="6455"/>
        </w:tabs>
        <w:ind w:left="6455" w:hanging="360"/>
      </w:pPr>
      <w:rPr>
        <w:rFonts w:ascii="Symbol" w:hAnsi="Symbol" w:hint="default"/>
      </w:rPr>
    </w:lvl>
    <w:lvl w:ilvl="7" w:tplc="FE5A870A" w:tentative="1">
      <w:start w:val="1"/>
      <w:numFmt w:val="bullet"/>
      <w:lvlText w:val="o"/>
      <w:lvlJc w:val="left"/>
      <w:pPr>
        <w:tabs>
          <w:tab w:val="num" w:pos="7175"/>
        </w:tabs>
        <w:ind w:left="7175" w:hanging="360"/>
      </w:pPr>
      <w:rPr>
        <w:rFonts w:ascii="Courier New" w:hAnsi="Courier New" w:cs="Wingdings" w:hint="default"/>
      </w:rPr>
    </w:lvl>
    <w:lvl w:ilvl="8" w:tplc="19B69DDC" w:tentative="1">
      <w:start w:val="1"/>
      <w:numFmt w:val="bullet"/>
      <w:lvlText w:val=""/>
      <w:lvlJc w:val="left"/>
      <w:pPr>
        <w:tabs>
          <w:tab w:val="num" w:pos="7895"/>
        </w:tabs>
        <w:ind w:left="7895" w:hanging="360"/>
      </w:pPr>
      <w:rPr>
        <w:rFonts w:ascii="Wingdings" w:hAnsi="Wingdings" w:hint="default"/>
      </w:rPr>
    </w:lvl>
  </w:abstractNum>
  <w:abstractNum w:abstractNumId="5" w15:restartNumberingAfterBreak="0">
    <w:nsid w:val="0EE8180E"/>
    <w:multiLevelType w:val="hybridMultilevel"/>
    <w:tmpl w:val="6AE8D4D0"/>
    <w:lvl w:ilvl="0" w:tplc="185CE2FC">
      <w:start w:val="2"/>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16115"/>
    <w:multiLevelType w:val="hybridMultilevel"/>
    <w:tmpl w:val="50F6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1D16AC"/>
    <w:multiLevelType w:val="hybridMultilevel"/>
    <w:tmpl w:val="0682F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74B7E"/>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933744A"/>
    <w:multiLevelType w:val="hybridMultilevel"/>
    <w:tmpl w:val="A41EC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573338"/>
    <w:multiLevelType w:val="multilevel"/>
    <w:tmpl w:val="5232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7D31AD"/>
    <w:multiLevelType w:val="hybridMultilevel"/>
    <w:tmpl w:val="DE587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56FF6"/>
    <w:multiLevelType w:val="hybridMultilevel"/>
    <w:tmpl w:val="1DD0374A"/>
    <w:lvl w:ilvl="0" w:tplc="C0586B34">
      <w:start w:val="1"/>
      <w:numFmt w:val="bullet"/>
      <w:pStyle w:val="ListBullet4"/>
      <w:lvlText w:val=""/>
      <w:lvlJc w:val="left"/>
      <w:pPr>
        <w:tabs>
          <w:tab w:val="num" w:pos="2835"/>
        </w:tabs>
        <w:ind w:left="2835" w:hanging="2835"/>
      </w:pPr>
      <w:rPr>
        <w:rFonts w:ascii="Symbol" w:hAnsi="Symbol" w:hint="default"/>
        <w:b w:val="0"/>
        <w:i w:val="0"/>
        <w:color w:val="EEB211"/>
        <w:sz w:val="32"/>
      </w:rPr>
    </w:lvl>
    <w:lvl w:ilvl="1" w:tplc="2BB2A476" w:tentative="1">
      <w:start w:val="1"/>
      <w:numFmt w:val="bullet"/>
      <w:lvlText w:val="o"/>
      <w:lvlJc w:val="left"/>
      <w:pPr>
        <w:tabs>
          <w:tab w:val="num" w:pos="1440"/>
        </w:tabs>
        <w:ind w:left="1440" w:hanging="360"/>
      </w:pPr>
      <w:rPr>
        <w:rFonts w:ascii="Courier New" w:hAnsi="Courier New" w:cs="Wingdings" w:hint="default"/>
      </w:rPr>
    </w:lvl>
    <w:lvl w:ilvl="2" w:tplc="C0E6DEC4" w:tentative="1">
      <w:start w:val="1"/>
      <w:numFmt w:val="bullet"/>
      <w:lvlText w:val=""/>
      <w:lvlJc w:val="left"/>
      <w:pPr>
        <w:tabs>
          <w:tab w:val="num" w:pos="2160"/>
        </w:tabs>
        <w:ind w:left="2160" w:hanging="360"/>
      </w:pPr>
      <w:rPr>
        <w:rFonts w:ascii="Wingdings" w:hAnsi="Wingdings" w:hint="default"/>
      </w:rPr>
    </w:lvl>
    <w:lvl w:ilvl="3" w:tplc="B478F992" w:tentative="1">
      <w:start w:val="1"/>
      <w:numFmt w:val="bullet"/>
      <w:lvlText w:val=""/>
      <w:lvlJc w:val="left"/>
      <w:pPr>
        <w:tabs>
          <w:tab w:val="num" w:pos="2880"/>
        </w:tabs>
        <w:ind w:left="2880" w:hanging="360"/>
      </w:pPr>
      <w:rPr>
        <w:rFonts w:ascii="Symbol" w:hAnsi="Symbol" w:hint="default"/>
      </w:rPr>
    </w:lvl>
    <w:lvl w:ilvl="4" w:tplc="F7ECA076" w:tentative="1">
      <w:start w:val="1"/>
      <w:numFmt w:val="bullet"/>
      <w:lvlText w:val="o"/>
      <w:lvlJc w:val="left"/>
      <w:pPr>
        <w:tabs>
          <w:tab w:val="num" w:pos="3600"/>
        </w:tabs>
        <w:ind w:left="3600" w:hanging="360"/>
      </w:pPr>
      <w:rPr>
        <w:rFonts w:ascii="Courier New" w:hAnsi="Courier New" w:cs="Wingdings" w:hint="default"/>
      </w:rPr>
    </w:lvl>
    <w:lvl w:ilvl="5" w:tplc="7D78F700" w:tentative="1">
      <w:start w:val="1"/>
      <w:numFmt w:val="bullet"/>
      <w:lvlText w:val=""/>
      <w:lvlJc w:val="left"/>
      <w:pPr>
        <w:tabs>
          <w:tab w:val="num" w:pos="4320"/>
        </w:tabs>
        <w:ind w:left="4320" w:hanging="360"/>
      </w:pPr>
      <w:rPr>
        <w:rFonts w:ascii="Wingdings" w:hAnsi="Wingdings" w:hint="default"/>
      </w:rPr>
    </w:lvl>
    <w:lvl w:ilvl="6" w:tplc="7A02FCFA" w:tentative="1">
      <w:start w:val="1"/>
      <w:numFmt w:val="bullet"/>
      <w:lvlText w:val=""/>
      <w:lvlJc w:val="left"/>
      <w:pPr>
        <w:tabs>
          <w:tab w:val="num" w:pos="5040"/>
        </w:tabs>
        <w:ind w:left="5040" w:hanging="360"/>
      </w:pPr>
      <w:rPr>
        <w:rFonts w:ascii="Symbol" w:hAnsi="Symbol" w:hint="default"/>
      </w:rPr>
    </w:lvl>
    <w:lvl w:ilvl="7" w:tplc="8EB07C18" w:tentative="1">
      <w:start w:val="1"/>
      <w:numFmt w:val="bullet"/>
      <w:lvlText w:val="o"/>
      <w:lvlJc w:val="left"/>
      <w:pPr>
        <w:tabs>
          <w:tab w:val="num" w:pos="5760"/>
        </w:tabs>
        <w:ind w:left="5760" w:hanging="360"/>
      </w:pPr>
      <w:rPr>
        <w:rFonts w:ascii="Courier New" w:hAnsi="Courier New" w:cs="Wingdings" w:hint="default"/>
      </w:rPr>
    </w:lvl>
    <w:lvl w:ilvl="8" w:tplc="1152B58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6A7D02"/>
    <w:multiLevelType w:val="hybridMultilevel"/>
    <w:tmpl w:val="201084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B3851"/>
    <w:multiLevelType w:val="hybridMultilevel"/>
    <w:tmpl w:val="E4808530"/>
    <w:lvl w:ilvl="0" w:tplc="08090001">
      <w:start w:val="1"/>
      <w:numFmt w:val="bullet"/>
      <w:lvlText w:val=""/>
      <w:lvlJc w:val="left"/>
      <w:pPr>
        <w:ind w:left="777" w:hanging="360"/>
      </w:pPr>
      <w:rPr>
        <w:rFonts w:ascii="Symbol" w:hAnsi="Symbol" w:hint="default"/>
      </w:rPr>
    </w:lvl>
    <w:lvl w:ilvl="1" w:tplc="08090003">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5" w15:restartNumberingAfterBreak="0">
    <w:nsid w:val="2AD02B91"/>
    <w:multiLevelType w:val="multilevel"/>
    <w:tmpl w:val="0C4062C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3C54DF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34320E43"/>
    <w:multiLevelType w:val="hybridMultilevel"/>
    <w:tmpl w:val="B948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BD7237"/>
    <w:multiLevelType w:val="multilevel"/>
    <w:tmpl w:val="F9643B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4C0BD4"/>
    <w:multiLevelType w:val="hybridMultilevel"/>
    <w:tmpl w:val="B9405604"/>
    <w:lvl w:ilvl="0" w:tplc="814CE6F2">
      <w:start w:val="1"/>
      <w:numFmt w:val="bullet"/>
      <w:pStyle w:val="ListBullet5"/>
      <w:lvlText w:val=""/>
      <w:lvlJc w:val="left"/>
      <w:pPr>
        <w:tabs>
          <w:tab w:val="num" w:pos="2835"/>
        </w:tabs>
        <w:ind w:left="2835" w:hanging="2835"/>
      </w:pPr>
      <w:rPr>
        <w:rFonts w:ascii="Symbol" w:hAnsi="Symbol" w:hint="default"/>
        <w:b w:val="0"/>
        <w:i w:val="0"/>
        <w:color w:val="00B274"/>
        <w:sz w:val="32"/>
      </w:rPr>
    </w:lvl>
    <w:lvl w:ilvl="1" w:tplc="5640548C" w:tentative="1">
      <w:start w:val="1"/>
      <w:numFmt w:val="bullet"/>
      <w:lvlText w:val="o"/>
      <w:lvlJc w:val="left"/>
      <w:pPr>
        <w:tabs>
          <w:tab w:val="num" w:pos="1440"/>
        </w:tabs>
        <w:ind w:left="1440" w:hanging="360"/>
      </w:pPr>
      <w:rPr>
        <w:rFonts w:ascii="Courier New" w:hAnsi="Courier New" w:cs="Wingdings" w:hint="default"/>
      </w:rPr>
    </w:lvl>
    <w:lvl w:ilvl="2" w:tplc="12E05CFC" w:tentative="1">
      <w:start w:val="1"/>
      <w:numFmt w:val="bullet"/>
      <w:lvlText w:val=""/>
      <w:lvlJc w:val="left"/>
      <w:pPr>
        <w:tabs>
          <w:tab w:val="num" w:pos="2160"/>
        </w:tabs>
        <w:ind w:left="2160" w:hanging="360"/>
      </w:pPr>
      <w:rPr>
        <w:rFonts w:ascii="Wingdings" w:hAnsi="Wingdings" w:hint="default"/>
      </w:rPr>
    </w:lvl>
    <w:lvl w:ilvl="3" w:tplc="C88C389E" w:tentative="1">
      <w:start w:val="1"/>
      <w:numFmt w:val="bullet"/>
      <w:lvlText w:val=""/>
      <w:lvlJc w:val="left"/>
      <w:pPr>
        <w:tabs>
          <w:tab w:val="num" w:pos="2880"/>
        </w:tabs>
        <w:ind w:left="2880" w:hanging="360"/>
      </w:pPr>
      <w:rPr>
        <w:rFonts w:ascii="Symbol" w:hAnsi="Symbol" w:hint="default"/>
      </w:rPr>
    </w:lvl>
    <w:lvl w:ilvl="4" w:tplc="853E1428" w:tentative="1">
      <w:start w:val="1"/>
      <w:numFmt w:val="bullet"/>
      <w:lvlText w:val="o"/>
      <w:lvlJc w:val="left"/>
      <w:pPr>
        <w:tabs>
          <w:tab w:val="num" w:pos="3600"/>
        </w:tabs>
        <w:ind w:left="3600" w:hanging="360"/>
      </w:pPr>
      <w:rPr>
        <w:rFonts w:ascii="Courier New" w:hAnsi="Courier New" w:cs="Wingdings" w:hint="default"/>
      </w:rPr>
    </w:lvl>
    <w:lvl w:ilvl="5" w:tplc="CAD25856" w:tentative="1">
      <w:start w:val="1"/>
      <w:numFmt w:val="bullet"/>
      <w:lvlText w:val=""/>
      <w:lvlJc w:val="left"/>
      <w:pPr>
        <w:tabs>
          <w:tab w:val="num" w:pos="4320"/>
        </w:tabs>
        <w:ind w:left="4320" w:hanging="360"/>
      </w:pPr>
      <w:rPr>
        <w:rFonts w:ascii="Wingdings" w:hAnsi="Wingdings" w:hint="default"/>
      </w:rPr>
    </w:lvl>
    <w:lvl w:ilvl="6" w:tplc="56488116" w:tentative="1">
      <w:start w:val="1"/>
      <w:numFmt w:val="bullet"/>
      <w:lvlText w:val=""/>
      <w:lvlJc w:val="left"/>
      <w:pPr>
        <w:tabs>
          <w:tab w:val="num" w:pos="5040"/>
        </w:tabs>
        <w:ind w:left="5040" w:hanging="360"/>
      </w:pPr>
      <w:rPr>
        <w:rFonts w:ascii="Symbol" w:hAnsi="Symbol" w:hint="default"/>
      </w:rPr>
    </w:lvl>
    <w:lvl w:ilvl="7" w:tplc="AFC8058E" w:tentative="1">
      <w:start w:val="1"/>
      <w:numFmt w:val="bullet"/>
      <w:lvlText w:val="o"/>
      <w:lvlJc w:val="left"/>
      <w:pPr>
        <w:tabs>
          <w:tab w:val="num" w:pos="5760"/>
        </w:tabs>
        <w:ind w:left="5760" w:hanging="360"/>
      </w:pPr>
      <w:rPr>
        <w:rFonts w:ascii="Courier New" w:hAnsi="Courier New" w:cs="Wingdings" w:hint="default"/>
      </w:rPr>
    </w:lvl>
    <w:lvl w:ilvl="8" w:tplc="926E013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C0773A"/>
    <w:multiLevelType w:val="multilevel"/>
    <w:tmpl w:val="8C7E5A4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A12110C"/>
    <w:multiLevelType w:val="multilevel"/>
    <w:tmpl w:val="78D8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CE48C3"/>
    <w:multiLevelType w:val="hybridMultilevel"/>
    <w:tmpl w:val="0638E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FB2BC5"/>
    <w:multiLevelType w:val="hybridMultilevel"/>
    <w:tmpl w:val="6D3E7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723073"/>
    <w:multiLevelType w:val="hybridMultilevel"/>
    <w:tmpl w:val="C7C691F0"/>
    <w:lvl w:ilvl="0" w:tplc="717E60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867AF2"/>
    <w:multiLevelType w:val="hybridMultilevel"/>
    <w:tmpl w:val="20AE0A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5B2C68"/>
    <w:multiLevelType w:val="hybridMultilevel"/>
    <w:tmpl w:val="9C225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FB3414"/>
    <w:multiLevelType w:val="hybridMultilevel"/>
    <w:tmpl w:val="95EE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EE5C72"/>
    <w:multiLevelType w:val="hybridMultilevel"/>
    <w:tmpl w:val="8DFEE856"/>
    <w:lvl w:ilvl="0" w:tplc="35C41DEE">
      <w:start w:val="1"/>
      <w:numFmt w:val="lowerRoman"/>
      <w:lvlText w:val="(%1)"/>
      <w:lvlJc w:val="left"/>
      <w:pPr>
        <w:ind w:left="843" w:hanging="72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29" w15:restartNumberingAfterBreak="0">
    <w:nsid w:val="592B20E3"/>
    <w:multiLevelType w:val="hybridMultilevel"/>
    <w:tmpl w:val="975AC9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C5215B"/>
    <w:multiLevelType w:val="hybridMultilevel"/>
    <w:tmpl w:val="FF96C85C"/>
    <w:lvl w:ilvl="0" w:tplc="4DD69928">
      <w:start w:val="1"/>
      <w:numFmt w:val="bullet"/>
      <w:pStyle w:val="ListContinue4"/>
      <w:lvlText w:val=""/>
      <w:lvlJc w:val="left"/>
      <w:pPr>
        <w:tabs>
          <w:tab w:val="num" w:pos="3967"/>
        </w:tabs>
        <w:ind w:left="3967" w:hanging="2835"/>
      </w:pPr>
      <w:rPr>
        <w:rFonts w:ascii="Symbol" w:hAnsi="Symbol" w:hint="default"/>
        <w:b w:val="0"/>
        <w:i w:val="0"/>
        <w:color w:val="B30838"/>
        <w:sz w:val="32"/>
      </w:rPr>
    </w:lvl>
    <w:lvl w:ilvl="1" w:tplc="2696A49E" w:tentative="1">
      <w:start w:val="1"/>
      <w:numFmt w:val="bullet"/>
      <w:lvlText w:val="o"/>
      <w:lvlJc w:val="left"/>
      <w:pPr>
        <w:tabs>
          <w:tab w:val="num" w:pos="2572"/>
        </w:tabs>
        <w:ind w:left="2572" w:hanging="360"/>
      </w:pPr>
      <w:rPr>
        <w:rFonts w:ascii="Courier New" w:hAnsi="Courier New" w:cs="Wingdings" w:hint="default"/>
      </w:rPr>
    </w:lvl>
    <w:lvl w:ilvl="2" w:tplc="F3664ED2" w:tentative="1">
      <w:start w:val="1"/>
      <w:numFmt w:val="bullet"/>
      <w:lvlText w:val=""/>
      <w:lvlJc w:val="left"/>
      <w:pPr>
        <w:tabs>
          <w:tab w:val="num" w:pos="3292"/>
        </w:tabs>
        <w:ind w:left="3292" w:hanging="360"/>
      </w:pPr>
      <w:rPr>
        <w:rFonts w:ascii="Wingdings" w:hAnsi="Wingdings" w:hint="default"/>
      </w:rPr>
    </w:lvl>
    <w:lvl w:ilvl="3" w:tplc="291EEC8C" w:tentative="1">
      <w:start w:val="1"/>
      <w:numFmt w:val="bullet"/>
      <w:lvlText w:val=""/>
      <w:lvlJc w:val="left"/>
      <w:pPr>
        <w:tabs>
          <w:tab w:val="num" w:pos="4012"/>
        </w:tabs>
        <w:ind w:left="4012" w:hanging="360"/>
      </w:pPr>
      <w:rPr>
        <w:rFonts w:ascii="Symbol" w:hAnsi="Symbol" w:hint="default"/>
      </w:rPr>
    </w:lvl>
    <w:lvl w:ilvl="4" w:tplc="7B062576" w:tentative="1">
      <w:start w:val="1"/>
      <w:numFmt w:val="bullet"/>
      <w:lvlText w:val="o"/>
      <w:lvlJc w:val="left"/>
      <w:pPr>
        <w:tabs>
          <w:tab w:val="num" w:pos="4732"/>
        </w:tabs>
        <w:ind w:left="4732" w:hanging="360"/>
      </w:pPr>
      <w:rPr>
        <w:rFonts w:ascii="Courier New" w:hAnsi="Courier New" w:cs="Wingdings" w:hint="default"/>
      </w:rPr>
    </w:lvl>
    <w:lvl w:ilvl="5" w:tplc="9612C70E" w:tentative="1">
      <w:start w:val="1"/>
      <w:numFmt w:val="bullet"/>
      <w:lvlText w:val=""/>
      <w:lvlJc w:val="left"/>
      <w:pPr>
        <w:tabs>
          <w:tab w:val="num" w:pos="5452"/>
        </w:tabs>
        <w:ind w:left="5452" w:hanging="360"/>
      </w:pPr>
      <w:rPr>
        <w:rFonts w:ascii="Wingdings" w:hAnsi="Wingdings" w:hint="default"/>
      </w:rPr>
    </w:lvl>
    <w:lvl w:ilvl="6" w:tplc="0F5C967C" w:tentative="1">
      <w:start w:val="1"/>
      <w:numFmt w:val="bullet"/>
      <w:lvlText w:val=""/>
      <w:lvlJc w:val="left"/>
      <w:pPr>
        <w:tabs>
          <w:tab w:val="num" w:pos="6172"/>
        </w:tabs>
        <w:ind w:left="6172" w:hanging="360"/>
      </w:pPr>
      <w:rPr>
        <w:rFonts w:ascii="Symbol" w:hAnsi="Symbol" w:hint="default"/>
      </w:rPr>
    </w:lvl>
    <w:lvl w:ilvl="7" w:tplc="921CBC4E" w:tentative="1">
      <w:start w:val="1"/>
      <w:numFmt w:val="bullet"/>
      <w:lvlText w:val="o"/>
      <w:lvlJc w:val="left"/>
      <w:pPr>
        <w:tabs>
          <w:tab w:val="num" w:pos="6892"/>
        </w:tabs>
        <w:ind w:left="6892" w:hanging="360"/>
      </w:pPr>
      <w:rPr>
        <w:rFonts w:ascii="Courier New" w:hAnsi="Courier New" w:cs="Wingdings" w:hint="default"/>
      </w:rPr>
    </w:lvl>
    <w:lvl w:ilvl="8" w:tplc="927E8ED6" w:tentative="1">
      <w:start w:val="1"/>
      <w:numFmt w:val="bullet"/>
      <w:lvlText w:val=""/>
      <w:lvlJc w:val="left"/>
      <w:pPr>
        <w:tabs>
          <w:tab w:val="num" w:pos="7612"/>
        </w:tabs>
        <w:ind w:left="7612" w:hanging="360"/>
      </w:pPr>
      <w:rPr>
        <w:rFonts w:ascii="Wingdings" w:hAnsi="Wingdings" w:hint="default"/>
      </w:rPr>
    </w:lvl>
  </w:abstractNum>
  <w:abstractNum w:abstractNumId="31" w15:restartNumberingAfterBreak="0">
    <w:nsid w:val="5E1B7C4A"/>
    <w:multiLevelType w:val="multilevel"/>
    <w:tmpl w:val="0B54E628"/>
    <w:lvl w:ilvl="0">
      <w:start w:val="1"/>
      <w:numFmt w:val="upperLetter"/>
      <w:pStyle w:val="ListNumber2"/>
      <w:lvlText w:val="%1"/>
      <w:lvlJc w:val="left"/>
      <w:pPr>
        <w:tabs>
          <w:tab w:val="num" w:pos="397"/>
        </w:tabs>
        <w:ind w:left="397" w:hanging="397"/>
      </w:pPr>
      <w:rPr>
        <w:rFonts w:ascii="Tahoma" w:hAnsi="Tahoma" w:hint="default"/>
        <w:b/>
        <w:i w:val="0"/>
        <w:color w:val="00B274"/>
        <w:sz w:val="24"/>
      </w:rPr>
    </w:lvl>
    <w:lvl w:ilvl="1">
      <w:start w:val="1"/>
      <w:numFmt w:val="lowerLetter"/>
      <w:lvlText w:val="%2"/>
      <w:lvlJc w:val="left"/>
      <w:pPr>
        <w:tabs>
          <w:tab w:val="num" w:pos="567"/>
        </w:tabs>
        <w:ind w:left="567" w:hanging="567"/>
      </w:pPr>
      <w:rPr>
        <w:rFonts w:ascii="Tahoma" w:hAnsi="Tahoma" w:hint="default"/>
        <w:b/>
        <w:i w:val="0"/>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EFB047E"/>
    <w:multiLevelType w:val="hybridMultilevel"/>
    <w:tmpl w:val="D80AB038"/>
    <w:lvl w:ilvl="0" w:tplc="A342973A">
      <w:start w:val="1"/>
      <w:numFmt w:val="bullet"/>
      <w:pStyle w:val="ListContinue2"/>
      <w:lvlText w:val=""/>
      <w:lvlJc w:val="left"/>
      <w:pPr>
        <w:tabs>
          <w:tab w:val="num" w:pos="284"/>
        </w:tabs>
        <w:ind w:left="284" w:hanging="284"/>
      </w:pPr>
      <w:rPr>
        <w:rFonts w:ascii="Symbol" w:hAnsi="Symbol" w:hint="default"/>
        <w:color w:val="008576"/>
        <w:sz w:val="32"/>
      </w:rPr>
    </w:lvl>
    <w:lvl w:ilvl="1" w:tplc="395A8240" w:tentative="1">
      <w:start w:val="1"/>
      <w:numFmt w:val="bullet"/>
      <w:lvlText w:val="o"/>
      <w:lvlJc w:val="left"/>
      <w:pPr>
        <w:tabs>
          <w:tab w:val="num" w:pos="1440"/>
        </w:tabs>
        <w:ind w:left="1440" w:hanging="360"/>
      </w:pPr>
      <w:rPr>
        <w:rFonts w:ascii="Courier New" w:hAnsi="Courier New" w:cs="Wingdings" w:hint="default"/>
      </w:rPr>
    </w:lvl>
    <w:lvl w:ilvl="2" w:tplc="641C16E0" w:tentative="1">
      <w:start w:val="1"/>
      <w:numFmt w:val="bullet"/>
      <w:lvlText w:val=""/>
      <w:lvlJc w:val="left"/>
      <w:pPr>
        <w:tabs>
          <w:tab w:val="num" w:pos="2160"/>
        </w:tabs>
        <w:ind w:left="2160" w:hanging="360"/>
      </w:pPr>
      <w:rPr>
        <w:rFonts w:ascii="Wingdings" w:hAnsi="Wingdings" w:hint="default"/>
      </w:rPr>
    </w:lvl>
    <w:lvl w:ilvl="3" w:tplc="0554BEE4" w:tentative="1">
      <w:start w:val="1"/>
      <w:numFmt w:val="bullet"/>
      <w:lvlText w:val=""/>
      <w:lvlJc w:val="left"/>
      <w:pPr>
        <w:tabs>
          <w:tab w:val="num" w:pos="2880"/>
        </w:tabs>
        <w:ind w:left="2880" w:hanging="360"/>
      </w:pPr>
      <w:rPr>
        <w:rFonts w:ascii="Symbol" w:hAnsi="Symbol" w:hint="default"/>
      </w:rPr>
    </w:lvl>
    <w:lvl w:ilvl="4" w:tplc="B7D4CEA2" w:tentative="1">
      <w:start w:val="1"/>
      <w:numFmt w:val="bullet"/>
      <w:lvlText w:val="o"/>
      <w:lvlJc w:val="left"/>
      <w:pPr>
        <w:tabs>
          <w:tab w:val="num" w:pos="3600"/>
        </w:tabs>
        <w:ind w:left="3600" w:hanging="360"/>
      </w:pPr>
      <w:rPr>
        <w:rFonts w:ascii="Courier New" w:hAnsi="Courier New" w:cs="Wingdings" w:hint="default"/>
      </w:rPr>
    </w:lvl>
    <w:lvl w:ilvl="5" w:tplc="C852839C" w:tentative="1">
      <w:start w:val="1"/>
      <w:numFmt w:val="bullet"/>
      <w:lvlText w:val=""/>
      <w:lvlJc w:val="left"/>
      <w:pPr>
        <w:tabs>
          <w:tab w:val="num" w:pos="4320"/>
        </w:tabs>
        <w:ind w:left="4320" w:hanging="360"/>
      </w:pPr>
      <w:rPr>
        <w:rFonts w:ascii="Wingdings" w:hAnsi="Wingdings" w:hint="default"/>
      </w:rPr>
    </w:lvl>
    <w:lvl w:ilvl="6" w:tplc="914448B6" w:tentative="1">
      <w:start w:val="1"/>
      <w:numFmt w:val="bullet"/>
      <w:lvlText w:val=""/>
      <w:lvlJc w:val="left"/>
      <w:pPr>
        <w:tabs>
          <w:tab w:val="num" w:pos="5040"/>
        </w:tabs>
        <w:ind w:left="5040" w:hanging="360"/>
      </w:pPr>
      <w:rPr>
        <w:rFonts w:ascii="Symbol" w:hAnsi="Symbol" w:hint="default"/>
      </w:rPr>
    </w:lvl>
    <w:lvl w:ilvl="7" w:tplc="F0B87B7C" w:tentative="1">
      <w:start w:val="1"/>
      <w:numFmt w:val="bullet"/>
      <w:lvlText w:val="o"/>
      <w:lvlJc w:val="left"/>
      <w:pPr>
        <w:tabs>
          <w:tab w:val="num" w:pos="5760"/>
        </w:tabs>
        <w:ind w:left="5760" w:hanging="360"/>
      </w:pPr>
      <w:rPr>
        <w:rFonts w:ascii="Courier New" w:hAnsi="Courier New" w:cs="Wingdings" w:hint="default"/>
      </w:rPr>
    </w:lvl>
    <w:lvl w:ilvl="8" w:tplc="A892653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111CDF"/>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637C59D8"/>
    <w:multiLevelType w:val="hybridMultilevel"/>
    <w:tmpl w:val="E0FE30C4"/>
    <w:lvl w:ilvl="0" w:tplc="72DAAB02">
      <w:start w:val="1"/>
      <w:numFmt w:val="bullet"/>
      <w:pStyle w:val="ListBullet3"/>
      <w:lvlText w:val=""/>
      <w:lvlJc w:val="left"/>
      <w:pPr>
        <w:tabs>
          <w:tab w:val="num" w:pos="2835"/>
        </w:tabs>
        <w:ind w:left="2835" w:hanging="2835"/>
      </w:pPr>
      <w:rPr>
        <w:rFonts w:ascii="Symbol" w:hAnsi="Symbol" w:hint="default"/>
        <w:b w:val="0"/>
        <w:i w:val="0"/>
        <w:color w:val="B30838"/>
        <w:sz w:val="32"/>
      </w:rPr>
    </w:lvl>
    <w:lvl w:ilvl="1" w:tplc="118685B6" w:tentative="1">
      <w:start w:val="1"/>
      <w:numFmt w:val="bullet"/>
      <w:lvlText w:val="o"/>
      <w:lvlJc w:val="left"/>
      <w:pPr>
        <w:tabs>
          <w:tab w:val="num" w:pos="1440"/>
        </w:tabs>
        <w:ind w:left="1440" w:hanging="360"/>
      </w:pPr>
      <w:rPr>
        <w:rFonts w:ascii="Courier New" w:hAnsi="Courier New" w:cs="Wingdings" w:hint="default"/>
      </w:rPr>
    </w:lvl>
    <w:lvl w:ilvl="2" w:tplc="FCBC4258" w:tentative="1">
      <w:start w:val="1"/>
      <w:numFmt w:val="bullet"/>
      <w:lvlText w:val=""/>
      <w:lvlJc w:val="left"/>
      <w:pPr>
        <w:tabs>
          <w:tab w:val="num" w:pos="2160"/>
        </w:tabs>
        <w:ind w:left="2160" w:hanging="360"/>
      </w:pPr>
      <w:rPr>
        <w:rFonts w:ascii="Wingdings" w:hAnsi="Wingdings" w:hint="default"/>
      </w:rPr>
    </w:lvl>
    <w:lvl w:ilvl="3" w:tplc="A0F6869A" w:tentative="1">
      <w:start w:val="1"/>
      <w:numFmt w:val="bullet"/>
      <w:lvlText w:val=""/>
      <w:lvlJc w:val="left"/>
      <w:pPr>
        <w:tabs>
          <w:tab w:val="num" w:pos="2880"/>
        </w:tabs>
        <w:ind w:left="2880" w:hanging="360"/>
      </w:pPr>
      <w:rPr>
        <w:rFonts w:ascii="Symbol" w:hAnsi="Symbol" w:hint="default"/>
      </w:rPr>
    </w:lvl>
    <w:lvl w:ilvl="4" w:tplc="3B383C20" w:tentative="1">
      <w:start w:val="1"/>
      <w:numFmt w:val="bullet"/>
      <w:lvlText w:val="o"/>
      <w:lvlJc w:val="left"/>
      <w:pPr>
        <w:tabs>
          <w:tab w:val="num" w:pos="3600"/>
        </w:tabs>
        <w:ind w:left="3600" w:hanging="360"/>
      </w:pPr>
      <w:rPr>
        <w:rFonts w:ascii="Courier New" w:hAnsi="Courier New" w:cs="Wingdings" w:hint="default"/>
      </w:rPr>
    </w:lvl>
    <w:lvl w:ilvl="5" w:tplc="E9BA0D3E" w:tentative="1">
      <w:start w:val="1"/>
      <w:numFmt w:val="bullet"/>
      <w:lvlText w:val=""/>
      <w:lvlJc w:val="left"/>
      <w:pPr>
        <w:tabs>
          <w:tab w:val="num" w:pos="4320"/>
        </w:tabs>
        <w:ind w:left="4320" w:hanging="360"/>
      </w:pPr>
      <w:rPr>
        <w:rFonts w:ascii="Wingdings" w:hAnsi="Wingdings" w:hint="default"/>
      </w:rPr>
    </w:lvl>
    <w:lvl w:ilvl="6" w:tplc="62E8E238" w:tentative="1">
      <w:start w:val="1"/>
      <w:numFmt w:val="bullet"/>
      <w:lvlText w:val=""/>
      <w:lvlJc w:val="left"/>
      <w:pPr>
        <w:tabs>
          <w:tab w:val="num" w:pos="5040"/>
        </w:tabs>
        <w:ind w:left="5040" w:hanging="360"/>
      </w:pPr>
      <w:rPr>
        <w:rFonts w:ascii="Symbol" w:hAnsi="Symbol" w:hint="default"/>
      </w:rPr>
    </w:lvl>
    <w:lvl w:ilvl="7" w:tplc="10B42B4E" w:tentative="1">
      <w:start w:val="1"/>
      <w:numFmt w:val="bullet"/>
      <w:lvlText w:val="o"/>
      <w:lvlJc w:val="left"/>
      <w:pPr>
        <w:tabs>
          <w:tab w:val="num" w:pos="5760"/>
        </w:tabs>
        <w:ind w:left="5760" w:hanging="360"/>
      </w:pPr>
      <w:rPr>
        <w:rFonts w:ascii="Courier New" w:hAnsi="Courier New" w:cs="Wingdings" w:hint="default"/>
      </w:rPr>
    </w:lvl>
    <w:lvl w:ilvl="8" w:tplc="B360E8A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B8461D"/>
    <w:multiLevelType w:val="hybridMultilevel"/>
    <w:tmpl w:val="E04E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C73B15"/>
    <w:multiLevelType w:val="hybridMultilevel"/>
    <w:tmpl w:val="C822560E"/>
    <w:lvl w:ilvl="0" w:tplc="717E609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A86190"/>
    <w:multiLevelType w:val="multilevel"/>
    <w:tmpl w:val="B1A6CED0"/>
    <w:lvl w:ilvl="0">
      <w:start w:val="1"/>
      <w:numFmt w:val="bullet"/>
      <w:pStyle w:val="ListBullet2"/>
      <w:lvlText w:val=""/>
      <w:lvlJc w:val="left"/>
      <w:pPr>
        <w:tabs>
          <w:tab w:val="num" w:pos="284"/>
        </w:tabs>
        <w:ind w:left="284" w:hanging="284"/>
      </w:pPr>
      <w:rPr>
        <w:rFonts w:ascii="Symbol" w:hAnsi="Symbol" w:hint="default"/>
        <w:b w:val="0"/>
        <w:i w:val="0"/>
        <w:color w:val="008DA8"/>
        <w:sz w:val="20"/>
      </w:rPr>
    </w:lvl>
    <w:lvl w:ilvl="1">
      <w:start w:val="1"/>
      <w:numFmt w:val="bullet"/>
      <w:pStyle w:val="TableList"/>
      <w:lvlText w:val=""/>
      <w:lvlJc w:val="left"/>
      <w:pPr>
        <w:tabs>
          <w:tab w:val="num" w:pos="454"/>
        </w:tabs>
        <w:ind w:left="454" w:hanging="341"/>
      </w:pPr>
      <w:rPr>
        <w:rFonts w:ascii="Symbol" w:hAnsi="Symbol" w:hint="default"/>
        <w:b w:val="0"/>
        <w:i w:val="0"/>
        <w:color w:val="008DA8"/>
        <w:sz w:val="20"/>
      </w:rPr>
    </w:lvl>
    <w:lvl w:ilvl="2">
      <w:start w:val="1"/>
      <w:numFmt w:val="bullet"/>
      <w:lvlText w:val=""/>
      <w:lvlJc w:val="left"/>
      <w:pPr>
        <w:tabs>
          <w:tab w:val="num" w:pos="737"/>
        </w:tabs>
        <w:ind w:left="737" w:hanging="283"/>
      </w:pPr>
      <w:rPr>
        <w:rFonts w:ascii="Symbol" w:hAnsi="Symbol" w:hint="default"/>
        <w:b w:val="0"/>
        <w:i w:val="0"/>
        <w:color w:val="008DA8"/>
        <w:sz w:val="20"/>
      </w:rPr>
    </w:lvl>
    <w:lvl w:ilvl="3">
      <w:start w:val="1"/>
      <w:numFmt w:val="bullet"/>
      <w:lvlText w:val=""/>
      <w:lvlJc w:val="left"/>
      <w:pPr>
        <w:tabs>
          <w:tab w:val="num" w:pos="1191"/>
        </w:tabs>
        <w:ind w:left="1191" w:hanging="454"/>
      </w:pPr>
      <w:rPr>
        <w:rFonts w:ascii="Symbol" w:hAnsi="Symbol" w:hint="default"/>
        <w:b w:val="0"/>
        <w:i w:val="0"/>
        <w:color w:val="008DA8"/>
        <w:sz w:val="20"/>
      </w:rPr>
    </w:lvl>
    <w:lvl w:ilvl="4">
      <w:start w:val="1"/>
      <w:numFmt w:val="bullet"/>
      <w:lvlText w:val=""/>
      <w:lvlJc w:val="left"/>
      <w:pPr>
        <w:tabs>
          <w:tab w:val="num" w:pos="3119"/>
        </w:tabs>
        <w:ind w:left="3119" w:hanging="964"/>
      </w:pPr>
      <w:rPr>
        <w:rFonts w:ascii="Symbol" w:hAnsi="Symbol" w:hint="default"/>
        <w:b w:val="0"/>
        <w:i w:val="0"/>
        <w:color w:val="008DA8"/>
        <w:sz w:val="20"/>
      </w:rPr>
    </w:lvl>
    <w:lvl w:ilvl="5">
      <w:start w:val="1"/>
      <w:numFmt w:val="bullet"/>
      <w:lvlText w:val=""/>
      <w:lvlJc w:val="left"/>
      <w:pPr>
        <w:tabs>
          <w:tab w:val="num" w:pos="4253"/>
        </w:tabs>
        <w:ind w:left="4253" w:hanging="1134"/>
      </w:pPr>
      <w:rPr>
        <w:rFonts w:ascii="Symbol" w:hAnsi="Symbol" w:hint="default"/>
        <w:b w:val="0"/>
        <w:i w:val="0"/>
        <w:color w:val="008DA8"/>
        <w:sz w:val="20"/>
      </w:rPr>
    </w:lvl>
    <w:lvl w:ilvl="6">
      <w:start w:val="1"/>
      <w:numFmt w:val="bullet"/>
      <w:lvlText w:val=""/>
      <w:lvlJc w:val="left"/>
      <w:pPr>
        <w:tabs>
          <w:tab w:val="num" w:pos="5557"/>
        </w:tabs>
        <w:ind w:left="5557" w:hanging="1304"/>
      </w:pPr>
      <w:rPr>
        <w:rFonts w:ascii="Symbol" w:hAnsi="Symbol" w:hint="default"/>
        <w:b w:val="0"/>
        <w:i w:val="0"/>
        <w:color w:val="008DA8"/>
        <w:sz w:val="20"/>
      </w:rPr>
    </w:lvl>
    <w:lvl w:ilvl="7">
      <w:start w:val="1"/>
      <w:numFmt w:val="bullet"/>
      <w:lvlText w:val=""/>
      <w:lvlJc w:val="left"/>
      <w:pPr>
        <w:tabs>
          <w:tab w:val="num" w:pos="4706"/>
        </w:tabs>
        <w:ind w:left="4706" w:hanging="1077"/>
      </w:pPr>
      <w:rPr>
        <w:rFonts w:ascii="Symbol" w:hAnsi="Symbol" w:hint="default"/>
        <w:b w:val="0"/>
        <w:i w:val="0"/>
        <w:color w:val="008DA8"/>
        <w:sz w:val="20"/>
      </w:rPr>
    </w:lvl>
    <w:lvl w:ilvl="8">
      <w:start w:val="1"/>
      <w:numFmt w:val="bullet"/>
      <w:lvlText w:val=""/>
      <w:lvlJc w:val="left"/>
      <w:pPr>
        <w:tabs>
          <w:tab w:val="num" w:pos="7144"/>
        </w:tabs>
        <w:ind w:left="7144" w:hanging="1587"/>
      </w:pPr>
      <w:rPr>
        <w:rFonts w:ascii="Symbol" w:hAnsi="Symbol" w:hint="default"/>
        <w:b w:val="0"/>
        <w:i w:val="0"/>
        <w:color w:val="008DA8"/>
        <w:sz w:val="20"/>
      </w:rPr>
    </w:lvl>
  </w:abstractNum>
  <w:abstractNum w:abstractNumId="38" w15:restartNumberingAfterBreak="0">
    <w:nsid w:val="77060069"/>
    <w:multiLevelType w:val="hybridMultilevel"/>
    <w:tmpl w:val="64708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E82FEE"/>
    <w:multiLevelType w:val="hybridMultilevel"/>
    <w:tmpl w:val="DF30D166"/>
    <w:lvl w:ilvl="0" w:tplc="68F61D14">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15:restartNumberingAfterBreak="0">
    <w:nsid w:val="7999452F"/>
    <w:multiLevelType w:val="hybridMultilevel"/>
    <w:tmpl w:val="AE904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8F2580"/>
    <w:multiLevelType w:val="hybridMultilevel"/>
    <w:tmpl w:val="BB88F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33"/>
  </w:num>
  <w:num w:numId="3">
    <w:abstractNumId w:val="15"/>
  </w:num>
  <w:num w:numId="4">
    <w:abstractNumId w:val="16"/>
  </w:num>
  <w:num w:numId="5">
    <w:abstractNumId w:val="8"/>
  </w:num>
  <w:num w:numId="6">
    <w:abstractNumId w:val="34"/>
  </w:num>
  <w:num w:numId="7">
    <w:abstractNumId w:val="19"/>
  </w:num>
  <w:num w:numId="8">
    <w:abstractNumId w:val="12"/>
  </w:num>
  <w:num w:numId="9">
    <w:abstractNumId w:val="32"/>
  </w:num>
  <w:num w:numId="10">
    <w:abstractNumId w:val="30"/>
  </w:num>
  <w:num w:numId="11">
    <w:abstractNumId w:val="4"/>
  </w:num>
  <w:num w:numId="12">
    <w:abstractNumId w:val="3"/>
  </w:num>
  <w:num w:numId="13">
    <w:abstractNumId w:val="31"/>
  </w:num>
  <w:num w:numId="14">
    <w:abstractNumId w:val="1"/>
  </w:num>
  <w:num w:numId="15">
    <w:abstractNumId w:val="2"/>
  </w:num>
  <w:num w:numId="16">
    <w:abstractNumId w:val="39"/>
  </w:num>
  <w:num w:numId="17">
    <w:abstractNumId w:val="28"/>
  </w:num>
  <w:num w:numId="18">
    <w:abstractNumId w:val="11"/>
  </w:num>
  <w:num w:numId="19">
    <w:abstractNumId w:val="35"/>
  </w:num>
  <w:num w:numId="20">
    <w:abstractNumId w:val="20"/>
  </w:num>
  <w:num w:numId="21">
    <w:abstractNumId w:val="29"/>
  </w:num>
  <w:num w:numId="22">
    <w:abstractNumId w:val="41"/>
  </w:num>
  <w:num w:numId="23">
    <w:abstractNumId w:val="0"/>
  </w:num>
  <w:num w:numId="24">
    <w:abstractNumId w:val="40"/>
  </w:num>
  <w:num w:numId="25">
    <w:abstractNumId w:val="9"/>
  </w:num>
  <w:num w:numId="26">
    <w:abstractNumId w:val="26"/>
  </w:num>
  <w:num w:numId="27">
    <w:abstractNumId w:val="38"/>
  </w:num>
  <w:num w:numId="28">
    <w:abstractNumId w:val="23"/>
  </w:num>
  <w:num w:numId="29">
    <w:abstractNumId w:val="13"/>
  </w:num>
  <w:num w:numId="30">
    <w:abstractNumId w:val="14"/>
  </w:num>
  <w:num w:numId="31">
    <w:abstractNumId w:val="25"/>
  </w:num>
  <w:num w:numId="32">
    <w:abstractNumId w:val="22"/>
  </w:num>
  <w:num w:numId="33">
    <w:abstractNumId w:val="7"/>
  </w:num>
  <w:num w:numId="34">
    <w:abstractNumId w:val="18"/>
  </w:num>
  <w:num w:numId="35">
    <w:abstractNumId w:val="6"/>
  </w:num>
  <w:num w:numId="36">
    <w:abstractNumId w:val="36"/>
  </w:num>
  <w:num w:numId="37">
    <w:abstractNumId w:val="24"/>
  </w:num>
  <w:num w:numId="38">
    <w:abstractNumId w:val="17"/>
  </w:num>
  <w:num w:numId="39">
    <w:abstractNumId w:val="21"/>
  </w:num>
  <w:num w:numId="40">
    <w:abstractNumId w:val="10"/>
  </w:num>
  <w:num w:numId="41">
    <w:abstractNumId w:val="5"/>
  </w:num>
  <w:num w:numId="4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removePersonalInformation/>
  <w:removeDateAndTime/>
  <w:embedSystemFonts/>
  <w:defaultTabStop w:val="720"/>
  <w:drawingGridHorizontalSpacing w:val="10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B99"/>
    <w:rsid w:val="00002418"/>
    <w:rsid w:val="00003462"/>
    <w:rsid w:val="00004426"/>
    <w:rsid w:val="00004A78"/>
    <w:rsid w:val="00005139"/>
    <w:rsid w:val="00005C2A"/>
    <w:rsid w:val="0000619E"/>
    <w:rsid w:val="00010A10"/>
    <w:rsid w:val="00012A4F"/>
    <w:rsid w:val="0001312A"/>
    <w:rsid w:val="000131C0"/>
    <w:rsid w:val="000147E2"/>
    <w:rsid w:val="00014A06"/>
    <w:rsid w:val="0001704C"/>
    <w:rsid w:val="00017F43"/>
    <w:rsid w:val="00021E27"/>
    <w:rsid w:val="00022F95"/>
    <w:rsid w:val="0002309B"/>
    <w:rsid w:val="0002343C"/>
    <w:rsid w:val="00026A6A"/>
    <w:rsid w:val="000272F5"/>
    <w:rsid w:val="000363FA"/>
    <w:rsid w:val="000370F5"/>
    <w:rsid w:val="00037EDD"/>
    <w:rsid w:val="00040344"/>
    <w:rsid w:val="000414BA"/>
    <w:rsid w:val="00041A17"/>
    <w:rsid w:val="00041D10"/>
    <w:rsid w:val="00042432"/>
    <w:rsid w:val="000427B0"/>
    <w:rsid w:val="000444E8"/>
    <w:rsid w:val="00045006"/>
    <w:rsid w:val="00045F75"/>
    <w:rsid w:val="000546C7"/>
    <w:rsid w:val="00055793"/>
    <w:rsid w:val="00056167"/>
    <w:rsid w:val="0005617C"/>
    <w:rsid w:val="000561DC"/>
    <w:rsid w:val="00057A29"/>
    <w:rsid w:val="00057C9D"/>
    <w:rsid w:val="00062E0D"/>
    <w:rsid w:val="00063584"/>
    <w:rsid w:val="00063A1A"/>
    <w:rsid w:val="00065A77"/>
    <w:rsid w:val="000676C2"/>
    <w:rsid w:val="0007474E"/>
    <w:rsid w:val="00075FA2"/>
    <w:rsid w:val="0007774B"/>
    <w:rsid w:val="00082269"/>
    <w:rsid w:val="00082674"/>
    <w:rsid w:val="00082F1D"/>
    <w:rsid w:val="00084725"/>
    <w:rsid w:val="00084FB3"/>
    <w:rsid w:val="00085550"/>
    <w:rsid w:val="00092D84"/>
    <w:rsid w:val="00093BD2"/>
    <w:rsid w:val="00096C4E"/>
    <w:rsid w:val="00097974"/>
    <w:rsid w:val="000A36A8"/>
    <w:rsid w:val="000B007D"/>
    <w:rsid w:val="000B2E3D"/>
    <w:rsid w:val="000B5CFC"/>
    <w:rsid w:val="000B5D6C"/>
    <w:rsid w:val="000B71A2"/>
    <w:rsid w:val="000C124B"/>
    <w:rsid w:val="000C1A04"/>
    <w:rsid w:val="000D1ECA"/>
    <w:rsid w:val="000D2D4A"/>
    <w:rsid w:val="000D5720"/>
    <w:rsid w:val="000D7F0C"/>
    <w:rsid w:val="000E0100"/>
    <w:rsid w:val="000E034A"/>
    <w:rsid w:val="000E2E48"/>
    <w:rsid w:val="000E2EF3"/>
    <w:rsid w:val="000E3F5B"/>
    <w:rsid w:val="000E76BF"/>
    <w:rsid w:val="000F39A6"/>
    <w:rsid w:val="000F3B9F"/>
    <w:rsid w:val="000F4631"/>
    <w:rsid w:val="000F4B25"/>
    <w:rsid w:val="000F78D9"/>
    <w:rsid w:val="000F7AAD"/>
    <w:rsid w:val="0010158C"/>
    <w:rsid w:val="001060C1"/>
    <w:rsid w:val="00111F27"/>
    <w:rsid w:val="00112F45"/>
    <w:rsid w:val="0011357D"/>
    <w:rsid w:val="00115DA3"/>
    <w:rsid w:val="00116E9B"/>
    <w:rsid w:val="001216C5"/>
    <w:rsid w:val="00121E06"/>
    <w:rsid w:val="0012496E"/>
    <w:rsid w:val="00130B43"/>
    <w:rsid w:val="001317D8"/>
    <w:rsid w:val="0013220E"/>
    <w:rsid w:val="00134971"/>
    <w:rsid w:val="001352C4"/>
    <w:rsid w:val="00143041"/>
    <w:rsid w:val="00143253"/>
    <w:rsid w:val="0014327C"/>
    <w:rsid w:val="00143E6A"/>
    <w:rsid w:val="00144419"/>
    <w:rsid w:val="001445A0"/>
    <w:rsid w:val="001451F4"/>
    <w:rsid w:val="00146532"/>
    <w:rsid w:val="00150AE6"/>
    <w:rsid w:val="00151346"/>
    <w:rsid w:val="001529A0"/>
    <w:rsid w:val="001533E5"/>
    <w:rsid w:val="00153B91"/>
    <w:rsid w:val="00155C00"/>
    <w:rsid w:val="00164E30"/>
    <w:rsid w:val="001703AA"/>
    <w:rsid w:val="001740B7"/>
    <w:rsid w:val="00174D21"/>
    <w:rsid w:val="00181F85"/>
    <w:rsid w:val="00182A0C"/>
    <w:rsid w:val="0018496D"/>
    <w:rsid w:val="0018581B"/>
    <w:rsid w:val="00187E2F"/>
    <w:rsid w:val="001937A0"/>
    <w:rsid w:val="00193F47"/>
    <w:rsid w:val="00194F0B"/>
    <w:rsid w:val="00195001"/>
    <w:rsid w:val="00197A37"/>
    <w:rsid w:val="001A1658"/>
    <w:rsid w:val="001A5839"/>
    <w:rsid w:val="001A6202"/>
    <w:rsid w:val="001A682D"/>
    <w:rsid w:val="001A6F74"/>
    <w:rsid w:val="001A72C2"/>
    <w:rsid w:val="001B0669"/>
    <w:rsid w:val="001B293D"/>
    <w:rsid w:val="001B2D7A"/>
    <w:rsid w:val="001B45AB"/>
    <w:rsid w:val="001B4701"/>
    <w:rsid w:val="001B6BEA"/>
    <w:rsid w:val="001C01D5"/>
    <w:rsid w:val="001C0AAE"/>
    <w:rsid w:val="001C0C6E"/>
    <w:rsid w:val="001C1CD8"/>
    <w:rsid w:val="001C207A"/>
    <w:rsid w:val="001C665E"/>
    <w:rsid w:val="001D0B92"/>
    <w:rsid w:val="001D3EFD"/>
    <w:rsid w:val="001D5C1B"/>
    <w:rsid w:val="001D7EC5"/>
    <w:rsid w:val="001E21F7"/>
    <w:rsid w:val="001E32D7"/>
    <w:rsid w:val="001E434D"/>
    <w:rsid w:val="001E553C"/>
    <w:rsid w:val="001E5D9F"/>
    <w:rsid w:val="001E6DCF"/>
    <w:rsid w:val="001F0629"/>
    <w:rsid w:val="001F36CE"/>
    <w:rsid w:val="001F36FC"/>
    <w:rsid w:val="001F3812"/>
    <w:rsid w:val="001F4DA0"/>
    <w:rsid w:val="001F6060"/>
    <w:rsid w:val="001F6DA9"/>
    <w:rsid w:val="001F7908"/>
    <w:rsid w:val="001F7D0E"/>
    <w:rsid w:val="0020316E"/>
    <w:rsid w:val="002036BB"/>
    <w:rsid w:val="00204669"/>
    <w:rsid w:val="002047E2"/>
    <w:rsid w:val="002051FA"/>
    <w:rsid w:val="0020522E"/>
    <w:rsid w:val="00205E60"/>
    <w:rsid w:val="002100E4"/>
    <w:rsid w:val="00211235"/>
    <w:rsid w:val="002112ED"/>
    <w:rsid w:val="002126D4"/>
    <w:rsid w:val="002127A1"/>
    <w:rsid w:val="002127F9"/>
    <w:rsid w:val="00212BF5"/>
    <w:rsid w:val="0021418F"/>
    <w:rsid w:val="002148B6"/>
    <w:rsid w:val="002154F7"/>
    <w:rsid w:val="00215877"/>
    <w:rsid w:val="002161A4"/>
    <w:rsid w:val="00220A27"/>
    <w:rsid w:val="002221EE"/>
    <w:rsid w:val="00222EB3"/>
    <w:rsid w:val="00225F2B"/>
    <w:rsid w:val="002272EF"/>
    <w:rsid w:val="00230CBE"/>
    <w:rsid w:val="00232310"/>
    <w:rsid w:val="002345ED"/>
    <w:rsid w:val="00235388"/>
    <w:rsid w:val="00236DCB"/>
    <w:rsid w:val="0024000A"/>
    <w:rsid w:val="00241286"/>
    <w:rsid w:val="002426A7"/>
    <w:rsid w:val="0024581D"/>
    <w:rsid w:val="00245C36"/>
    <w:rsid w:val="00251679"/>
    <w:rsid w:val="00251F86"/>
    <w:rsid w:val="00254312"/>
    <w:rsid w:val="00255563"/>
    <w:rsid w:val="002555EC"/>
    <w:rsid w:val="002559D2"/>
    <w:rsid w:val="00256075"/>
    <w:rsid w:val="00256566"/>
    <w:rsid w:val="00260BAE"/>
    <w:rsid w:val="00260C2C"/>
    <w:rsid w:val="002612FD"/>
    <w:rsid w:val="00261B81"/>
    <w:rsid w:val="00263600"/>
    <w:rsid w:val="002644B9"/>
    <w:rsid w:val="00264740"/>
    <w:rsid w:val="00266836"/>
    <w:rsid w:val="00266BC0"/>
    <w:rsid w:val="00272979"/>
    <w:rsid w:val="002731E1"/>
    <w:rsid w:val="002758A6"/>
    <w:rsid w:val="00277E4D"/>
    <w:rsid w:val="00281CF1"/>
    <w:rsid w:val="00281F45"/>
    <w:rsid w:val="00286CBD"/>
    <w:rsid w:val="00290F86"/>
    <w:rsid w:val="00291083"/>
    <w:rsid w:val="00293474"/>
    <w:rsid w:val="00294586"/>
    <w:rsid w:val="002961B3"/>
    <w:rsid w:val="002966A9"/>
    <w:rsid w:val="002A083C"/>
    <w:rsid w:val="002A1EE2"/>
    <w:rsid w:val="002A369F"/>
    <w:rsid w:val="002A5E68"/>
    <w:rsid w:val="002A65BB"/>
    <w:rsid w:val="002B0765"/>
    <w:rsid w:val="002B343F"/>
    <w:rsid w:val="002B3F6C"/>
    <w:rsid w:val="002B4393"/>
    <w:rsid w:val="002B4500"/>
    <w:rsid w:val="002B4686"/>
    <w:rsid w:val="002B5FD4"/>
    <w:rsid w:val="002B6671"/>
    <w:rsid w:val="002B68DB"/>
    <w:rsid w:val="002B6ACC"/>
    <w:rsid w:val="002C1553"/>
    <w:rsid w:val="002C41F4"/>
    <w:rsid w:val="002C4C65"/>
    <w:rsid w:val="002D2432"/>
    <w:rsid w:val="002D25F9"/>
    <w:rsid w:val="002D4AED"/>
    <w:rsid w:val="002D4EE6"/>
    <w:rsid w:val="002D5DFC"/>
    <w:rsid w:val="002D6272"/>
    <w:rsid w:val="002E1849"/>
    <w:rsid w:val="002E2ECA"/>
    <w:rsid w:val="002E6625"/>
    <w:rsid w:val="002E7709"/>
    <w:rsid w:val="002F0224"/>
    <w:rsid w:val="002F084F"/>
    <w:rsid w:val="002F13B8"/>
    <w:rsid w:val="002F357D"/>
    <w:rsid w:val="002F40F9"/>
    <w:rsid w:val="002F5EF5"/>
    <w:rsid w:val="002F6CD0"/>
    <w:rsid w:val="00301DAF"/>
    <w:rsid w:val="003020A2"/>
    <w:rsid w:val="00302F67"/>
    <w:rsid w:val="0030347F"/>
    <w:rsid w:val="00305AC5"/>
    <w:rsid w:val="00306BF5"/>
    <w:rsid w:val="00307399"/>
    <w:rsid w:val="00311D39"/>
    <w:rsid w:val="00313E9E"/>
    <w:rsid w:val="00313EDF"/>
    <w:rsid w:val="00313FE4"/>
    <w:rsid w:val="00314ABC"/>
    <w:rsid w:val="00316676"/>
    <w:rsid w:val="00320457"/>
    <w:rsid w:val="003221E9"/>
    <w:rsid w:val="00323409"/>
    <w:rsid w:val="003241A3"/>
    <w:rsid w:val="003248D1"/>
    <w:rsid w:val="00324F23"/>
    <w:rsid w:val="00327906"/>
    <w:rsid w:val="0033097B"/>
    <w:rsid w:val="00332FE3"/>
    <w:rsid w:val="00333DD5"/>
    <w:rsid w:val="00336821"/>
    <w:rsid w:val="00341CAD"/>
    <w:rsid w:val="00344FDC"/>
    <w:rsid w:val="00347227"/>
    <w:rsid w:val="00350533"/>
    <w:rsid w:val="00351769"/>
    <w:rsid w:val="00351960"/>
    <w:rsid w:val="003522B6"/>
    <w:rsid w:val="00352A27"/>
    <w:rsid w:val="00352C87"/>
    <w:rsid w:val="0035487C"/>
    <w:rsid w:val="003554C5"/>
    <w:rsid w:val="003557B1"/>
    <w:rsid w:val="00357570"/>
    <w:rsid w:val="00362030"/>
    <w:rsid w:val="00363FE9"/>
    <w:rsid w:val="00367A42"/>
    <w:rsid w:val="00367F60"/>
    <w:rsid w:val="0037034E"/>
    <w:rsid w:val="003711F3"/>
    <w:rsid w:val="003720BF"/>
    <w:rsid w:val="00377752"/>
    <w:rsid w:val="003802A0"/>
    <w:rsid w:val="00380C64"/>
    <w:rsid w:val="00381EB7"/>
    <w:rsid w:val="00382814"/>
    <w:rsid w:val="003853E7"/>
    <w:rsid w:val="00386096"/>
    <w:rsid w:val="00390D19"/>
    <w:rsid w:val="00390D7B"/>
    <w:rsid w:val="003920ED"/>
    <w:rsid w:val="003971AB"/>
    <w:rsid w:val="003977EA"/>
    <w:rsid w:val="00397ACB"/>
    <w:rsid w:val="003A016A"/>
    <w:rsid w:val="003A0672"/>
    <w:rsid w:val="003A1310"/>
    <w:rsid w:val="003A1835"/>
    <w:rsid w:val="003A2AA8"/>
    <w:rsid w:val="003A2BCC"/>
    <w:rsid w:val="003A3482"/>
    <w:rsid w:val="003A4FC7"/>
    <w:rsid w:val="003A5C76"/>
    <w:rsid w:val="003A6CCA"/>
    <w:rsid w:val="003B0780"/>
    <w:rsid w:val="003B1A71"/>
    <w:rsid w:val="003B4359"/>
    <w:rsid w:val="003B44D0"/>
    <w:rsid w:val="003B44F0"/>
    <w:rsid w:val="003B53B0"/>
    <w:rsid w:val="003B5816"/>
    <w:rsid w:val="003B594B"/>
    <w:rsid w:val="003C1192"/>
    <w:rsid w:val="003C1B2F"/>
    <w:rsid w:val="003C1BBC"/>
    <w:rsid w:val="003C1E4D"/>
    <w:rsid w:val="003C22DF"/>
    <w:rsid w:val="003C2E56"/>
    <w:rsid w:val="003C36CF"/>
    <w:rsid w:val="003C457B"/>
    <w:rsid w:val="003C6AB2"/>
    <w:rsid w:val="003C6D82"/>
    <w:rsid w:val="003D0281"/>
    <w:rsid w:val="003D1E34"/>
    <w:rsid w:val="003D41D8"/>
    <w:rsid w:val="003D57C6"/>
    <w:rsid w:val="003D5877"/>
    <w:rsid w:val="003D6504"/>
    <w:rsid w:val="003D689D"/>
    <w:rsid w:val="003E0757"/>
    <w:rsid w:val="003E0B53"/>
    <w:rsid w:val="003E16D8"/>
    <w:rsid w:val="003E1B16"/>
    <w:rsid w:val="003E48FA"/>
    <w:rsid w:val="003E687C"/>
    <w:rsid w:val="003E6E15"/>
    <w:rsid w:val="003F030F"/>
    <w:rsid w:val="003F0B70"/>
    <w:rsid w:val="003F20C8"/>
    <w:rsid w:val="003F2A86"/>
    <w:rsid w:val="003F3162"/>
    <w:rsid w:val="003F66E6"/>
    <w:rsid w:val="004015C6"/>
    <w:rsid w:val="004028D5"/>
    <w:rsid w:val="004034B7"/>
    <w:rsid w:val="004045E4"/>
    <w:rsid w:val="00404FBD"/>
    <w:rsid w:val="0041188D"/>
    <w:rsid w:val="00412883"/>
    <w:rsid w:val="00413790"/>
    <w:rsid w:val="00416FC8"/>
    <w:rsid w:val="00417268"/>
    <w:rsid w:val="0041778B"/>
    <w:rsid w:val="00417D78"/>
    <w:rsid w:val="00420FB8"/>
    <w:rsid w:val="00421B40"/>
    <w:rsid w:val="00422258"/>
    <w:rsid w:val="004235AB"/>
    <w:rsid w:val="004247EC"/>
    <w:rsid w:val="0042584E"/>
    <w:rsid w:val="00426FD6"/>
    <w:rsid w:val="00430E90"/>
    <w:rsid w:val="00432081"/>
    <w:rsid w:val="00432932"/>
    <w:rsid w:val="00433909"/>
    <w:rsid w:val="00433CFE"/>
    <w:rsid w:val="00434356"/>
    <w:rsid w:val="004345CE"/>
    <w:rsid w:val="00435C42"/>
    <w:rsid w:val="00435CF2"/>
    <w:rsid w:val="00436AEA"/>
    <w:rsid w:val="004403EF"/>
    <w:rsid w:val="00441D00"/>
    <w:rsid w:val="004428DE"/>
    <w:rsid w:val="00443681"/>
    <w:rsid w:val="00446039"/>
    <w:rsid w:val="00446636"/>
    <w:rsid w:val="00447064"/>
    <w:rsid w:val="00450385"/>
    <w:rsid w:val="004504EA"/>
    <w:rsid w:val="00452BAA"/>
    <w:rsid w:val="0045324C"/>
    <w:rsid w:val="004532FA"/>
    <w:rsid w:val="004570AC"/>
    <w:rsid w:val="004579CF"/>
    <w:rsid w:val="0046001A"/>
    <w:rsid w:val="00461585"/>
    <w:rsid w:val="00461C2F"/>
    <w:rsid w:val="00462C69"/>
    <w:rsid w:val="00463EF6"/>
    <w:rsid w:val="004654ED"/>
    <w:rsid w:val="00465988"/>
    <w:rsid w:val="00466970"/>
    <w:rsid w:val="00473B9D"/>
    <w:rsid w:val="004814BE"/>
    <w:rsid w:val="00481AF8"/>
    <w:rsid w:val="0048304A"/>
    <w:rsid w:val="0048557C"/>
    <w:rsid w:val="0048657A"/>
    <w:rsid w:val="00493C9F"/>
    <w:rsid w:val="004958FC"/>
    <w:rsid w:val="004A105A"/>
    <w:rsid w:val="004A22E8"/>
    <w:rsid w:val="004A2F77"/>
    <w:rsid w:val="004A3386"/>
    <w:rsid w:val="004A3AB1"/>
    <w:rsid w:val="004A5970"/>
    <w:rsid w:val="004A5CC8"/>
    <w:rsid w:val="004A631D"/>
    <w:rsid w:val="004B0EA7"/>
    <w:rsid w:val="004B1072"/>
    <w:rsid w:val="004B27FB"/>
    <w:rsid w:val="004B376C"/>
    <w:rsid w:val="004B53C8"/>
    <w:rsid w:val="004B6330"/>
    <w:rsid w:val="004B69A8"/>
    <w:rsid w:val="004B7ABF"/>
    <w:rsid w:val="004C2609"/>
    <w:rsid w:val="004C4371"/>
    <w:rsid w:val="004C6117"/>
    <w:rsid w:val="004C66D0"/>
    <w:rsid w:val="004D09F0"/>
    <w:rsid w:val="004D0D74"/>
    <w:rsid w:val="004D149E"/>
    <w:rsid w:val="004D1CB3"/>
    <w:rsid w:val="004D26A3"/>
    <w:rsid w:val="004D430C"/>
    <w:rsid w:val="004D4875"/>
    <w:rsid w:val="004D4B33"/>
    <w:rsid w:val="004D4E70"/>
    <w:rsid w:val="004D6F2C"/>
    <w:rsid w:val="004D75D5"/>
    <w:rsid w:val="004E169D"/>
    <w:rsid w:val="004E2468"/>
    <w:rsid w:val="004E2A46"/>
    <w:rsid w:val="004E4905"/>
    <w:rsid w:val="004E6237"/>
    <w:rsid w:val="004F0313"/>
    <w:rsid w:val="004F4A12"/>
    <w:rsid w:val="004F5827"/>
    <w:rsid w:val="004F679E"/>
    <w:rsid w:val="00500099"/>
    <w:rsid w:val="00500707"/>
    <w:rsid w:val="005023B5"/>
    <w:rsid w:val="00502EAC"/>
    <w:rsid w:val="00504E6C"/>
    <w:rsid w:val="005054CF"/>
    <w:rsid w:val="005063BE"/>
    <w:rsid w:val="005067AD"/>
    <w:rsid w:val="005079E0"/>
    <w:rsid w:val="00512985"/>
    <w:rsid w:val="00513062"/>
    <w:rsid w:val="00513631"/>
    <w:rsid w:val="0051566C"/>
    <w:rsid w:val="005177DA"/>
    <w:rsid w:val="005243C5"/>
    <w:rsid w:val="005251AD"/>
    <w:rsid w:val="0052560C"/>
    <w:rsid w:val="00527545"/>
    <w:rsid w:val="00527D73"/>
    <w:rsid w:val="005304C2"/>
    <w:rsid w:val="005310CC"/>
    <w:rsid w:val="00531B35"/>
    <w:rsid w:val="005331EF"/>
    <w:rsid w:val="0053474F"/>
    <w:rsid w:val="005352A6"/>
    <w:rsid w:val="005357A0"/>
    <w:rsid w:val="00540357"/>
    <w:rsid w:val="005459C4"/>
    <w:rsid w:val="005469C0"/>
    <w:rsid w:val="00546E6F"/>
    <w:rsid w:val="0055068A"/>
    <w:rsid w:val="00552BC0"/>
    <w:rsid w:val="0055672D"/>
    <w:rsid w:val="0056049E"/>
    <w:rsid w:val="00560EF2"/>
    <w:rsid w:val="005631F9"/>
    <w:rsid w:val="005649CA"/>
    <w:rsid w:val="005703B3"/>
    <w:rsid w:val="00571FDC"/>
    <w:rsid w:val="005735DD"/>
    <w:rsid w:val="005815F1"/>
    <w:rsid w:val="0058299B"/>
    <w:rsid w:val="005858EB"/>
    <w:rsid w:val="00586D62"/>
    <w:rsid w:val="00587E1E"/>
    <w:rsid w:val="005902EB"/>
    <w:rsid w:val="005952DB"/>
    <w:rsid w:val="00597D29"/>
    <w:rsid w:val="005A0143"/>
    <w:rsid w:val="005A1E00"/>
    <w:rsid w:val="005A23F1"/>
    <w:rsid w:val="005A4046"/>
    <w:rsid w:val="005A4F5D"/>
    <w:rsid w:val="005A584D"/>
    <w:rsid w:val="005A5F1F"/>
    <w:rsid w:val="005A6174"/>
    <w:rsid w:val="005A7145"/>
    <w:rsid w:val="005B0B30"/>
    <w:rsid w:val="005B105E"/>
    <w:rsid w:val="005B378E"/>
    <w:rsid w:val="005B4BF2"/>
    <w:rsid w:val="005B60A0"/>
    <w:rsid w:val="005B7576"/>
    <w:rsid w:val="005C016E"/>
    <w:rsid w:val="005C2175"/>
    <w:rsid w:val="005C22EF"/>
    <w:rsid w:val="005C2DFA"/>
    <w:rsid w:val="005C54AD"/>
    <w:rsid w:val="005D1C15"/>
    <w:rsid w:val="005D2C63"/>
    <w:rsid w:val="005D2D20"/>
    <w:rsid w:val="005D40AC"/>
    <w:rsid w:val="005D4418"/>
    <w:rsid w:val="005D4631"/>
    <w:rsid w:val="005D4958"/>
    <w:rsid w:val="005D4A2B"/>
    <w:rsid w:val="005D6C8A"/>
    <w:rsid w:val="005D72CA"/>
    <w:rsid w:val="005E0CEE"/>
    <w:rsid w:val="005E103C"/>
    <w:rsid w:val="005E1CF9"/>
    <w:rsid w:val="005E3915"/>
    <w:rsid w:val="005E661A"/>
    <w:rsid w:val="005E6905"/>
    <w:rsid w:val="005F1F9D"/>
    <w:rsid w:val="005F3932"/>
    <w:rsid w:val="005F394F"/>
    <w:rsid w:val="005F3DCE"/>
    <w:rsid w:val="005F4AE3"/>
    <w:rsid w:val="005F62D5"/>
    <w:rsid w:val="00600B78"/>
    <w:rsid w:val="006050DE"/>
    <w:rsid w:val="006074E1"/>
    <w:rsid w:val="0061091C"/>
    <w:rsid w:val="00610C8D"/>
    <w:rsid w:val="00613074"/>
    <w:rsid w:val="0061725B"/>
    <w:rsid w:val="00620021"/>
    <w:rsid w:val="0062062A"/>
    <w:rsid w:val="00622259"/>
    <w:rsid w:val="00622DC8"/>
    <w:rsid w:val="00623022"/>
    <w:rsid w:val="00624FA6"/>
    <w:rsid w:val="00625362"/>
    <w:rsid w:val="00625534"/>
    <w:rsid w:val="00625946"/>
    <w:rsid w:val="00626172"/>
    <w:rsid w:val="00627983"/>
    <w:rsid w:val="00630F15"/>
    <w:rsid w:val="00631710"/>
    <w:rsid w:val="0063186C"/>
    <w:rsid w:val="00631EBB"/>
    <w:rsid w:val="0063516A"/>
    <w:rsid w:val="006361BA"/>
    <w:rsid w:val="006377B6"/>
    <w:rsid w:val="00637CD6"/>
    <w:rsid w:val="00641328"/>
    <w:rsid w:val="0064441A"/>
    <w:rsid w:val="006446DD"/>
    <w:rsid w:val="00646A7B"/>
    <w:rsid w:val="00647335"/>
    <w:rsid w:val="00650186"/>
    <w:rsid w:val="00651C0E"/>
    <w:rsid w:val="0065262A"/>
    <w:rsid w:val="00652D78"/>
    <w:rsid w:val="006533C3"/>
    <w:rsid w:val="006551B8"/>
    <w:rsid w:val="00665358"/>
    <w:rsid w:val="006653B5"/>
    <w:rsid w:val="00671397"/>
    <w:rsid w:val="0067455A"/>
    <w:rsid w:val="00674659"/>
    <w:rsid w:val="00676075"/>
    <w:rsid w:val="00682F33"/>
    <w:rsid w:val="0068509B"/>
    <w:rsid w:val="006862C0"/>
    <w:rsid w:val="006876B6"/>
    <w:rsid w:val="00691A06"/>
    <w:rsid w:val="00694865"/>
    <w:rsid w:val="00696E6A"/>
    <w:rsid w:val="00697683"/>
    <w:rsid w:val="006A0767"/>
    <w:rsid w:val="006A0D54"/>
    <w:rsid w:val="006A5279"/>
    <w:rsid w:val="006B0888"/>
    <w:rsid w:val="006B0B76"/>
    <w:rsid w:val="006B1656"/>
    <w:rsid w:val="006B68D8"/>
    <w:rsid w:val="006B6D83"/>
    <w:rsid w:val="006B7D4F"/>
    <w:rsid w:val="006C08B5"/>
    <w:rsid w:val="006C1856"/>
    <w:rsid w:val="006C1C13"/>
    <w:rsid w:val="006C2D54"/>
    <w:rsid w:val="006C5683"/>
    <w:rsid w:val="006C6F84"/>
    <w:rsid w:val="006D0CC1"/>
    <w:rsid w:val="006D0E98"/>
    <w:rsid w:val="006D0FB6"/>
    <w:rsid w:val="006D1F16"/>
    <w:rsid w:val="006D6155"/>
    <w:rsid w:val="006D75CD"/>
    <w:rsid w:val="006D765D"/>
    <w:rsid w:val="006D76DE"/>
    <w:rsid w:val="006E035D"/>
    <w:rsid w:val="006E7327"/>
    <w:rsid w:val="006E7560"/>
    <w:rsid w:val="006E7A7E"/>
    <w:rsid w:val="006F19E3"/>
    <w:rsid w:val="006F378F"/>
    <w:rsid w:val="006F3DA3"/>
    <w:rsid w:val="006F4689"/>
    <w:rsid w:val="006F4798"/>
    <w:rsid w:val="006F684E"/>
    <w:rsid w:val="00700887"/>
    <w:rsid w:val="007015FF"/>
    <w:rsid w:val="00701B10"/>
    <w:rsid w:val="00701D85"/>
    <w:rsid w:val="00701E18"/>
    <w:rsid w:val="007067EA"/>
    <w:rsid w:val="00706916"/>
    <w:rsid w:val="00710E92"/>
    <w:rsid w:val="0071167B"/>
    <w:rsid w:val="00714858"/>
    <w:rsid w:val="0071547D"/>
    <w:rsid w:val="007161F9"/>
    <w:rsid w:val="007209A8"/>
    <w:rsid w:val="00722FCE"/>
    <w:rsid w:val="0072358E"/>
    <w:rsid w:val="0072385C"/>
    <w:rsid w:val="00726171"/>
    <w:rsid w:val="0072643E"/>
    <w:rsid w:val="00731B99"/>
    <w:rsid w:val="00733D46"/>
    <w:rsid w:val="00733F4B"/>
    <w:rsid w:val="00734630"/>
    <w:rsid w:val="00737186"/>
    <w:rsid w:val="007374B9"/>
    <w:rsid w:val="00740A8F"/>
    <w:rsid w:val="00741005"/>
    <w:rsid w:val="00742876"/>
    <w:rsid w:val="0074600E"/>
    <w:rsid w:val="00746634"/>
    <w:rsid w:val="00747A24"/>
    <w:rsid w:val="0075386F"/>
    <w:rsid w:val="007553D9"/>
    <w:rsid w:val="007558A0"/>
    <w:rsid w:val="007607E8"/>
    <w:rsid w:val="007608FF"/>
    <w:rsid w:val="00760BD6"/>
    <w:rsid w:val="00762315"/>
    <w:rsid w:val="007626D9"/>
    <w:rsid w:val="00763F9F"/>
    <w:rsid w:val="00765357"/>
    <w:rsid w:val="00767781"/>
    <w:rsid w:val="00771ACE"/>
    <w:rsid w:val="00772942"/>
    <w:rsid w:val="00774F15"/>
    <w:rsid w:val="00775EF4"/>
    <w:rsid w:val="00776171"/>
    <w:rsid w:val="0077619F"/>
    <w:rsid w:val="0077778C"/>
    <w:rsid w:val="00780130"/>
    <w:rsid w:val="00782138"/>
    <w:rsid w:val="00784486"/>
    <w:rsid w:val="0079113B"/>
    <w:rsid w:val="00794AF9"/>
    <w:rsid w:val="00797AA8"/>
    <w:rsid w:val="007A0FB2"/>
    <w:rsid w:val="007A2C07"/>
    <w:rsid w:val="007A3B69"/>
    <w:rsid w:val="007A4F58"/>
    <w:rsid w:val="007A667C"/>
    <w:rsid w:val="007A6725"/>
    <w:rsid w:val="007A6EB6"/>
    <w:rsid w:val="007A7ADD"/>
    <w:rsid w:val="007B002D"/>
    <w:rsid w:val="007B2301"/>
    <w:rsid w:val="007B2962"/>
    <w:rsid w:val="007B4476"/>
    <w:rsid w:val="007B59CC"/>
    <w:rsid w:val="007B640E"/>
    <w:rsid w:val="007B791F"/>
    <w:rsid w:val="007C00DA"/>
    <w:rsid w:val="007C0E16"/>
    <w:rsid w:val="007C7F3A"/>
    <w:rsid w:val="007D1248"/>
    <w:rsid w:val="007D271C"/>
    <w:rsid w:val="007D2DB4"/>
    <w:rsid w:val="007D47BD"/>
    <w:rsid w:val="007D63CE"/>
    <w:rsid w:val="007D7C47"/>
    <w:rsid w:val="007E0140"/>
    <w:rsid w:val="007E1A43"/>
    <w:rsid w:val="007E33AD"/>
    <w:rsid w:val="007E33BA"/>
    <w:rsid w:val="007E3C0E"/>
    <w:rsid w:val="007E572E"/>
    <w:rsid w:val="007E718E"/>
    <w:rsid w:val="007F4DC2"/>
    <w:rsid w:val="007F6F96"/>
    <w:rsid w:val="008011EB"/>
    <w:rsid w:val="008023A6"/>
    <w:rsid w:val="00803EA0"/>
    <w:rsid w:val="008115C5"/>
    <w:rsid w:val="00812C70"/>
    <w:rsid w:val="008139F5"/>
    <w:rsid w:val="0081418A"/>
    <w:rsid w:val="008149B0"/>
    <w:rsid w:val="008177D7"/>
    <w:rsid w:val="00822699"/>
    <w:rsid w:val="00822D9F"/>
    <w:rsid w:val="00823332"/>
    <w:rsid w:val="008234FD"/>
    <w:rsid w:val="00824332"/>
    <w:rsid w:val="00826203"/>
    <w:rsid w:val="00826C32"/>
    <w:rsid w:val="00826FA3"/>
    <w:rsid w:val="008272A5"/>
    <w:rsid w:val="008277A6"/>
    <w:rsid w:val="00833183"/>
    <w:rsid w:val="0083470D"/>
    <w:rsid w:val="008423A3"/>
    <w:rsid w:val="00842FFE"/>
    <w:rsid w:val="00846074"/>
    <w:rsid w:val="00846670"/>
    <w:rsid w:val="00846D9D"/>
    <w:rsid w:val="00850F32"/>
    <w:rsid w:val="0085211A"/>
    <w:rsid w:val="00856C0B"/>
    <w:rsid w:val="0086142A"/>
    <w:rsid w:val="00861B7D"/>
    <w:rsid w:val="00861D88"/>
    <w:rsid w:val="00862D16"/>
    <w:rsid w:val="00865F61"/>
    <w:rsid w:val="0087097C"/>
    <w:rsid w:val="0087362B"/>
    <w:rsid w:val="00873B07"/>
    <w:rsid w:val="008741F2"/>
    <w:rsid w:val="00875318"/>
    <w:rsid w:val="00876FA4"/>
    <w:rsid w:val="00880168"/>
    <w:rsid w:val="00882D3C"/>
    <w:rsid w:val="008847ED"/>
    <w:rsid w:val="00887D24"/>
    <w:rsid w:val="00892D3B"/>
    <w:rsid w:val="00895154"/>
    <w:rsid w:val="00895A7E"/>
    <w:rsid w:val="00895D67"/>
    <w:rsid w:val="00896F06"/>
    <w:rsid w:val="0089792E"/>
    <w:rsid w:val="00897DA5"/>
    <w:rsid w:val="00897E15"/>
    <w:rsid w:val="00897EDC"/>
    <w:rsid w:val="008A0D4C"/>
    <w:rsid w:val="008A17EB"/>
    <w:rsid w:val="008A1968"/>
    <w:rsid w:val="008A2F12"/>
    <w:rsid w:val="008A5134"/>
    <w:rsid w:val="008B4AD3"/>
    <w:rsid w:val="008B6CCD"/>
    <w:rsid w:val="008C4CC6"/>
    <w:rsid w:val="008C539A"/>
    <w:rsid w:val="008C5774"/>
    <w:rsid w:val="008C579E"/>
    <w:rsid w:val="008C68EC"/>
    <w:rsid w:val="008D0FCF"/>
    <w:rsid w:val="008D1B02"/>
    <w:rsid w:val="008D37F6"/>
    <w:rsid w:val="008D3A63"/>
    <w:rsid w:val="008D5B54"/>
    <w:rsid w:val="008D5E74"/>
    <w:rsid w:val="008D6266"/>
    <w:rsid w:val="008D63DE"/>
    <w:rsid w:val="008D72F1"/>
    <w:rsid w:val="008D7983"/>
    <w:rsid w:val="008E02FA"/>
    <w:rsid w:val="008E3BE0"/>
    <w:rsid w:val="008E4B2A"/>
    <w:rsid w:val="008E7127"/>
    <w:rsid w:val="008E7CFF"/>
    <w:rsid w:val="008F09A9"/>
    <w:rsid w:val="008F48D5"/>
    <w:rsid w:val="008F51FF"/>
    <w:rsid w:val="008F5C53"/>
    <w:rsid w:val="008F742D"/>
    <w:rsid w:val="00900963"/>
    <w:rsid w:val="0090215E"/>
    <w:rsid w:val="00903B81"/>
    <w:rsid w:val="0090492C"/>
    <w:rsid w:val="0090768D"/>
    <w:rsid w:val="009121FF"/>
    <w:rsid w:val="009129DC"/>
    <w:rsid w:val="00913148"/>
    <w:rsid w:val="009153ED"/>
    <w:rsid w:val="009208D8"/>
    <w:rsid w:val="00922DBD"/>
    <w:rsid w:val="0092387F"/>
    <w:rsid w:val="00923B0E"/>
    <w:rsid w:val="00925E82"/>
    <w:rsid w:val="00925F3A"/>
    <w:rsid w:val="00926505"/>
    <w:rsid w:val="009265C0"/>
    <w:rsid w:val="00926F0E"/>
    <w:rsid w:val="0092705B"/>
    <w:rsid w:val="00927A1D"/>
    <w:rsid w:val="00935573"/>
    <w:rsid w:val="009356A2"/>
    <w:rsid w:val="00937735"/>
    <w:rsid w:val="00937D48"/>
    <w:rsid w:val="00941587"/>
    <w:rsid w:val="0094437F"/>
    <w:rsid w:val="00944BFD"/>
    <w:rsid w:val="009469BE"/>
    <w:rsid w:val="0094797C"/>
    <w:rsid w:val="00947DC2"/>
    <w:rsid w:val="00951FDE"/>
    <w:rsid w:val="00953467"/>
    <w:rsid w:val="00954B9C"/>
    <w:rsid w:val="00954E57"/>
    <w:rsid w:val="00954FC6"/>
    <w:rsid w:val="00956E63"/>
    <w:rsid w:val="00957FBC"/>
    <w:rsid w:val="00960420"/>
    <w:rsid w:val="00960714"/>
    <w:rsid w:val="0096171A"/>
    <w:rsid w:val="0096255F"/>
    <w:rsid w:val="00962D5B"/>
    <w:rsid w:val="009636D9"/>
    <w:rsid w:val="00964237"/>
    <w:rsid w:val="00964263"/>
    <w:rsid w:val="00964651"/>
    <w:rsid w:val="00965BF4"/>
    <w:rsid w:val="00967C6A"/>
    <w:rsid w:val="009704FB"/>
    <w:rsid w:val="00972825"/>
    <w:rsid w:val="009731D4"/>
    <w:rsid w:val="00973BA4"/>
    <w:rsid w:val="0097527E"/>
    <w:rsid w:val="0097576F"/>
    <w:rsid w:val="009800A7"/>
    <w:rsid w:val="009832ED"/>
    <w:rsid w:val="0098493A"/>
    <w:rsid w:val="00985FC1"/>
    <w:rsid w:val="00991785"/>
    <w:rsid w:val="00993E9F"/>
    <w:rsid w:val="00994B34"/>
    <w:rsid w:val="00994EF3"/>
    <w:rsid w:val="00995804"/>
    <w:rsid w:val="0099656A"/>
    <w:rsid w:val="00997577"/>
    <w:rsid w:val="009A03A4"/>
    <w:rsid w:val="009A200B"/>
    <w:rsid w:val="009A440A"/>
    <w:rsid w:val="009B3FAB"/>
    <w:rsid w:val="009B54CB"/>
    <w:rsid w:val="009C1C52"/>
    <w:rsid w:val="009C2DB2"/>
    <w:rsid w:val="009C2EA4"/>
    <w:rsid w:val="009C5B9B"/>
    <w:rsid w:val="009C7CDB"/>
    <w:rsid w:val="009D1A9A"/>
    <w:rsid w:val="009D5554"/>
    <w:rsid w:val="009D5B9C"/>
    <w:rsid w:val="009D6F06"/>
    <w:rsid w:val="009D6F8E"/>
    <w:rsid w:val="009D7913"/>
    <w:rsid w:val="009D7B56"/>
    <w:rsid w:val="009E1A09"/>
    <w:rsid w:val="009E318C"/>
    <w:rsid w:val="009E4430"/>
    <w:rsid w:val="009E4D2D"/>
    <w:rsid w:val="009E63A4"/>
    <w:rsid w:val="009E7589"/>
    <w:rsid w:val="009F2F77"/>
    <w:rsid w:val="009F3981"/>
    <w:rsid w:val="009F4D87"/>
    <w:rsid w:val="009F6E77"/>
    <w:rsid w:val="009F70E9"/>
    <w:rsid w:val="009F7447"/>
    <w:rsid w:val="00A006E3"/>
    <w:rsid w:val="00A00B4A"/>
    <w:rsid w:val="00A047C8"/>
    <w:rsid w:val="00A04AC8"/>
    <w:rsid w:val="00A0777B"/>
    <w:rsid w:val="00A101DF"/>
    <w:rsid w:val="00A10251"/>
    <w:rsid w:val="00A13230"/>
    <w:rsid w:val="00A15B4B"/>
    <w:rsid w:val="00A16360"/>
    <w:rsid w:val="00A21AD2"/>
    <w:rsid w:val="00A21C1C"/>
    <w:rsid w:val="00A243B8"/>
    <w:rsid w:val="00A2589F"/>
    <w:rsid w:val="00A25993"/>
    <w:rsid w:val="00A25D84"/>
    <w:rsid w:val="00A30E80"/>
    <w:rsid w:val="00A31D12"/>
    <w:rsid w:val="00A3215D"/>
    <w:rsid w:val="00A325C8"/>
    <w:rsid w:val="00A32ABD"/>
    <w:rsid w:val="00A33497"/>
    <w:rsid w:val="00A4337D"/>
    <w:rsid w:val="00A50878"/>
    <w:rsid w:val="00A51787"/>
    <w:rsid w:val="00A523A9"/>
    <w:rsid w:val="00A5285A"/>
    <w:rsid w:val="00A56D74"/>
    <w:rsid w:val="00A56ED0"/>
    <w:rsid w:val="00A57775"/>
    <w:rsid w:val="00A579D3"/>
    <w:rsid w:val="00A609C3"/>
    <w:rsid w:val="00A66894"/>
    <w:rsid w:val="00A71666"/>
    <w:rsid w:val="00A72927"/>
    <w:rsid w:val="00A74FCB"/>
    <w:rsid w:val="00A772AD"/>
    <w:rsid w:val="00A809BC"/>
    <w:rsid w:val="00A80EE0"/>
    <w:rsid w:val="00A81AA5"/>
    <w:rsid w:val="00A827A0"/>
    <w:rsid w:val="00A85694"/>
    <w:rsid w:val="00A93BF0"/>
    <w:rsid w:val="00A94C94"/>
    <w:rsid w:val="00A96295"/>
    <w:rsid w:val="00A968AB"/>
    <w:rsid w:val="00A97186"/>
    <w:rsid w:val="00A97DD5"/>
    <w:rsid w:val="00AA0481"/>
    <w:rsid w:val="00AA0B23"/>
    <w:rsid w:val="00AA1461"/>
    <w:rsid w:val="00AA463E"/>
    <w:rsid w:val="00AA69EF"/>
    <w:rsid w:val="00AB0412"/>
    <w:rsid w:val="00AB2DA2"/>
    <w:rsid w:val="00AB3915"/>
    <w:rsid w:val="00AB4DE5"/>
    <w:rsid w:val="00AC026D"/>
    <w:rsid w:val="00AC0309"/>
    <w:rsid w:val="00AC0716"/>
    <w:rsid w:val="00AC5BEF"/>
    <w:rsid w:val="00AC68BE"/>
    <w:rsid w:val="00AD0028"/>
    <w:rsid w:val="00AE06A0"/>
    <w:rsid w:val="00AE1479"/>
    <w:rsid w:val="00AE23FA"/>
    <w:rsid w:val="00AE32BC"/>
    <w:rsid w:val="00AE42B5"/>
    <w:rsid w:val="00AE4FA9"/>
    <w:rsid w:val="00AE5F4A"/>
    <w:rsid w:val="00AE7BD2"/>
    <w:rsid w:val="00AE7C82"/>
    <w:rsid w:val="00AF30A5"/>
    <w:rsid w:val="00AF3186"/>
    <w:rsid w:val="00AF5036"/>
    <w:rsid w:val="00AF5B6E"/>
    <w:rsid w:val="00B0062C"/>
    <w:rsid w:val="00B057CB"/>
    <w:rsid w:val="00B10136"/>
    <w:rsid w:val="00B11637"/>
    <w:rsid w:val="00B120EF"/>
    <w:rsid w:val="00B12260"/>
    <w:rsid w:val="00B12FA7"/>
    <w:rsid w:val="00B13261"/>
    <w:rsid w:val="00B23113"/>
    <w:rsid w:val="00B23EB4"/>
    <w:rsid w:val="00B257D8"/>
    <w:rsid w:val="00B27456"/>
    <w:rsid w:val="00B320DC"/>
    <w:rsid w:val="00B3519B"/>
    <w:rsid w:val="00B35A0D"/>
    <w:rsid w:val="00B35A8E"/>
    <w:rsid w:val="00B37860"/>
    <w:rsid w:val="00B40062"/>
    <w:rsid w:val="00B4014F"/>
    <w:rsid w:val="00B40ED7"/>
    <w:rsid w:val="00B41298"/>
    <w:rsid w:val="00B44A30"/>
    <w:rsid w:val="00B45635"/>
    <w:rsid w:val="00B46BB6"/>
    <w:rsid w:val="00B50D38"/>
    <w:rsid w:val="00B51A5A"/>
    <w:rsid w:val="00B52044"/>
    <w:rsid w:val="00B52DE7"/>
    <w:rsid w:val="00B53898"/>
    <w:rsid w:val="00B539A1"/>
    <w:rsid w:val="00B53C15"/>
    <w:rsid w:val="00B544C1"/>
    <w:rsid w:val="00B57F82"/>
    <w:rsid w:val="00B60DC2"/>
    <w:rsid w:val="00B615CC"/>
    <w:rsid w:val="00B626CD"/>
    <w:rsid w:val="00B6291B"/>
    <w:rsid w:val="00B63829"/>
    <w:rsid w:val="00B7023F"/>
    <w:rsid w:val="00B7268A"/>
    <w:rsid w:val="00B7326B"/>
    <w:rsid w:val="00B75151"/>
    <w:rsid w:val="00B7630C"/>
    <w:rsid w:val="00B81F70"/>
    <w:rsid w:val="00B85907"/>
    <w:rsid w:val="00B93137"/>
    <w:rsid w:val="00B9451F"/>
    <w:rsid w:val="00B955C4"/>
    <w:rsid w:val="00BA0622"/>
    <w:rsid w:val="00BA50E5"/>
    <w:rsid w:val="00BB0459"/>
    <w:rsid w:val="00BB157E"/>
    <w:rsid w:val="00BB32F0"/>
    <w:rsid w:val="00BB3637"/>
    <w:rsid w:val="00BB473F"/>
    <w:rsid w:val="00BB7814"/>
    <w:rsid w:val="00BC05A6"/>
    <w:rsid w:val="00BC10C2"/>
    <w:rsid w:val="00BC1448"/>
    <w:rsid w:val="00BC1CFB"/>
    <w:rsid w:val="00BC76DA"/>
    <w:rsid w:val="00BD0918"/>
    <w:rsid w:val="00BD10A6"/>
    <w:rsid w:val="00BD2895"/>
    <w:rsid w:val="00BD3CB9"/>
    <w:rsid w:val="00BD3E31"/>
    <w:rsid w:val="00BD3FB5"/>
    <w:rsid w:val="00BD78DB"/>
    <w:rsid w:val="00BE20CA"/>
    <w:rsid w:val="00BE50AA"/>
    <w:rsid w:val="00BE5121"/>
    <w:rsid w:val="00BE6953"/>
    <w:rsid w:val="00BE7316"/>
    <w:rsid w:val="00BE7C55"/>
    <w:rsid w:val="00BF00E3"/>
    <w:rsid w:val="00BF0C5F"/>
    <w:rsid w:val="00BF1257"/>
    <w:rsid w:val="00BF4604"/>
    <w:rsid w:val="00C04C22"/>
    <w:rsid w:val="00C04DBD"/>
    <w:rsid w:val="00C06503"/>
    <w:rsid w:val="00C06801"/>
    <w:rsid w:val="00C10827"/>
    <w:rsid w:val="00C11964"/>
    <w:rsid w:val="00C11A35"/>
    <w:rsid w:val="00C14277"/>
    <w:rsid w:val="00C15449"/>
    <w:rsid w:val="00C166C6"/>
    <w:rsid w:val="00C215EE"/>
    <w:rsid w:val="00C236F4"/>
    <w:rsid w:val="00C25C0F"/>
    <w:rsid w:val="00C31A20"/>
    <w:rsid w:val="00C3321C"/>
    <w:rsid w:val="00C35002"/>
    <w:rsid w:val="00C356E8"/>
    <w:rsid w:val="00C376AF"/>
    <w:rsid w:val="00C41A59"/>
    <w:rsid w:val="00C456FE"/>
    <w:rsid w:val="00C469F0"/>
    <w:rsid w:val="00C471ED"/>
    <w:rsid w:val="00C5054A"/>
    <w:rsid w:val="00C5056D"/>
    <w:rsid w:val="00C50F95"/>
    <w:rsid w:val="00C53CAE"/>
    <w:rsid w:val="00C54B8E"/>
    <w:rsid w:val="00C607C9"/>
    <w:rsid w:val="00C62F49"/>
    <w:rsid w:val="00C64B15"/>
    <w:rsid w:val="00C65823"/>
    <w:rsid w:val="00C66358"/>
    <w:rsid w:val="00C67EB3"/>
    <w:rsid w:val="00C67F24"/>
    <w:rsid w:val="00C70F5A"/>
    <w:rsid w:val="00C71F4E"/>
    <w:rsid w:val="00C72782"/>
    <w:rsid w:val="00C730A2"/>
    <w:rsid w:val="00C75154"/>
    <w:rsid w:val="00C75723"/>
    <w:rsid w:val="00C76D9F"/>
    <w:rsid w:val="00C811CE"/>
    <w:rsid w:val="00C81700"/>
    <w:rsid w:val="00C83898"/>
    <w:rsid w:val="00C86759"/>
    <w:rsid w:val="00C867BC"/>
    <w:rsid w:val="00C924ED"/>
    <w:rsid w:val="00C93A21"/>
    <w:rsid w:val="00C94E7B"/>
    <w:rsid w:val="00C954D7"/>
    <w:rsid w:val="00CA22E3"/>
    <w:rsid w:val="00CA47AE"/>
    <w:rsid w:val="00CA4EA1"/>
    <w:rsid w:val="00CA5E1B"/>
    <w:rsid w:val="00CA6463"/>
    <w:rsid w:val="00CA65A1"/>
    <w:rsid w:val="00CA6F12"/>
    <w:rsid w:val="00CA74C4"/>
    <w:rsid w:val="00CA75DC"/>
    <w:rsid w:val="00CA7800"/>
    <w:rsid w:val="00CA7D25"/>
    <w:rsid w:val="00CB5849"/>
    <w:rsid w:val="00CB5D46"/>
    <w:rsid w:val="00CB5E98"/>
    <w:rsid w:val="00CB6330"/>
    <w:rsid w:val="00CB6848"/>
    <w:rsid w:val="00CC39D2"/>
    <w:rsid w:val="00CC4A50"/>
    <w:rsid w:val="00CC5EFE"/>
    <w:rsid w:val="00CD4346"/>
    <w:rsid w:val="00CD70EB"/>
    <w:rsid w:val="00CD719F"/>
    <w:rsid w:val="00CE19AC"/>
    <w:rsid w:val="00CE1EE6"/>
    <w:rsid w:val="00CE4BEA"/>
    <w:rsid w:val="00CE5938"/>
    <w:rsid w:val="00CE6899"/>
    <w:rsid w:val="00CE7F33"/>
    <w:rsid w:val="00CF3E60"/>
    <w:rsid w:val="00CF4CC3"/>
    <w:rsid w:val="00CF549A"/>
    <w:rsid w:val="00D023E2"/>
    <w:rsid w:val="00D06875"/>
    <w:rsid w:val="00D103AA"/>
    <w:rsid w:val="00D10CFE"/>
    <w:rsid w:val="00D114DF"/>
    <w:rsid w:val="00D122BE"/>
    <w:rsid w:val="00D13AA4"/>
    <w:rsid w:val="00D1530C"/>
    <w:rsid w:val="00D1570A"/>
    <w:rsid w:val="00D1613E"/>
    <w:rsid w:val="00D20C24"/>
    <w:rsid w:val="00D2126B"/>
    <w:rsid w:val="00D22CEB"/>
    <w:rsid w:val="00D25192"/>
    <w:rsid w:val="00D253BF"/>
    <w:rsid w:val="00D31D9A"/>
    <w:rsid w:val="00D34E70"/>
    <w:rsid w:val="00D35A55"/>
    <w:rsid w:val="00D363E8"/>
    <w:rsid w:val="00D37CF9"/>
    <w:rsid w:val="00D41092"/>
    <w:rsid w:val="00D41486"/>
    <w:rsid w:val="00D4173D"/>
    <w:rsid w:val="00D42CA7"/>
    <w:rsid w:val="00D46519"/>
    <w:rsid w:val="00D46E7E"/>
    <w:rsid w:val="00D47185"/>
    <w:rsid w:val="00D50089"/>
    <w:rsid w:val="00D517BA"/>
    <w:rsid w:val="00D54568"/>
    <w:rsid w:val="00D620D5"/>
    <w:rsid w:val="00D635CE"/>
    <w:rsid w:val="00D64AE7"/>
    <w:rsid w:val="00D64E17"/>
    <w:rsid w:val="00D7092D"/>
    <w:rsid w:val="00D724FA"/>
    <w:rsid w:val="00D75231"/>
    <w:rsid w:val="00D76054"/>
    <w:rsid w:val="00D80A98"/>
    <w:rsid w:val="00D87000"/>
    <w:rsid w:val="00D8769C"/>
    <w:rsid w:val="00D90CA5"/>
    <w:rsid w:val="00D90F5D"/>
    <w:rsid w:val="00D937FC"/>
    <w:rsid w:val="00D96386"/>
    <w:rsid w:val="00DA3390"/>
    <w:rsid w:val="00DA5F89"/>
    <w:rsid w:val="00DA6586"/>
    <w:rsid w:val="00DA6C89"/>
    <w:rsid w:val="00DB220B"/>
    <w:rsid w:val="00DB2545"/>
    <w:rsid w:val="00DB382D"/>
    <w:rsid w:val="00DB5096"/>
    <w:rsid w:val="00DB7918"/>
    <w:rsid w:val="00DC30AE"/>
    <w:rsid w:val="00DC3562"/>
    <w:rsid w:val="00DC6F5D"/>
    <w:rsid w:val="00DD02DB"/>
    <w:rsid w:val="00DD0FC3"/>
    <w:rsid w:val="00DD269D"/>
    <w:rsid w:val="00DD2773"/>
    <w:rsid w:val="00DD699C"/>
    <w:rsid w:val="00DD7C82"/>
    <w:rsid w:val="00DE1518"/>
    <w:rsid w:val="00DE2088"/>
    <w:rsid w:val="00DE57AB"/>
    <w:rsid w:val="00DE6A97"/>
    <w:rsid w:val="00DF01C0"/>
    <w:rsid w:val="00DF184E"/>
    <w:rsid w:val="00DF6863"/>
    <w:rsid w:val="00E01609"/>
    <w:rsid w:val="00E02F60"/>
    <w:rsid w:val="00E03442"/>
    <w:rsid w:val="00E03C44"/>
    <w:rsid w:val="00E04071"/>
    <w:rsid w:val="00E070F1"/>
    <w:rsid w:val="00E07BA5"/>
    <w:rsid w:val="00E10A8C"/>
    <w:rsid w:val="00E10C66"/>
    <w:rsid w:val="00E1252A"/>
    <w:rsid w:val="00E13F6B"/>
    <w:rsid w:val="00E15717"/>
    <w:rsid w:val="00E1701D"/>
    <w:rsid w:val="00E21FCF"/>
    <w:rsid w:val="00E22CF0"/>
    <w:rsid w:val="00E23414"/>
    <w:rsid w:val="00E24BDF"/>
    <w:rsid w:val="00E2789D"/>
    <w:rsid w:val="00E31166"/>
    <w:rsid w:val="00E33FC5"/>
    <w:rsid w:val="00E3489F"/>
    <w:rsid w:val="00E367F4"/>
    <w:rsid w:val="00E36D12"/>
    <w:rsid w:val="00E40304"/>
    <w:rsid w:val="00E41BB9"/>
    <w:rsid w:val="00E4348E"/>
    <w:rsid w:val="00E510C9"/>
    <w:rsid w:val="00E53B37"/>
    <w:rsid w:val="00E55C4A"/>
    <w:rsid w:val="00E6212D"/>
    <w:rsid w:val="00E662C7"/>
    <w:rsid w:val="00E666BF"/>
    <w:rsid w:val="00E70BE7"/>
    <w:rsid w:val="00E74111"/>
    <w:rsid w:val="00E751DD"/>
    <w:rsid w:val="00E80F9E"/>
    <w:rsid w:val="00E81739"/>
    <w:rsid w:val="00E8236B"/>
    <w:rsid w:val="00E8270B"/>
    <w:rsid w:val="00E82BDD"/>
    <w:rsid w:val="00E844CC"/>
    <w:rsid w:val="00E855A5"/>
    <w:rsid w:val="00E90813"/>
    <w:rsid w:val="00E91215"/>
    <w:rsid w:val="00E91400"/>
    <w:rsid w:val="00E97DB3"/>
    <w:rsid w:val="00EA0F2F"/>
    <w:rsid w:val="00EA1C2B"/>
    <w:rsid w:val="00EA2475"/>
    <w:rsid w:val="00EA3F0B"/>
    <w:rsid w:val="00EA4674"/>
    <w:rsid w:val="00EA4C33"/>
    <w:rsid w:val="00EA53D0"/>
    <w:rsid w:val="00EA632D"/>
    <w:rsid w:val="00EB07AF"/>
    <w:rsid w:val="00EB1FF2"/>
    <w:rsid w:val="00EB32BB"/>
    <w:rsid w:val="00EB354E"/>
    <w:rsid w:val="00EB362B"/>
    <w:rsid w:val="00EB5704"/>
    <w:rsid w:val="00EC0643"/>
    <w:rsid w:val="00EC42FA"/>
    <w:rsid w:val="00EC647D"/>
    <w:rsid w:val="00EC6B29"/>
    <w:rsid w:val="00ED6212"/>
    <w:rsid w:val="00ED77F4"/>
    <w:rsid w:val="00EE1190"/>
    <w:rsid w:val="00EE2334"/>
    <w:rsid w:val="00EE253D"/>
    <w:rsid w:val="00EE2569"/>
    <w:rsid w:val="00EE4519"/>
    <w:rsid w:val="00EE5CD9"/>
    <w:rsid w:val="00EE6081"/>
    <w:rsid w:val="00EE66DF"/>
    <w:rsid w:val="00EF0CE5"/>
    <w:rsid w:val="00EF1695"/>
    <w:rsid w:val="00EF6CC8"/>
    <w:rsid w:val="00EF789C"/>
    <w:rsid w:val="00EF7C76"/>
    <w:rsid w:val="00F007A0"/>
    <w:rsid w:val="00F03631"/>
    <w:rsid w:val="00F0732B"/>
    <w:rsid w:val="00F10198"/>
    <w:rsid w:val="00F1043A"/>
    <w:rsid w:val="00F10E14"/>
    <w:rsid w:val="00F1132A"/>
    <w:rsid w:val="00F1175C"/>
    <w:rsid w:val="00F13749"/>
    <w:rsid w:val="00F14070"/>
    <w:rsid w:val="00F14A61"/>
    <w:rsid w:val="00F14EC4"/>
    <w:rsid w:val="00F17B9C"/>
    <w:rsid w:val="00F20FAB"/>
    <w:rsid w:val="00F212C1"/>
    <w:rsid w:val="00F26637"/>
    <w:rsid w:val="00F27DEF"/>
    <w:rsid w:val="00F306DA"/>
    <w:rsid w:val="00F33879"/>
    <w:rsid w:val="00F33982"/>
    <w:rsid w:val="00F33E09"/>
    <w:rsid w:val="00F33E41"/>
    <w:rsid w:val="00F34F88"/>
    <w:rsid w:val="00F42F29"/>
    <w:rsid w:val="00F4356A"/>
    <w:rsid w:val="00F4373C"/>
    <w:rsid w:val="00F43C54"/>
    <w:rsid w:val="00F450C9"/>
    <w:rsid w:val="00F450E7"/>
    <w:rsid w:val="00F469E9"/>
    <w:rsid w:val="00F46D5E"/>
    <w:rsid w:val="00F504AF"/>
    <w:rsid w:val="00F50C02"/>
    <w:rsid w:val="00F51122"/>
    <w:rsid w:val="00F511D1"/>
    <w:rsid w:val="00F51FCB"/>
    <w:rsid w:val="00F57643"/>
    <w:rsid w:val="00F57A16"/>
    <w:rsid w:val="00F61549"/>
    <w:rsid w:val="00F62E4B"/>
    <w:rsid w:val="00F64CD9"/>
    <w:rsid w:val="00F726D8"/>
    <w:rsid w:val="00F73FD6"/>
    <w:rsid w:val="00F74CB4"/>
    <w:rsid w:val="00F751E8"/>
    <w:rsid w:val="00F80207"/>
    <w:rsid w:val="00F80510"/>
    <w:rsid w:val="00F80B77"/>
    <w:rsid w:val="00F81314"/>
    <w:rsid w:val="00F822FD"/>
    <w:rsid w:val="00F83A42"/>
    <w:rsid w:val="00F83C52"/>
    <w:rsid w:val="00F847DE"/>
    <w:rsid w:val="00F940B1"/>
    <w:rsid w:val="00F94961"/>
    <w:rsid w:val="00F94F85"/>
    <w:rsid w:val="00F962B5"/>
    <w:rsid w:val="00FA22E9"/>
    <w:rsid w:val="00FA3CC1"/>
    <w:rsid w:val="00FA4B61"/>
    <w:rsid w:val="00FA74F9"/>
    <w:rsid w:val="00FB1692"/>
    <w:rsid w:val="00FB3016"/>
    <w:rsid w:val="00FB44B2"/>
    <w:rsid w:val="00FB71C1"/>
    <w:rsid w:val="00FB7362"/>
    <w:rsid w:val="00FC1065"/>
    <w:rsid w:val="00FC140A"/>
    <w:rsid w:val="00FC1CAE"/>
    <w:rsid w:val="00FD0418"/>
    <w:rsid w:val="00FD29A2"/>
    <w:rsid w:val="00FD29C5"/>
    <w:rsid w:val="00FD2BFB"/>
    <w:rsid w:val="00FD32A2"/>
    <w:rsid w:val="00FD5F12"/>
    <w:rsid w:val="00FD60CA"/>
    <w:rsid w:val="00FD7DF3"/>
    <w:rsid w:val="00FE004A"/>
    <w:rsid w:val="00FE3169"/>
    <w:rsid w:val="00FE4A41"/>
    <w:rsid w:val="00FF252A"/>
    <w:rsid w:val="00FF2BA3"/>
    <w:rsid w:val="00FF3D9D"/>
    <w:rsid w:val="00FF502D"/>
    <w:rsid w:val="00FF617A"/>
    <w:rsid w:val="00FF67BD"/>
    <w:rsid w:val="00FF798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CC3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uiPriority="34"/>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14EC4"/>
    <w:pPr>
      <w:spacing w:before="120" w:after="120" w:line="300" w:lineRule="atLeast"/>
    </w:pPr>
    <w:rPr>
      <w:rFonts w:ascii="Arial" w:eastAsia="Times New Roman" w:hAnsi="Arial"/>
      <w:szCs w:val="24"/>
    </w:rPr>
  </w:style>
  <w:style w:type="paragraph" w:styleId="Heading1">
    <w:name w:val="heading 1"/>
    <w:basedOn w:val="Normal"/>
    <w:next w:val="Normal"/>
    <w:link w:val="Heading1Char"/>
    <w:qFormat/>
    <w:rsid w:val="00D06875"/>
    <w:pPr>
      <w:keepNext/>
      <w:numPr>
        <w:numId w:val="14"/>
      </w:numPr>
      <w:pBdr>
        <w:top w:val="single" w:sz="48" w:space="1" w:color="00B274"/>
        <w:left w:val="single" w:sz="48" w:space="4" w:color="00B274"/>
        <w:bottom w:val="single" w:sz="48" w:space="1" w:color="00B274"/>
        <w:right w:val="single" w:sz="48" w:space="4" w:color="00B274"/>
      </w:pBdr>
      <w:shd w:val="clear" w:color="auto" w:fill="00B274"/>
      <w:spacing w:before="360" w:line="336" w:lineRule="atLeast"/>
      <w:ind w:right="57"/>
      <w:outlineLvl w:val="0"/>
    </w:pPr>
    <w:rPr>
      <w:rFonts w:cs="Arial"/>
      <w:b/>
      <w:bCs/>
      <w:iCs/>
      <w:color w:val="FFFFFF"/>
      <w:kern w:val="32"/>
      <w:sz w:val="28"/>
      <w:szCs w:val="32"/>
    </w:rPr>
  </w:style>
  <w:style w:type="paragraph" w:styleId="Heading2">
    <w:name w:val="heading 2"/>
    <w:basedOn w:val="Normal"/>
    <w:next w:val="Normal"/>
    <w:link w:val="Heading2Char"/>
    <w:qFormat/>
    <w:rsid w:val="00731B99"/>
    <w:pPr>
      <w:keepNext/>
      <w:numPr>
        <w:ilvl w:val="1"/>
        <w:numId w:val="14"/>
      </w:numPr>
      <w:spacing w:line="840" w:lineRule="atLeast"/>
      <w:outlineLvl w:val="1"/>
    </w:pPr>
    <w:rPr>
      <w:rFonts w:cs="Arial"/>
      <w:bCs/>
      <w:iCs/>
      <w:color w:val="008576"/>
      <w:sz w:val="80"/>
      <w:szCs w:val="28"/>
    </w:rPr>
  </w:style>
  <w:style w:type="paragraph" w:styleId="Heading3">
    <w:name w:val="heading 3"/>
    <w:basedOn w:val="Normal"/>
    <w:next w:val="Normal"/>
    <w:link w:val="Heading3Char"/>
    <w:qFormat/>
    <w:rsid w:val="00313E9E"/>
    <w:pPr>
      <w:keepNext/>
      <w:keepLines/>
      <w:numPr>
        <w:ilvl w:val="2"/>
        <w:numId w:val="14"/>
      </w:numPr>
      <w:spacing w:before="200"/>
      <w:outlineLvl w:val="2"/>
    </w:pPr>
    <w:rPr>
      <w:rFonts w:ascii="Calibri" w:eastAsia="MS Gothic" w:hAnsi="Calibri"/>
      <w:b/>
      <w:bCs/>
      <w:color w:val="4F81BD"/>
    </w:rPr>
  </w:style>
  <w:style w:type="paragraph" w:styleId="Heading4">
    <w:name w:val="heading 4"/>
    <w:basedOn w:val="Normal"/>
    <w:next w:val="Normal"/>
    <w:link w:val="Heading4Char"/>
    <w:qFormat/>
    <w:rsid w:val="00313E9E"/>
    <w:pPr>
      <w:keepNext/>
      <w:keepLines/>
      <w:numPr>
        <w:ilvl w:val="3"/>
        <w:numId w:val="14"/>
      </w:numPr>
      <w:spacing w:before="200"/>
      <w:outlineLvl w:val="3"/>
    </w:pPr>
    <w:rPr>
      <w:rFonts w:ascii="Calibri" w:eastAsia="MS Gothic" w:hAnsi="Calibri"/>
      <w:b/>
      <w:bCs/>
      <w:i/>
      <w:iCs/>
      <w:color w:val="4F81BD"/>
    </w:rPr>
  </w:style>
  <w:style w:type="paragraph" w:styleId="Heading5">
    <w:name w:val="heading 5"/>
    <w:basedOn w:val="Normal"/>
    <w:next w:val="Normal"/>
    <w:link w:val="Heading5Char"/>
    <w:qFormat/>
    <w:rsid w:val="00313E9E"/>
    <w:pPr>
      <w:keepNext/>
      <w:keepLines/>
      <w:numPr>
        <w:ilvl w:val="4"/>
        <w:numId w:val="14"/>
      </w:numPr>
      <w:spacing w:before="200"/>
      <w:outlineLvl w:val="4"/>
    </w:pPr>
    <w:rPr>
      <w:rFonts w:ascii="Calibri" w:eastAsia="MS Gothic" w:hAnsi="Calibri"/>
      <w:color w:val="244061"/>
    </w:rPr>
  </w:style>
  <w:style w:type="paragraph" w:styleId="Heading6">
    <w:name w:val="heading 6"/>
    <w:basedOn w:val="Normal"/>
    <w:next w:val="Normal"/>
    <w:link w:val="Heading6Char"/>
    <w:qFormat/>
    <w:rsid w:val="00313E9E"/>
    <w:pPr>
      <w:keepNext/>
      <w:keepLines/>
      <w:numPr>
        <w:ilvl w:val="5"/>
        <w:numId w:val="14"/>
      </w:numPr>
      <w:spacing w:before="200"/>
      <w:outlineLvl w:val="5"/>
    </w:pPr>
    <w:rPr>
      <w:rFonts w:ascii="Calibri" w:eastAsia="MS Gothic" w:hAnsi="Calibri"/>
      <w:i/>
      <w:iCs/>
      <w:color w:val="244061"/>
    </w:rPr>
  </w:style>
  <w:style w:type="paragraph" w:styleId="Heading7">
    <w:name w:val="heading 7"/>
    <w:basedOn w:val="Normal"/>
    <w:next w:val="Normal"/>
    <w:link w:val="Heading7Char"/>
    <w:qFormat/>
    <w:rsid w:val="00313E9E"/>
    <w:pPr>
      <w:keepNext/>
      <w:keepLines/>
      <w:numPr>
        <w:ilvl w:val="6"/>
        <w:numId w:val="14"/>
      </w:numPr>
      <w:spacing w:before="200"/>
      <w:outlineLvl w:val="6"/>
    </w:pPr>
    <w:rPr>
      <w:rFonts w:ascii="Calibri" w:eastAsia="MS Gothic" w:hAnsi="Calibri"/>
      <w:i/>
      <w:iCs/>
      <w:color w:val="404040"/>
    </w:rPr>
  </w:style>
  <w:style w:type="paragraph" w:styleId="Heading8">
    <w:name w:val="heading 8"/>
    <w:basedOn w:val="Normal"/>
    <w:next w:val="Normal"/>
    <w:link w:val="Heading8Char"/>
    <w:qFormat/>
    <w:rsid w:val="00313E9E"/>
    <w:pPr>
      <w:keepNext/>
      <w:keepLines/>
      <w:numPr>
        <w:ilvl w:val="7"/>
        <w:numId w:val="14"/>
      </w:numPr>
      <w:spacing w:before="200"/>
      <w:outlineLvl w:val="7"/>
    </w:pPr>
    <w:rPr>
      <w:rFonts w:ascii="Calibri" w:eastAsia="MS Gothic" w:hAnsi="Calibri"/>
      <w:color w:val="363636"/>
      <w:szCs w:val="20"/>
    </w:rPr>
  </w:style>
  <w:style w:type="paragraph" w:styleId="Heading9">
    <w:name w:val="heading 9"/>
    <w:basedOn w:val="Normal"/>
    <w:next w:val="Normal"/>
    <w:link w:val="Heading9Char"/>
    <w:qFormat/>
    <w:rsid w:val="00313E9E"/>
    <w:pPr>
      <w:keepNext/>
      <w:keepLines/>
      <w:numPr>
        <w:ilvl w:val="8"/>
        <w:numId w:val="14"/>
      </w:numPr>
      <w:spacing w:before="200"/>
      <w:outlineLvl w:val="8"/>
    </w:pPr>
    <w:rPr>
      <w:rFonts w:ascii="Calibri" w:eastAsia="MS Gothic" w:hAnsi="Calibri"/>
      <w:i/>
      <w:iCs/>
      <w:color w:val="3636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1">
    <w:name w:val="Heading 01"/>
    <w:basedOn w:val="Heading1"/>
    <w:next w:val="Normal"/>
    <w:qFormat/>
    <w:rsid w:val="00CD719F"/>
    <w:pPr>
      <w:spacing w:line="240" w:lineRule="auto"/>
    </w:pPr>
  </w:style>
  <w:style w:type="paragraph" w:customStyle="1" w:styleId="Level-4a">
    <w:name w:val="Level-4a"/>
    <w:basedOn w:val="Normal"/>
    <w:autoRedefine/>
    <w:rsid w:val="00421B40"/>
    <w:pPr>
      <w:widowControl w:val="0"/>
      <w:autoSpaceDE w:val="0"/>
      <w:autoSpaceDN w:val="0"/>
      <w:adjustRightInd w:val="0"/>
      <w:spacing w:line="240" w:lineRule="auto"/>
      <w:ind w:left="1440" w:hanging="540"/>
    </w:pPr>
    <w:rPr>
      <w:rFonts w:ascii="Times New Roman" w:hAnsi="Times New Roman"/>
      <w:noProof/>
      <w:sz w:val="22"/>
      <w:szCs w:val="20"/>
      <w:u w:val="single"/>
      <w:lang w:eastAsia="en-US"/>
    </w:rPr>
  </w:style>
  <w:style w:type="paragraph" w:styleId="Footer">
    <w:name w:val="footer"/>
    <w:basedOn w:val="Normal"/>
    <w:link w:val="FooterChar"/>
    <w:unhideWhenUsed/>
    <w:rsid w:val="00731B99"/>
    <w:pPr>
      <w:tabs>
        <w:tab w:val="center" w:pos="4320"/>
        <w:tab w:val="right" w:pos="8640"/>
      </w:tabs>
    </w:pPr>
  </w:style>
  <w:style w:type="character" w:customStyle="1" w:styleId="FooterChar">
    <w:name w:val="Footer Char"/>
    <w:basedOn w:val="DefaultParagraphFont"/>
    <w:link w:val="Footer"/>
    <w:rsid w:val="00731B99"/>
  </w:style>
  <w:style w:type="paragraph" w:styleId="BlockText">
    <w:name w:val="Block Text"/>
    <w:basedOn w:val="Footer"/>
    <w:link w:val="BlockTextChar"/>
    <w:rsid w:val="00731B99"/>
    <w:pPr>
      <w:tabs>
        <w:tab w:val="clear" w:pos="4320"/>
        <w:tab w:val="clear" w:pos="8640"/>
        <w:tab w:val="center" w:pos="4153"/>
        <w:tab w:val="right" w:pos="8306"/>
      </w:tabs>
      <w:spacing w:line="220" w:lineRule="atLeast"/>
    </w:pPr>
    <w:rPr>
      <w:color w:val="FFFFFF"/>
      <w:sz w:val="18"/>
    </w:rPr>
  </w:style>
  <w:style w:type="character" w:customStyle="1" w:styleId="BlockTextChar">
    <w:name w:val="Block Text Char"/>
    <w:link w:val="BlockText"/>
    <w:rsid w:val="00731B99"/>
    <w:rPr>
      <w:rFonts w:ascii="Tahoma" w:eastAsia="Times New Roman" w:hAnsi="Tahoma" w:cs="Times New Roman"/>
      <w:color w:val="FFFFFF"/>
      <w:sz w:val="18"/>
      <w:lang w:val="en-GB" w:eastAsia="en-GB"/>
    </w:rPr>
  </w:style>
  <w:style w:type="character" w:customStyle="1" w:styleId="Heading1Char">
    <w:name w:val="Heading 1 Char"/>
    <w:link w:val="Heading1"/>
    <w:rsid w:val="00D06875"/>
    <w:rPr>
      <w:rFonts w:ascii="Arial" w:eastAsia="Times New Roman" w:hAnsi="Arial" w:cs="Arial"/>
      <w:b/>
      <w:bCs/>
      <w:iCs/>
      <w:color w:val="FFFFFF"/>
      <w:kern w:val="32"/>
      <w:sz w:val="28"/>
      <w:szCs w:val="32"/>
      <w:shd w:val="clear" w:color="auto" w:fill="00B274"/>
    </w:rPr>
  </w:style>
  <w:style w:type="character" w:customStyle="1" w:styleId="Heading2Char">
    <w:name w:val="Heading 2 Char"/>
    <w:link w:val="Heading2"/>
    <w:rsid w:val="00731B99"/>
    <w:rPr>
      <w:rFonts w:ascii="Arial" w:eastAsia="Times New Roman" w:hAnsi="Arial" w:cs="Arial"/>
      <w:bCs/>
      <w:iCs/>
      <w:color w:val="008576"/>
      <w:sz w:val="80"/>
      <w:szCs w:val="28"/>
    </w:rPr>
  </w:style>
  <w:style w:type="paragraph" w:styleId="BodyText2">
    <w:name w:val="Body Text 2"/>
    <w:basedOn w:val="Normal"/>
    <w:link w:val="BodyText2Char"/>
    <w:rsid w:val="00731B99"/>
    <w:pPr>
      <w:spacing w:line="360" w:lineRule="atLeast"/>
    </w:pPr>
    <w:rPr>
      <w:sz w:val="28"/>
    </w:rPr>
  </w:style>
  <w:style w:type="character" w:customStyle="1" w:styleId="BodyText2Char">
    <w:name w:val="Body Text 2 Char"/>
    <w:link w:val="BodyText2"/>
    <w:rsid w:val="00731B99"/>
    <w:rPr>
      <w:rFonts w:ascii="Tahoma" w:eastAsia="Times New Roman" w:hAnsi="Tahoma" w:cs="Times New Roman"/>
      <w:sz w:val="28"/>
      <w:lang w:val="en-GB" w:eastAsia="en-GB"/>
    </w:rPr>
  </w:style>
  <w:style w:type="paragraph" w:styleId="BodyText3">
    <w:name w:val="Body Text 3"/>
    <w:basedOn w:val="Normal"/>
    <w:link w:val="BodyText3Char"/>
    <w:rsid w:val="00731B99"/>
    <w:pPr>
      <w:spacing w:line="280" w:lineRule="atLeast"/>
    </w:pPr>
    <w:rPr>
      <w:sz w:val="24"/>
      <w:szCs w:val="16"/>
    </w:rPr>
  </w:style>
  <w:style w:type="character" w:customStyle="1" w:styleId="BodyText3Char">
    <w:name w:val="Body Text 3 Char"/>
    <w:link w:val="BodyText3"/>
    <w:rsid w:val="00731B99"/>
    <w:rPr>
      <w:rFonts w:ascii="Tahoma" w:eastAsia="Times New Roman" w:hAnsi="Tahoma" w:cs="Times New Roman"/>
      <w:szCs w:val="16"/>
      <w:lang w:val="en-GB" w:eastAsia="en-GB"/>
    </w:rPr>
  </w:style>
  <w:style w:type="character" w:customStyle="1" w:styleId="Heading4Char">
    <w:name w:val="Heading 4 Char"/>
    <w:link w:val="Heading4"/>
    <w:rsid w:val="00313E9E"/>
    <w:rPr>
      <w:rFonts w:ascii="Calibri" w:eastAsia="MS Gothic" w:hAnsi="Calibri"/>
      <w:b/>
      <w:bCs/>
      <w:i/>
      <w:iCs/>
      <w:color w:val="4F81BD"/>
      <w:szCs w:val="24"/>
    </w:rPr>
  </w:style>
  <w:style w:type="character" w:customStyle="1" w:styleId="Heading8Char">
    <w:name w:val="Heading 8 Char"/>
    <w:link w:val="Heading8"/>
    <w:rsid w:val="00313E9E"/>
    <w:rPr>
      <w:rFonts w:ascii="Calibri" w:eastAsia="MS Gothic" w:hAnsi="Calibri"/>
      <w:color w:val="363636"/>
    </w:rPr>
  </w:style>
  <w:style w:type="paragraph" w:styleId="ListNumber">
    <w:name w:val="List Number"/>
    <w:basedOn w:val="Normal"/>
    <w:link w:val="ListNumberChar"/>
    <w:rsid w:val="00313E9E"/>
    <w:pPr>
      <w:numPr>
        <w:numId w:val="3"/>
      </w:numPr>
    </w:pPr>
  </w:style>
  <w:style w:type="paragraph" w:styleId="BodyText">
    <w:name w:val="Body Text"/>
    <w:basedOn w:val="Normal"/>
    <w:link w:val="BodyTextChar"/>
    <w:rsid w:val="00313E9E"/>
  </w:style>
  <w:style w:type="character" w:customStyle="1" w:styleId="BodyTextChar">
    <w:name w:val="Body Text Char"/>
    <w:link w:val="BodyText"/>
    <w:rsid w:val="00313E9E"/>
    <w:rPr>
      <w:rFonts w:ascii="Tahoma" w:eastAsia="Times New Roman" w:hAnsi="Tahoma" w:cs="Times New Roman"/>
      <w:sz w:val="20"/>
      <w:lang w:val="en-GB" w:eastAsia="en-GB"/>
    </w:rPr>
  </w:style>
  <w:style w:type="paragraph" w:styleId="ListBullet2">
    <w:name w:val="List Bullet 2"/>
    <w:basedOn w:val="Normal"/>
    <w:link w:val="ListBullet2Char"/>
    <w:rsid w:val="00313E9E"/>
    <w:pPr>
      <w:numPr>
        <w:numId w:val="1"/>
      </w:numPr>
    </w:pPr>
  </w:style>
  <w:style w:type="paragraph" w:customStyle="1" w:styleId="TableHeading">
    <w:name w:val="Table Heading"/>
    <w:basedOn w:val="Normal"/>
    <w:rsid w:val="00313E9E"/>
    <w:pPr>
      <w:spacing w:line="240" w:lineRule="auto"/>
      <w:ind w:left="113"/>
    </w:pPr>
    <w:rPr>
      <w:color w:val="008576"/>
    </w:rPr>
  </w:style>
  <w:style w:type="paragraph" w:customStyle="1" w:styleId="Tablesubheading">
    <w:name w:val="Table subheading"/>
    <w:basedOn w:val="Normal"/>
    <w:rsid w:val="00313E9E"/>
    <w:pPr>
      <w:spacing w:before="40" w:line="240" w:lineRule="auto"/>
      <w:ind w:left="113"/>
    </w:pPr>
  </w:style>
  <w:style w:type="paragraph" w:customStyle="1" w:styleId="Tablebodycopy">
    <w:name w:val="Table body copy"/>
    <w:basedOn w:val="Normal"/>
    <w:rsid w:val="00313E9E"/>
    <w:pPr>
      <w:spacing w:before="40"/>
      <w:ind w:left="113"/>
    </w:pPr>
    <w:rPr>
      <w:color w:val="008576"/>
    </w:rPr>
  </w:style>
  <w:style w:type="character" w:customStyle="1" w:styleId="ListNumberChar">
    <w:name w:val="List Number Char"/>
    <w:link w:val="ListNumber"/>
    <w:rsid w:val="00313E9E"/>
    <w:rPr>
      <w:rFonts w:ascii="Arial" w:eastAsia="Times New Roman" w:hAnsi="Arial"/>
      <w:szCs w:val="24"/>
    </w:rPr>
  </w:style>
  <w:style w:type="character" w:customStyle="1" w:styleId="ListBullet2Char">
    <w:name w:val="List Bullet 2 Char"/>
    <w:link w:val="ListBullet2"/>
    <w:rsid w:val="00313E9E"/>
    <w:rPr>
      <w:rFonts w:ascii="Arial" w:eastAsia="Times New Roman" w:hAnsi="Arial"/>
      <w:szCs w:val="24"/>
    </w:rPr>
  </w:style>
  <w:style w:type="paragraph" w:customStyle="1" w:styleId="TableList">
    <w:name w:val="Table List"/>
    <w:basedOn w:val="ListBullet2"/>
    <w:rsid w:val="00313E9E"/>
    <w:pPr>
      <w:numPr>
        <w:ilvl w:val="1"/>
      </w:numPr>
      <w:tabs>
        <w:tab w:val="clear" w:pos="454"/>
        <w:tab w:val="num" w:pos="360"/>
      </w:tabs>
    </w:pPr>
    <w:rPr>
      <w:color w:val="008576"/>
    </w:rPr>
  </w:style>
  <w:style w:type="character" w:customStyle="1" w:styleId="Heading3Char">
    <w:name w:val="Heading 3 Char"/>
    <w:link w:val="Heading3"/>
    <w:rsid w:val="00313E9E"/>
    <w:rPr>
      <w:rFonts w:ascii="Calibri" w:eastAsia="MS Gothic" w:hAnsi="Calibri"/>
      <w:b/>
      <w:bCs/>
      <w:color w:val="4F81BD"/>
      <w:szCs w:val="24"/>
    </w:rPr>
  </w:style>
  <w:style w:type="character" w:customStyle="1" w:styleId="Heading5Char">
    <w:name w:val="Heading 5 Char"/>
    <w:link w:val="Heading5"/>
    <w:rsid w:val="00313E9E"/>
    <w:rPr>
      <w:rFonts w:ascii="Calibri" w:eastAsia="MS Gothic" w:hAnsi="Calibri"/>
      <w:color w:val="244061"/>
      <w:szCs w:val="24"/>
    </w:rPr>
  </w:style>
  <w:style w:type="character" w:customStyle="1" w:styleId="Heading6Char">
    <w:name w:val="Heading 6 Char"/>
    <w:link w:val="Heading6"/>
    <w:rsid w:val="00313E9E"/>
    <w:rPr>
      <w:rFonts w:ascii="Calibri" w:eastAsia="MS Gothic" w:hAnsi="Calibri"/>
      <w:i/>
      <w:iCs/>
      <w:color w:val="244061"/>
      <w:szCs w:val="24"/>
    </w:rPr>
  </w:style>
  <w:style w:type="character" w:customStyle="1" w:styleId="Heading7Char">
    <w:name w:val="Heading 7 Char"/>
    <w:link w:val="Heading7"/>
    <w:rsid w:val="00313E9E"/>
    <w:rPr>
      <w:rFonts w:ascii="Calibri" w:eastAsia="MS Gothic" w:hAnsi="Calibri"/>
      <w:i/>
      <w:iCs/>
      <w:color w:val="404040"/>
      <w:szCs w:val="24"/>
    </w:rPr>
  </w:style>
  <w:style w:type="character" w:customStyle="1" w:styleId="Heading9Char">
    <w:name w:val="Heading 9 Char"/>
    <w:link w:val="Heading9"/>
    <w:rsid w:val="00313E9E"/>
    <w:rPr>
      <w:rFonts w:ascii="Calibri" w:eastAsia="MS Gothic" w:hAnsi="Calibri"/>
      <w:i/>
      <w:iCs/>
      <w:color w:val="363636"/>
    </w:rPr>
  </w:style>
  <w:style w:type="numbering" w:styleId="ArticleSection">
    <w:name w:val="Outline List 3"/>
    <w:basedOn w:val="NoList"/>
    <w:semiHidden/>
    <w:rsid w:val="00313E9E"/>
    <w:pPr>
      <w:numPr>
        <w:numId w:val="2"/>
      </w:numPr>
    </w:pPr>
  </w:style>
  <w:style w:type="paragraph" w:customStyle="1" w:styleId="TOCContents01MOD">
    <w:name w:val="TOC Contents 01 MOD"/>
    <w:basedOn w:val="TOCContents03DMR"/>
    <w:qFormat/>
    <w:rsid w:val="00205E60"/>
    <w:pPr>
      <w:framePr w:hSpace="181" w:vSpace="181" w:wrap="around" w:vAnchor="text" w:hAnchor="text" w:y="1"/>
    </w:pPr>
    <w:rPr>
      <w:color w:val="008576"/>
    </w:rPr>
  </w:style>
  <w:style w:type="paragraph" w:styleId="TOC2">
    <w:name w:val="toc 2"/>
    <w:basedOn w:val="Heading9"/>
    <w:next w:val="Normal"/>
    <w:link w:val="TOC2Char"/>
    <w:autoRedefine/>
    <w:uiPriority w:val="39"/>
    <w:rsid w:val="0055068A"/>
    <w:pPr>
      <w:keepNext w:val="0"/>
      <w:keepLines w:val="0"/>
      <w:numPr>
        <w:ilvl w:val="0"/>
        <w:numId w:val="0"/>
      </w:numPr>
      <w:spacing w:before="0"/>
      <w:ind w:left="200"/>
      <w:outlineLvl w:val="9"/>
    </w:pPr>
    <w:rPr>
      <w:rFonts w:ascii="Cambria" w:eastAsia="Times New Roman" w:hAnsi="Cambria"/>
      <w:b/>
      <w:i w:val="0"/>
      <w:iCs w:val="0"/>
      <w:color w:val="auto"/>
      <w:sz w:val="22"/>
      <w:szCs w:val="22"/>
    </w:rPr>
  </w:style>
  <w:style w:type="paragraph" w:customStyle="1" w:styleId="Contents01">
    <w:name w:val="Contents 01"/>
    <w:basedOn w:val="Heading8"/>
    <w:qFormat/>
    <w:rsid w:val="00D06875"/>
    <w:pPr>
      <w:keepLines w:val="0"/>
      <w:numPr>
        <w:numId w:val="0"/>
      </w:numPr>
      <w:pBdr>
        <w:top w:val="single" w:sz="48" w:space="1" w:color="00B274"/>
        <w:left w:val="single" w:sz="48" w:space="4" w:color="00B274"/>
        <w:bottom w:val="single" w:sz="48" w:space="1" w:color="00B274"/>
        <w:right w:val="single" w:sz="48" w:space="4" w:color="00B274"/>
      </w:pBdr>
      <w:shd w:val="clear" w:color="auto" w:fill="00B274"/>
      <w:spacing w:before="0" w:line="240" w:lineRule="auto"/>
      <w:ind w:right="238"/>
    </w:pPr>
    <w:rPr>
      <w:rFonts w:ascii="Arial" w:eastAsia="Times New Roman" w:hAnsi="Arial" w:cs="Arial"/>
      <w:bCs/>
      <w:color w:val="FFFFFF"/>
      <w:kern w:val="32"/>
      <w:sz w:val="28"/>
      <w:szCs w:val="32"/>
    </w:rPr>
  </w:style>
  <w:style w:type="paragraph" w:customStyle="1" w:styleId="Timetable01">
    <w:name w:val="Timetable 01"/>
    <w:basedOn w:val="Contents01"/>
    <w:qFormat/>
    <w:rsid w:val="002C4C65"/>
    <w:pPr>
      <w:pBdr>
        <w:top w:val="none" w:sz="0" w:space="0" w:color="auto"/>
        <w:left w:val="none" w:sz="0" w:space="0" w:color="auto"/>
        <w:bottom w:val="none" w:sz="0" w:space="0" w:color="auto"/>
        <w:right w:val="none" w:sz="0" w:space="0" w:color="auto"/>
      </w:pBdr>
      <w:tabs>
        <w:tab w:val="right" w:pos="7811"/>
      </w:tabs>
      <w:ind w:right="0"/>
    </w:pPr>
    <w:rPr>
      <w:bCs w:val="0"/>
      <w:szCs w:val="28"/>
    </w:rPr>
  </w:style>
  <w:style w:type="character" w:customStyle="1" w:styleId="TOC2Char">
    <w:name w:val="TOC 2 Char"/>
    <w:link w:val="TOC2"/>
    <w:uiPriority w:val="39"/>
    <w:rsid w:val="0055068A"/>
    <w:rPr>
      <w:rFonts w:eastAsia="Times New Roman"/>
      <w:b/>
      <w:sz w:val="22"/>
      <w:szCs w:val="22"/>
      <w:lang w:eastAsia="en-GB"/>
    </w:rPr>
  </w:style>
  <w:style w:type="paragraph" w:styleId="TOC1">
    <w:name w:val="toc 1"/>
    <w:basedOn w:val="TOCContents01MOD"/>
    <w:next w:val="TOCContents01MOD"/>
    <w:autoRedefine/>
    <w:uiPriority w:val="39"/>
    <w:rsid w:val="00D06875"/>
    <w:pPr>
      <w:framePr w:wrap="around"/>
    </w:pPr>
  </w:style>
  <w:style w:type="table" w:styleId="TableGrid">
    <w:name w:val="Table Grid"/>
    <w:basedOn w:val="TableNormal"/>
    <w:uiPriority w:val="39"/>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 4"/>
    <w:basedOn w:val="BodyText3"/>
    <w:rsid w:val="005B378E"/>
  </w:style>
  <w:style w:type="numbering" w:styleId="111111">
    <w:name w:val="Outline List 2"/>
    <w:basedOn w:val="NoList"/>
    <w:rsid w:val="005B378E"/>
    <w:pPr>
      <w:numPr>
        <w:numId w:val="4"/>
      </w:numPr>
    </w:pPr>
  </w:style>
  <w:style w:type="numbering" w:styleId="1ai">
    <w:name w:val="Outline List 1"/>
    <w:basedOn w:val="NoList"/>
    <w:rsid w:val="005B378E"/>
    <w:pPr>
      <w:numPr>
        <w:numId w:val="5"/>
      </w:numPr>
    </w:pPr>
  </w:style>
  <w:style w:type="paragraph" w:styleId="BodyTextFirstIndent">
    <w:name w:val="Body Text First Indent"/>
    <w:basedOn w:val="BodyText"/>
    <w:link w:val="BodyTextFirstIndentChar"/>
    <w:rsid w:val="007E718E"/>
    <w:pPr>
      <w:spacing w:after="0"/>
      <w:ind w:firstLine="210"/>
    </w:pPr>
  </w:style>
  <w:style w:type="character" w:customStyle="1" w:styleId="BodyTextFirstIndentChar">
    <w:name w:val="Body Text First Indent Char"/>
    <w:link w:val="BodyTextFirstIndent"/>
    <w:rsid w:val="007E718E"/>
    <w:rPr>
      <w:rFonts w:ascii="Arial" w:eastAsia="Times New Roman" w:hAnsi="Arial"/>
      <w:szCs w:val="24"/>
      <w:lang w:eastAsia="en-GB"/>
    </w:rPr>
  </w:style>
  <w:style w:type="paragraph" w:styleId="BodyTextIndent">
    <w:name w:val="Body Text Indent"/>
    <w:basedOn w:val="Normal"/>
    <w:link w:val="BodyTextIndentChar"/>
    <w:rsid w:val="005B378E"/>
    <w:pPr>
      <w:ind w:left="283"/>
    </w:pPr>
  </w:style>
  <w:style w:type="character" w:customStyle="1" w:styleId="BodyTextIndentChar">
    <w:name w:val="Body Text Indent Char"/>
    <w:link w:val="BodyTextIndent"/>
    <w:rsid w:val="005B378E"/>
    <w:rPr>
      <w:rFonts w:ascii="Tahoma" w:eastAsia="Times New Roman" w:hAnsi="Tahoma" w:cs="Times New Roman"/>
      <w:sz w:val="20"/>
      <w:lang w:val="en-GB" w:eastAsia="en-GB"/>
    </w:rPr>
  </w:style>
  <w:style w:type="paragraph" w:styleId="BodyTextFirstIndent2">
    <w:name w:val="Body Text First Indent 2"/>
    <w:basedOn w:val="BodyTextIndent"/>
    <w:link w:val="BodyTextFirstIndent2Char"/>
    <w:rsid w:val="005B378E"/>
    <w:pPr>
      <w:ind w:firstLine="210"/>
    </w:pPr>
  </w:style>
  <w:style w:type="character" w:customStyle="1" w:styleId="BodyTextFirstIndent2Char">
    <w:name w:val="Body Text First Indent 2 Char"/>
    <w:link w:val="BodyTextFirstIndent2"/>
    <w:rsid w:val="005B378E"/>
    <w:rPr>
      <w:rFonts w:ascii="Tahoma" w:eastAsia="Times New Roman" w:hAnsi="Tahoma" w:cs="Times New Roman"/>
      <w:sz w:val="20"/>
      <w:lang w:val="en-GB" w:eastAsia="en-GB"/>
    </w:rPr>
  </w:style>
  <w:style w:type="paragraph" w:styleId="BodyTextIndent2">
    <w:name w:val="Body Text Indent 2"/>
    <w:basedOn w:val="Normal"/>
    <w:link w:val="BodyTextIndent2Char"/>
    <w:rsid w:val="005B378E"/>
    <w:pPr>
      <w:spacing w:line="480" w:lineRule="auto"/>
      <w:ind w:left="283"/>
    </w:pPr>
  </w:style>
  <w:style w:type="character" w:customStyle="1" w:styleId="BodyTextIndent2Char">
    <w:name w:val="Body Text Indent 2 Char"/>
    <w:link w:val="BodyTextIndent2"/>
    <w:rsid w:val="005B378E"/>
    <w:rPr>
      <w:rFonts w:ascii="Tahoma" w:eastAsia="Times New Roman" w:hAnsi="Tahoma" w:cs="Times New Roman"/>
      <w:sz w:val="20"/>
      <w:lang w:val="en-GB" w:eastAsia="en-GB"/>
    </w:rPr>
  </w:style>
  <w:style w:type="paragraph" w:styleId="BodyTextIndent3">
    <w:name w:val="Body Text Indent 3"/>
    <w:basedOn w:val="Normal"/>
    <w:link w:val="BodyTextIndent3Char"/>
    <w:rsid w:val="005B378E"/>
    <w:pPr>
      <w:ind w:left="283"/>
    </w:pPr>
    <w:rPr>
      <w:sz w:val="16"/>
      <w:szCs w:val="16"/>
    </w:rPr>
  </w:style>
  <w:style w:type="character" w:customStyle="1" w:styleId="BodyTextIndent3Char">
    <w:name w:val="Body Text Indent 3 Char"/>
    <w:link w:val="BodyTextIndent3"/>
    <w:rsid w:val="005B378E"/>
    <w:rPr>
      <w:rFonts w:ascii="Tahoma" w:eastAsia="Times New Roman" w:hAnsi="Tahoma" w:cs="Times New Roman"/>
      <w:sz w:val="16"/>
      <w:szCs w:val="16"/>
      <w:lang w:val="en-GB" w:eastAsia="en-GB"/>
    </w:rPr>
  </w:style>
  <w:style w:type="paragraph" w:styleId="Closing">
    <w:name w:val="Closing"/>
    <w:basedOn w:val="Normal"/>
    <w:link w:val="ClosingChar"/>
    <w:rsid w:val="005B378E"/>
    <w:pPr>
      <w:ind w:left="4252"/>
    </w:pPr>
  </w:style>
  <w:style w:type="character" w:customStyle="1" w:styleId="ClosingChar">
    <w:name w:val="Closing Char"/>
    <w:link w:val="Closing"/>
    <w:rsid w:val="005B378E"/>
    <w:rPr>
      <w:rFonts w:ascii="Tahoma" w:eastAsia="Times New Roman" w:hAnsi="Tahoma" w:cs="Times New Roman"/>
      <w:sz w:val="20"/>
      <w:lang w:val="en-GB" w:eastAsia="en-GB"/>
    </w:rPr>
  </w:style>
  <w:style w:type="paragraph" w:styleId="Date">
    <w:name w:val="Date"/>
    <w:basedOn w:val="Normal"/>
    <w:next w:val="Normal"/>
    <w:link w:val="DateChar"/>
    <w:rsid w:val="005B378E"/>
  </w:style>
  <w:style w:type="character" w:customStyle="1" w:styleId="DateChar">
    <w:name w:val="Date Char"/>
    <w:link w:val="Date"/>
    <w:rsid w:val="005B378E"/>
    <w:rPr>
      <w:rFonts w:ascii="Tahoma" w:eastAsia="Times New Roman" w:hAnsi="Tahoma" w:cs="Times New Roman"/>
      <w:sz w:val="20"/>
      <w:lang w:val="en-GB" w:eastAsia="en-GB"/>
    </w:rPr>
  </w:style>
  <w:style w:type="paragraph" w:styleId="E-mailSignature">
    <w:name w:val="E-mail Signature"/>
    <w:basedOn w:val="Normal"/>
    <w:link w:val="E-mailSignatureChar"/>
    <w:rsid w:val="005B378E"/>
  </w:style>
  <w:style w:type="character" w:customStyle="1" w:styleId="E-mailSignatureChar">
    <w:name w:val="E-mail Signature Char"/>
    <w:link w:val="E-mailSignature"/>
    <w:rsid w:val="005B378E"/>
    <w:rPr>
      <w:rFonts w:ascii="Tahoma" w:eastAsia="Times New Roman" w:hAnsi="Tahoma" w:cs="Times New Roman"/>
      <w:sz w:val="20"/>
      <w:lang w:val="en-GB" w:eastAsia="en-GB"/>
    </w:rPr>
  </w:style>
  <w:style w:type="character" w:styleId="Emphasis">
    <w:name w:val="Emphasis"/>
    <w:qFormat/>
    <w:rsid w:val="005B378E"/>
    <w:rPr>
      <w:i/>
      <w:iCs/>
    </w:rPr>
  </w:style>
  <w:style w:type="paragraph" w:styleId="EnvelopeAddress">
    <w:name w:val="envelope address"/>
    <w:basedOn w:val="Normal"/>
    <w:rsid w:val="005B378E"/>
    <w:pPr>
      <w:framePr w:w="7920" w:h="1980" w:hRule="exact" w:hSpace="180" w:wrap="auto" w:hAnchor="page" w:xAlign="center" w:yAlign="bottom"/>
      <w:ind w:left="2880"/>
    </w:pPr>
    <w:rPr>
      <w:rFonts w:cs="Arial"/>
      <w:sz w:val="24"/>
    </w:rPr>
  </w:style>
  <w:style w:type="paragraph" w:styleId="EnvelopeReturn">
    <w:name w:val="envelope return"/>
    <w:basedOn w:val="Normal"/>
    <w:rsid w:val="005B378E"/>
    <w:rPr>
      <w:rFonts w:cs="Arial"/>
      <w:szCs w:val="20"/>
    </w:rPr>
  </w:style>
  <w:style w:type="character" w:styleId="HTMLAcronym">
    <w:name w:val="HTML Acronym"/>
    <w:basedOn w:val="DefaultParagraphFont"/>
    <w:rsid w:val="005B378E"/>
  </w:style>
  <w:style w:type="paragraph" w:styleId="HTMLAddress">
    <w:name w:val="HTML Address"/>
    <w:basedOn w:val="Normal"/>
    <w:link w:val="HTMLAddressChar"/>
    <w:rsid w:val="005B378E"/>
    <w:rPr>
      <w:i/>
      <w:iCs/>
    </w:rPr>
  </w:style>
  <w:style w:type="character" w:customStyle="1" w:styleId="HTMLAddressChar">
    <w:name w:val="HTML Address Char"/>
    <w:link w:val="HTMLAddress"/>
    <w:rsid w:val="005B378E"/>
    <w:rPr>
      <w:rFonts w:ascii="Tahoma" w:eastAsia="Times New Roman" w:hAnsi="Tahoma" w:cs="Times New Roman"/>
      <w:i/>
      <w:iCs/>
      <w:sz w:val="20"/>
      <w:lang w:val="en-GB" w:eastAsia="en-GB"/>
    </w:rPr>
  </w:style>
  <w:style w:type="character" w:styleId="HTMLCite">
    <w:name w:val="HTML Cite"/>
    <w:rsid w:val="005B378E"/>
    <w:rPr>
      <w:i/>
      <w:iCs/>
    </w:rPr>
  </w:style>
  <w:style w:type="character" w:styleId="HTMLCode">
    <w:name w:val="HTML Code"/>
    <w:rsid w:val="005B378E"/>
    <w:rPr>
      <w:rFonts w:ascii="Courier New" w:hAnsi="Courier New" w:cs="Courier New"/>
      <w:sz w:val="20"/>
      <w:szCs w:val="20"/>
    </w:rPr>
  </w:style>
  <w:style w:type="character" w:styleId="HTMLDefinition">
    <w:name w:val="HTML Definition"/>
    <w:rsid w:val="005B378E"/>
    <w:rPr>
      <w:i/>
      <w:iCs/>
    </w:rPr>
  </w:style>
  <w:style w:type="character" w:styleId="HTMLKeyboard">
    <w:name w:val="HTML Keyboard"/>
    <w:rsid w:val="005B378E"/>
    <w:rPr>
      <w:rFonts w:ascii="Courier New" w:hAnsi="Courier New" w:cs="Courier New"/>
      <w:sz w:val="20"/>
      <w:szCs w:val="20"/>
    </w:rPr>
  </w:style>
  <w:style w:type="paragraph" w:styleId="HTMLPreformatted">
    <w:name w:val="HTML Preformatted"/>
    <w:basedOn w:val="Normal"/>
    <w:link w:val="HTMLPreformattedChar"/>
    <w:rsid w:val="005B378E"/>
    <w:rPr>
      <w:rFonts w:ascii="Courier New" w:hAnsi="Courier New" w:cs="Courier New"/>
      <w:szCs w:val="20"/>
    </w:rPr>
  </w:style>
  <w:style w:type="character" w:customStyle="1" w:styleId="HTMLPreformattedChar">
    <w:name w:val="HTML Preformatted Char"/>
    <w:link w:val="HTMLPreformatted"/>
    <w:rsid w:val="005B378E"/>
    <w:rPr>
      <w:rFonts w:ascii="Courier New" w:eastAsia="Times New Roman" w:hAnsi="Courier New" w:cs="Courier New"/>
      <w:sz w:val="20"/>
      <w:szCs w:val="20"/>
      <w:lang w:val="en-GB" w:eastAsia="en-GB"/>
    </w:rPr>
  </w:style>
  <w:style w:type="character" w:styleId="HTMLSample">
    <w:name w:val="HTML Sample"/>
    <w:rsid w:val="005B378E"/>
    <w:rPr>
      <w:rFonts w:ascii="Courier New" w:hAnsi="Courier New" w:cs="Courier New"/>
    </w:rPr>
  </w:style>
  <w:style w:type="character" w:styleId="HTMLTypewriter">
    <w:name w:val="HTML Typewriter"/>
    <w:rsid w:val="005B378E"/>
    <w:rPr>
      <w:rFonts w:ascii="Courier New" w:hAnsi="Courier New" w:cs="Courier New"/>
      <w:sz w:val="20"/>
      <w:szCs w:val="20"/>
    </w:rPr>
  </w:style>
  <w:style w:type="character" w:styleId="HTMLVariable">
    <w:name w:val="HTML Variable"/>
    <w:rsid w:val="005B378E"/>
    <w:rPr>
      <w:i/>
      <w:iCs/>
    </w:rPr>
  </w:style>
  <w:style w:type="character" w:styleId="LineNumber">
    <w:name w:val="line number"/>
    <w:basedOn w:val="DefaultParagraphFont"/>
    <w:rsid w:val="005B378E"/>
  </w:style>
  <w:style w:type="paragraph" w:styleId="MessageHeader">
    <w:name w:val="Message Header"/>
    <w:basedOn w:val="Normal"/>
    <w:link w:val="MessageHeaderChar"/>
    <w:rsid w:val="005B378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link w:val="MessageHeader"/>
    <w:rsid w:val="005B378E"/>
    <w:rPr>
      <w:rFonts w:ascii="Arial" w:eastAsia="Times New Roman" w:hAnsi="Arial" w:cs="Arial"/>
      <w:shd w:val="pct20" w:color="auto" w:fill="auto"/>
      <w:lang w:val="en-GB" w:eastAsia="en-GB"/>
    </w:rPr>
  </w:style>
  <w:style w:type="paragraph" w:styleId="NormalWeb">
    <w:name w:val="Normal (Web)"/>
    <w:basedOn w:val="Normal"/>
    <w:uiPriority w:val="99"/>
    <w:rsid w:val="005B378E"/>
    <w:rPr>
      <w:rFonts w:ascii="Times New Roman" w:hAnsi="Times New Roman"/>
      <w:sz w:val="24"/>
    </w:rPr>
  </w:style>
  <w:style w:type="paragraph" w:styleId="NoteHeading">
    <w:name w:val="Note Heading"/>
    <w:basedOn w:val="Normal"/>
    <w:next w:val="Normal"/>
    <w:link w:val="NoteHeadingChar"/>
    <w:rsid w:val="005B378E"/>
  </w:style>
  <w:style w:type="character" w:customStyle="1" w:styleId="NoteHeadingChar">
    <w:name w:val="Note Heading Char"/>
    <w:link w:val="NoteHeading"/>
    <w:rsid w:val="005B378E"/>
    <w:rPr>
      <w:rFonts w:ascii="Tahoma" w:eastAsia="Times New Roman" w:hAnsi="Tahoma" w:cs="Times New Roman"/>
      <w:sz w:val="20"/>
      <w:lang w:val="en-GB" w:eastAsia="en-GB"/>
    </w:rPr>
  </w:style>
  <w:style w:type="paragraph" w:styleId="PlainText">
    <w:name w:val="Plain Text"/>
    <w:basedOn w:val="Normal"/>
    <w:link w:val="PlainTextChar"/>
    <w:rsid w:val="005B378E"/>
    <w:rPr>
      <w:rFonts w:ascii="Courier New" w:hAnsi="Courier New" w:cs="Courier New"/>
      <w:szCs w:val="20"/>
    </w:rPr>
  </w:style>
  <w:style w:type="character" w:customStyle="1" w:styleId="PlainTextChar">
    <w:name w:val="Plain Text Char"/>
    <w:link w:val="PlainText"/>
    <w:rsid w:val="005B378E"/>
    <w:rPr>
      <w:rFonts w:ascii="Courier New" w:eastAsia="Times New Roman" w:hAnsi="Courier New" w:cs="Courier New"/>
      <w:sz w:val="20"/>
      <w:szCs w:val="20"/>
      <w:lang w:val="en-GB" w:eastAsia="en-GB"/>
    </w:rPr>
  </w:style>
  <w:style w:type="paragraph" w:styleId="Salutation">
    <w:name w:val="Salutation"/>
    <w:basedOn w:val="Normal"/>
    <w:next w:val="Normal"/>
    <w:link w:val="SalutationChar"/>
    <w:rsid w:val="005B378E"/>
  </w:style>
  <w:style w:type="character" w:customStyle="1" w:styleId="SalutationChar">
    <w:name w:val="Salutation Char"/>
    <w:link w:val="Salutation"/>
    <w:rsid w:val="005B378E"/>
    <w:rPr>
      <w:rFonts w:ascii="Tahoma" w:eastAsia="Times New Roman" w:hAnsi="Tahoma" w:cs="Times New Roman"/>
      <w:sz w:val="20"/>
      <w:lang w:val="en-GB" w:eastAsia="en-GB"/>
    </w:rPr>
  </w:style>
  <w:style w:type="paragraph" w:styleId="Signature">
    <w:name w:val="Signature"/>
    <w:basedOn w:val="Normal"/>
    <w:link w:val="SignatureChar"/>
    <w:rsid w:val="005B378E"/>
    <w:pPr>
      <w:ind w:left="4252"/>
    </w:pPr>
  </w:style>
  <w:style w:type="character" w:customStyle="1" w:styleId="SignatureChar">
    <w:name w:val="Signature Char"/>
    <w:link w:val="Signature"/>
    <w:rsid w:val="005B378E"/>
    <w:rPr>
      <w:rFonts w:ascii="Tahoma" w:eastAsia="Times New Roman" w:hAnsi="Tahoma" w:cs="Times New Roman"/>
      <w:sz w:val="20"/>
      <w:lang w:val="en-GB" w:eastAsia="en-GB"/>
    </w:rPr>
  </w:style>
  <w:style w:type="character" w:styleId="Strong">
    <w:name w:val="Strong"/>
    <w:qFormat/>
    <w:rsid w:val="005B378E"/>
    <w:rPr>
      <w:b/>
      <w:bCs/>
    </w:rPr>
  </w:style>
  <w:style w:type="table" w:styleId="Table3Deffects1">
    <w:name w:val="Table 3D effects 1"/>
    <w:basedOn w:val="TableNormal"/>
    <w:rsid w:val="005B378E"/>
    <w:pPr>
      <w:spacing w:line="300" w:lineRule="atLeast"/>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B378E"/>
    <w:pPr>
      <w:spacing w:line="300" w:lineRule="atLeast"/>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B378E"/>
    <w:pPr>
      <w:spacing w:line="300" w:lineRule="atLeast"/>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B378E"/>
    <w:pPr>
      <w:spacing w:line="300" w:lineRule="atLeast"/>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B378E"/>
    <w:pPr>
      <w:spacing w:line="300" w:lineRule="atLeast"/>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B378E"/>
    <w:pPr>
      <w:spacing w:line="300" w:lineRule="atLeast"/>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B378E"/>
    <w:pPr>
      <w:spacing w:line="300" w:lineRule="atLeast"/>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B378E"/>
    <w:pPr>
      <w:spacing w:line="300" w:lineRule="atLeast"/>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B378E"/>
    <w:pPr>
      <w:spacing w:line="300" w:lineRule="atLeast"/>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B378E"/>
    <w:pPr>
      <w:spacing w:line="300" w:lineRule="atLeast"/>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B378E"/>
    <w:pPr>
      <w:spacing w:line="300" w:lineRule="atLeast"/>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B378E"/>
    <w:pPr>
      <w:spacing w:line="300" w:lineRule="atLeast"/>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B378E"/>
    <w:pPr>
      <w:spacing w:line="300" w:lineRule="atLeast"/>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B378E"/>
    <w:pPr>
      <w:spacing w:line="300" w:lineRule="atLeast"/>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B378E"/>
    <w:pPr>
      <w:spacing w:line="300" w:lineRule="atLeast"/>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B378E"/>
    <w:pPr>
      <w:spacing w:line="300" w:lineRule="atLeast"/>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B378E"/>
    <w:pPr>
      <w:spacing w:line="300" w:lineRule="atLeast"/>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B378E"/>
    <w:pPr>
      <w:spacing w:line="300" w:lineRule="atLeast"/>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B378E"/>
    <w:pPr>
      <w:spacing w:line="300" w:lineRule="atLeast"/>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B378E"/>
    <w:pPr>
      <w:spacing w:line="300" w:lineRule="atLeast"/>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B378E"/>
    <w:pPr>
      <w:spacing w:line="300" w:lineRule="atLeast"/>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B378E"/>
    <w:pPr>
      <w:spacing w:line="300" w:lineRule="atLeast"/>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B378E"/>
    <w:pPr>
      <w:spacing w:line="300" w:lineRule="atLeast"/>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B378E"/>
    <w:pPr>
      <w:spacing w:line="300" w:lineRule="atLeast"/>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B378E"/>
    <w:pPr>
      <w:spacing w:line="300" w:lineRule="atLeast"/>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B378E"/>
    <w:pPr>
      <w:spacing w:line="300" w:lineRule="atLeast"/>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B378E"/>
    <w:pPr>
      <w:spacing w:line="300" w:lineRule="atLeast"/>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B378E"/>
    <w:pPr>
      <w:spacing w:line="300" w:lineRule="atLeast"/>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B378E"/>
    <w:pPr>
      <w:spacing w:line="300" w:lineRule="atLeast"/>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B378E"/>
    <w:pPr>
      <w:spacing w:line="300" w:lineRule="atLeast"/>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2">
    <w:name w:val="List Number 2"/>
    <w:basedOn w:val="Normal"/>
    <w:link w:val="ListNumber2Char"/>
    <w:rsid w:val="005B378E"/>
    <w:pPr>
      <w:numPr>
        <w:numId w:val="13"/>
      </w:numPr>
    </w:pPr>
    <w:rPr>
      <w:sz w:val="24"/>
    </w:rPr>
  </w:style>
  <w:style w:type="paragraph" w:customStyle="1" w:styleId="Sub-headings">
    <w:name w:val="Sub-headings"/>
    <w:basedOn w:val="BodyText4"/>
    <w:qFormat/>
    <w:rsid w:val="00C04C22"/>
    <w:pPr>
      <w:spacing w:before="240" w:line="300" w:lineRule="atLeast"/>
    </w:pPr>
    <w:rPr>
      <w:b/>
      <w:bCs/>
      <w:color w:val="008576"/>
      <w:szCs w:val="24"/>
    </w:rPr>
  </w:style>
  <w:style w:type="paragraph" w:styleId="ListBullet">
    <w:name w:val="List Bullet"/>
    <w:basedOn w:val="Normal"/>
    <w:link w:val="ListBulletChar"/>
    <w:rsid w:val="005B378E"/>
    <w:pPr>
      <w:tabs>
        <w:tab w:val="left" w:pos="266"/>
      </w:tabs>
    </w:pPr>
    <w:rPr>
      <w:color w:val="00B274"/>
    </w:rPr>
  </w:style>
  <w:style w:type="paragraph" w:styleId="ListBullet3">
    <w:name w:val="List Bullet 3"/>
    <w:basedOn w:val="ListBullet"/>
    <w:link w:val="ListBullet3Char"/>
    <w:rsid w:val="005B378E"/>
    <w:pPr>
      <w:numPr>
        <w:numId w:val="6"/>
      </w:numPr>
    </w:pPr>
    <w:rPr>
      <w:color w:val="auto"/>
    </w:rPr>
  </w:style>
  <w:style w:type="character" w:customStyle="1" w:styleId="ListBulletChar">
    <w:name w:val="List Bullet Char"/>
    <w:link w:val="ListBullet"/>
    <w:rsid w:val="005B378E"/>
    <w:rPr>
      <w:rFonts w:ascii="Tahoma" w:eastAsia="Times New Roman" w:hAnsi="Tahoma" w:cs="Times New Roman"/>
      <w:color w:val="00B274"/>
      <w:sz w:val="20"/>
      <w:lang w:val="en-GB" w:eastAsia="en-GB"/>
    </w:rPr>
  </w:style>
  <w:style w:type="character" w:customStyle="1" w:styleId="ListBullet3Char">
    <w:name w:val="List Bullet 3 Char"/>
    <w:link w:val="ListBullet3"/>
    <w:rsid w:val="005B378E"/>
    <w:rPr>
      <w:rFonts w:ascii="Arial" w:eastAsia="Times New Roman" w:hAnsi="Arial"/>
      <w:szCs w:val="24"/>
    </w:rPr>
  </w:style>
  <w:style w:type="paragraph" w:styleId="ListBullet4">
    <w:name w:val="List Bullet 4"/>
    <w:basedOn w:val="ListBullet3"/>
    <w:rsid w:val="005B378E"/>
    <w:pPr>
      <w:numPr>
        <w:numId w:val="8"/>
      </w:numPr>
      <w:tabs>
        <w:tab w:val="clear" w:pos="266"/>
        <w:tab w:val="clear" w:pos="2835"/>
        <w:tab w:val="num" w:pos="284"/>
      </w:tabs>
      <w:ind w:left="284" w:hanging="284"/>
    </w:pPr>
  </w:style>
  <w:style w:type="paragraph" w:styleId="ListBullet5">
    <w:name w:val="List Bullet 5"/>
    <w:basedOn w:val="ListBullet4"/>
    <w:rsid w:val="005B378E"/>
    <w:pPr>
      <w:numPr>
        <w:numId w:val="7"/>
      </w:numPr>
      <w:tabs>
        <w:tab w:val="clear" w:pos="2835"/>
        <w:tab w:val="num" w:pos="284"/>
      </w:tabs>
      <w:ind w:left="284" w:hanging="284"/>
    </w:pPr>
  </w:style>
  <w:style w:type="paragraph" w:styleId="ListContinue">
    <w:name w:val="List Continue"/>
    <w:basedOn w:val="ListBullet"/>
    <w:link w:val="ListContinueChar"/>
    <w:rsid w:val="005B378E"/>
    <w:pPr>
      <w:pBdr>
        <w:bottom w:val="single" w:sz="4" w:space="6" w:color="008576"/>
      </w:pBdr>
    </w:pPr>
  </w:style>
  <w:style w:type="paragraph" w:styleId="ListContinue2">
    <w:name w:val="List Continue 2"/>
    <w:basedOn w:val="Normal"/>
    <w:rsid w:val="005B378E"/>
    <w:pPr>
      <w:numPr>
        <w:numId w:val="9"/>
      </w:numPr>
    </w:pPr>
    <w:rPr>
      <w:b/>
    </w:rPr>
  </w:style>
  <w:style w:type="paragraph" w:styleId="ListContinue3">
    <w:name w:val="List Continue 3"/>
    <w:basedOn w:val="ListBullet2"/>
    <w:rsid w:val="005B378E"/>
    <w:pPr>
      <w:numPr>
        <w:numId w:val="0"/>
      </w:numPr>
      <w:pBdr>
        <w:bottom w:val="single" w:sz="4" w:space="4" w:color="008576"/>
      </w:pBdr>
      <w:tabs>
        <w:tab w:val="num" w:pos="2835"/>
      </w:tabs>
      <w:ind w:left="2835" w:hanging="2835"/>
    </w:pPr>
  </w:style>
  <w:style w:type="character" w:customStyle="1" w:styleId="ListContinueChar">
    <w:name w:val="List Continue Char"/>
    <w:link w:val="ListContinue"/>
    <w:rsid w:val="005B378E"/>
    <w:rPr>
      <w:rFonts w:ascii="Tahoma" w:eastAsia="Times New Roman" w:hAnsi="Tahoma" w:cs="Times New Roman"/>
      <w:color w:val="00B274"/>
      <w:sz w:val="20"/>
      <w:lang w:val="en-GB" w:eastAsia="en-GB"/>
    </w:rPr>
  </w:style>
  <w:style w:type="paragraph" w:styleId="ListContinue4">
    <w:name w:val="List Continue 4"/>
    <w:basedOn w:val="Normal"/>
    <w:rsid w:val="005B378E"/>
    <w:pPr>
      <w:numPr>
        <w:numId w:val="10"/>
      </w:numPr>
      <w:tabs>
        <w:tab w:val="clear" w:pos="3967"/>
      </w:tabs>
      <w:ind w:left="413" w:hanging="280"/>
    </w:pPr>
    <w:rPr>
      <w:color w:val="008576"/>
    </w:rPr>
  </w:style>
  <w:style w:type="paragraph" w:styleId="ListContinue5">
    <w:name w:val="List Continue 5"/>
    <w:basedOn w:val="Normal"/>
    <w:next w:val="ListContinue4"/>
    <w:rsid w:val="005B378E"/>
    <w:pPr>
      <w:numPr>
        <w:numId w:val="12"/>
      </w:numPr>
      <w:tabs>
        <w:tab w:val="clear" w:pos="2835"/>
      </w:tabs>
      <w:ind w:left="427" w:hanging="294"/>
    </w:pPr>
    <w:rPr>
      <w:color w:val="008576"/>
    </w:rPr>
  </w:style>
  <w:style w:type="paragraph" w:customStyle="1" w:styleId="ListContinue6">
    <w:name w:val="List Continue 6"/>
    <w:basedOn w:val="ListContinue5"/>
    <w:rsid w:val="005B378E"/>
    <w:pPr>
      <w:numPr>
        <w:numId w:val="11"/>
      </w:numPr>
      <w:tabs>
        <w:tab w:val="clear" w:pos="2968"/>
      </w:tabs>
      <w:ind w:left="441" w:hanging="308"/>
    </w:pPr>
  </w:style>
  <w:style w:type="paragraph" w:styleId="ListNumber3">
    <w:name w:val="List Number 3"/>
    <w:basedOn w:val="ListBullet2"/>
    <w:rsid w:val="005B378E"/>
    <w:pPr>
      <w:numPr>
        <w:numId w:val="0"/>
      </w:numPr>
      <w:tabs>
        <w:tab w:val="left" w:pos="840"/>
        <w:tab w:val="num" w:pos="2835"/>
      </w:tabs>
      <w:ind w:left="838" w:hanging="278"/>
    </w:pPr>
  </w:style>
  <w:style w:type="paragraph" w:styleId="TOC3">
    <w:name w:val="toc 3"/>
    <w:basedOn w:val="Heading4"/>
    <w:next w:val="Normal"/>
    <w:autoRedefine/>
    <w:rsid w:val="005B378E"/>
    <w:pPr>
      <w:keepNext w:val="0"/>
      <w:keepLines w:val="0"/>
      <w:numPr>
        <w:ilvl w:val="0"/>
        <w:numId w:val="0"/>
      </w:numPr>
      <w:spacing w:before="0"/>
      <w:ind w:left="400"/>
      <w:outlineLvl w:val="9"/>
    </w:pPr>
    <w:rPr>
      <w:rFonts w:ascii="Cambria" w:eastAsia="Times New Roman" w:hAnsi="Cambria"/>
      <w:b w:val="0"/>
      <w:bCs w:val="0"/>
      <w:i w:val="0"/>
      <w:iCs w:val="0"/>
      <w:color w:val="auto"/>
      <w:sz w:val="22"/>
      <w:szCs w:val="22"/>
    </w:rPr>
  </w:style>
  <w:style w:type="paragraph" w:styleId="TOC4">
    <w:name w:val="toc 4"/>
    <w:basedOn w:val="TOC5"/>
    <w:next w:val="Normal"/>
    <w:autoRedefine/>
    <w:rsid w:val="005B378E"/>
    <w:pPr>
      <w:ind w:left="600"/>
    </w:pPr>
  </w:style>
  <w:style w:type="paragraph" w:styleId="TOC5">
    <w:name w:val="toc 5"/>
    <w:basedOn w:val="BodyText4"/>
    <w:next w:val="Normal"/>
    <w:autoRedefine/>
    <w:rsid w:val="005B378E"/>
    <w:pPr>
      <w:spacing w:before="0" w:line="300" w:lineRule="atLeast"/>
      <w:ind w:left="800"/>
    </w:pPr>
    <w:rPr>
      <w:rFonts w:ascii="Cambria" w:hAnsi="Cambria"/>
      <w:sz w:val="20"/>
      <w:szCs w:val="20"/>
    </w:rPr>
  </w:style>
  <w:style w:type="paragraph" w:styleId="TOC6">
    <w:name w:val="toc 6"/>
    <w:basedOn w:val="Normal"/>
    <w:next w:val="Normal"/>
    <w:autoRedefine/>
    <w:rsid w:val="005B378E"/>
    <w:pPr>
      <w:ind w:left="1000"/>
    </w:pPr>
    <w:rPr>
      <w:rFonts w:ascii="Cambria" w:hAnsi="Cambria"/>
      <w:szCs w:val="20"/>
    </w:rPr>
  </w:style>
  <w:style w:type="paragraph" w:styleId="TOC7">
    <w:name w:val="toc 7"/>
    <w:basedOn w:val="Normal"/>
    <w:next w:val="Normal"/>
    <w:autoRedefine/>
    <w:rsid w:val="005B378E"/>
    <w:pPr>
      <w:ind w:left="1200"/>
    </w:pPr>
    <w:rPr>
      <w:rFonts w:ascii="Cambria" w:hAnsi="Cambria"/>
      <w:szCs w:val="20"/>
    </w:rPr>
  </w:style>
  <w:style w:type="paragraph" w:styleId="TOC8">
    <w:name w:val="toc 8"/>
    <w:basedOn w:val="Normal"/>
    <w:next w:val="Normal"/>
    <w:autoRedefine/>
    <w:rsid w:val="005B378E"/>
    <w:pPr>
      <w:ind w:left="1400"/>
    </w:pPr>
    <w:rPr>
      <w:rFonts w:ascii="Cambria" w:hAnsi="Cambria"/>
      <w:szCs w:val="20"/>
    </w:rPr>
  </w:style>
  <w:style w:type="paragraph" w:styleId="TOC9">
    <w:name w:val="toc 9"/>
    <w:basedOn w:val="Normal"/>
    <w:next w:val="Normal"/>
    <w:autoRedefine/>
    <w:rsid w:val="005B378E"/>
    <w:pPr>
      <w:ind w:left="1600"/>
    </w:pPr>
    <w:rPr>
      <w:rFonts w:ascii="Cambria" w:hAnsi="Cambria"/>
      <w:szCs w:val="20"/>
    </w:rPr>
  </w:style>
  <w:style w:type="character" w:customStyle="1" w:styleId="ListNumber2Char">
    <w:name w:val="List Number 2 Char"/>
    <w:link w:val="ListNumber2"/>
    <w:rsid w:val="005B378E"/>
    <w:rPr>
      <w:rFonts w:ascii="Arial" w:eastAsia="Times New Roman" w:hAnsi="Arial"/>
      <w:sz w:val="24"/>
      <w:szCs w:val="24"/>
    </w:rPr>
  </w:style>
  <w:style w:type="character" w:styleId="Hyperlink">
    <w:name w:val="Hyperlink"/>
    <w:qFormat/>
    <w:rsid w:val="005B378E"/>
    <w:rPr>
      <w:color w:val="0000FF"/>
      <w:u w:val="single"/>
    </w:rPr>
  </w:style>
  <w:style w:type="paragraph" w:styleId="BalloonText">
    <w:name w:val="Balloon Text"/>
    <w:basedOn w:val="Normal"/>
    <w:link w:val="BalloonTextChar"/>
    <w:rsid w:val="005B378E"/>
    <w:rPr>
      <w:rFonts w:cs="Tahoma"/>
      <w:sz w:val="16"/>
      <w:szCs w:val="16"/>
    </w:rPr>
  </w:style>
  <w:style w:type="character" w:customStyle="1" w:styleId="BalloonTextChar">
    <w:name w:val="Balloon Text Char"/>
    <w:link w:val="BalloonText"/>
    <w:rsid w:val="005B378E"/>
    <w:rPr>
      <w:rFonts w:ascii="Tahoma" w:eastAsia="Times New Roman" w:hAnsi="Tahoma" w:cs="Tahoma"/>
      <w:sz w:val="16"/>
      <w:szCs w:val="16"/>
      <w:lang w:val="en-GB" w:eastAsia="en-GB"/>
    </w:rPr>
  </w:style>
  <w:style w:type="paragraph" w:customStyle="1" w:styleId="Question">
    <w:name w:val="Question"/>
    <w:basedOn w:val="TableHeading"/>
    <w:rsid w:val="005B378E"/>
    <w:rPr>
      <w:b/>
      <w:color w:val="FFFFFF"/>
    </w:rPr>
  </w:style>
  <w:style w:type="character" w:styleId="CommentReference">
    <w:name w:val="annotation reference"/>
    <w:rsid w:val="005B378E"/>
    <w:rPr>
      <w:sz w:val="16"/>
      <w:szCs w:val="16"/>
    </w:rPr>
  </w:style>
  <w:style w:type="paragraph" w:styleId="CommentText">
    <w:name w:val="annotation text"/>
    <w:basedOn w:val="Normal"/>
    <w:link w:val="CommentTextChar"/>
    <w:rsid w:val="005B378E"/>
    <w:rPr>
      <w:szCs w:val="20"/>
    </w:rPr>
  </w:style>
  <w:style w:type="character" w:customStyle="1" w:styleId="CommentTextChar">
    <w:name w:val="Comment Text Char"/>
    <w:link w:val="CommentText"/>
    <w:rsid w:val="005B378E"/>
    <w:rPr>
      <w:rFonts w:ascii="Tahoma" w:eastAsia="Times New Roman" w:hAnsi="Tahoma" w:cs="Times New Roman"/>
      <w:sz w:val="20"/>
      <w:szCs w:val="20"/>
      <w:lang w:val="en-GB" w:eastAsia="en-GB"/>
    </w:rPr>
  </w:style>
  <w:style w:type="paragraph" w:styleId="CommentSubject">
    <w:name w:val="annotation subject"/>
    <w:basedOn w:val="CommentText"/>
    <w:next w:val="CommentText"/>
    <w:link w:val="CommentSubjectChar"/>
    <w:rsid w:val="005B378E"/>
    <w:rPr>
      <w:b/>
      <w:bCs/>
    </w:rPr>
  </w:style>
  <w:style w:type="character" w:customStyle="1" w:styleId="CommentSubjectChar">
    <w:name w:val="Comment Subject Char"/>
    <w:link w:val="CommentSubject"/>
    <w:rsid w:val="005B378E"/>
    <w:rPr>
      <w:rFonts w:ascii="Tahoma" w:eastAsia="Times New Roman" w:hAnsi="Tahoma" w:cs="Times New Roman"/>
      <w:b/>
      <w:bCs/>
      <w:sz w:val="20"/>
      <w:szCs w:val="20"/>
      <w:lang w:val="en-GB" w:eastAsia="en-GB"/>
    </w:rPr>
  </w:style>
  <w:style w:type="character" w:styleId="FollowedHyperlink">
    <w:name w:val="FollowedHyperlink"/>
    <w:rsid w:val="009E7589"/>
    <w:rPr>
      <w:color w:val="800080"/>
      <w:u w:val="single"/>
    </w:rPr>
  </w:style>
  <w:style w:type="character" w:styleId="PageNumber">
    <w:name w:val="page number"/>
    <w:basedOn w:val="DefaultParagraphFont"/>
    <w:rsid w:val="00C954D7"/>
  </w:style>
  <w:style w:type="paragraph" w:styleId="TOCHeading">
    <w:name w:val="TOC Heading"/>
    <w:basedOn w:val="Heading1"/>
    <w:next w:val="Normal"/>
    <w:uiPriority w:val="39"/>
    <w:unhideWhenUsed/>
    <w:rsid w:val="00C954D7"/>
    <w:pPr>
      <w:keepLines/>
      <w:numPr>
        <w:numId w:val="0"/>
      </w:numPr>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w:eastAsia="MS Gothic" w:hAnsi="Calibri" w:cs="Times New Roman"/>
      <w:iCs w:val="0"/>
      <w:color w:val="365F91"/>
      <w:kern w:val="0"/>
      <w:szCs w:val="28"/>
      <w:lang w:val="en-US" w:eastAsia="en-US"/>
    </w:rPr>
  </w:style>
  <w:style w:type="paragraph" w:customStyle="1" w:styleId="MediumGrid1-Accent21">
    <w:name w:val="Medium Grid 1 - Accent 21"/>
    <w:basedOn w:val="Normal"/>
    <w:uiPriority w:val="34"/>
    <w:rsid w:val="00377752"/>
    <w:pPr>
      <w:ind w:left="720"/>
      <w:contextualSpacing/>
    </w:pPr>
  </w:style>
  <w:style w:type="paragraph" w:styleId="Caption">
    <w:name w:val="caption"/>
    <w:basedOn w:val="Normal"/>
    <w:next w:val="Normal"/>
    <w:qFormat/>
    <w:rsid w:val="00513631"/>
    <w:pPr>
      <w:spacing w:after="200" w:line="240" w:lineRule="auto"/>
    </w:pPr>
    <w:rPr>
      <w:b/>
      <w:bCs/>
      <w:color w:val="4F81BD"/>
      <w:sz w:val="18"/>
      <w:szCs w:val="18"/>
    </w:rPr>
  </w:style>
  <w:style w:type="paragraph" w:customStyle="1" w:styleId="MediumList2-Accent21">
    <w:name w:val="Medium List 2 - Accent 21"/>
    <w:hidden/>
    <w:rsid w:val="00FB71C1"/>
    <w:rPr>
      <w:rFonts w:ascii="Tahoma" w:eastAsia="Times New Roman" w:hAnsi="Tahoma"/>
      <w:szCs w:val="24"/>
    </w:rPr>
  </w:style>
  <w:style w:type="paragraph" w:customStyle="1" w:styleId="Timetable02">
    <w:name w:val="Timetable 02"/>
    <w:basedOn w:val="Timetable01"/>
    <w:qFormat/>
    <w:rsid w:val="0086142A"/>
    <w:pPr>
      <w:numPr>
        <w:ilvl w:val="0"/>
      </w:numPr>
      <w:shd w:val="clear" w:color="auto" w:fill="0096D7"/>
      <w:ind w:left="720" w:hanging="720"/>
    </w:pPr>
  </w:style>
  <w:style w:type="paragraph" w:customStyle="1" w:styleId="Timetable03">
    <w:name w:val="Timetable 03"/>
    <w:basedOn w:val="Timetable01"/>
    <w:qFormat/>
    <w:rsid w:val="0086142A"/>
    <w:pPr>
      <w:shd w:val="clear" w:color="auto" w:fill="9A4D9E"/>
    </w:pPr>
  </w:style>
  <w:style w:type="paragraph" w:customStyle="1" w:styleId="Timetable04">
    <w:name w:val="Timetable 04"/>
    <w:basedOn w:val="Timetable01"/>
    <w:qFormat/>
    <w:rsid w:val="0086142A"/>
    <w:pPr>
      <w:shd w:val="clear" w:color="auto" w:fill="F59114"/>
    </w:pPr>
  </w:style>
  <w:style w:type="paragraph" w:customStyle="1" w:styleId="Contents02">
    <w:name w:val="Contents 02"/>
    <w:basedOn w:val="Contents01"/>
    <w:next w:val="Normal"/>
    <w:qFormat/>
    <w:rsid w:val="005D4A2B"/>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Contents03">
    <w:name w:val="Contents 03"/>
    <w:basedOn w:val="Contents01"/>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Contents04">
    <w:name w:val="Contents 04"/>
    <w:basedOn w:val="Contents01"/>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customStyle="1" w:styleId="Heading02">
    <w:name w:val="Heading 02"/>
    <w:basedOn w:val="Heading01"/>
    <w:next w:val="Normal"/>
    <w:qFormat/>
    <w:rsid w:val="006E7560"/>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Heading03">
    <w:name w:val="Heading 03"/>
    <w:basedOn w:val="Heading01"/>
    <w:next w:val="Normal"/>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Heading04">
    <w:name w:val="Heading 04"/>
    <w:basedOn w:val="Heading01"/>
    <w:next w:val="Normal"/>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styleId="Header">
    <w:name w:val="header"/>
    <w:basedOn w:val="Normal"/>
    <w:link w:val="HeaderChar"/>
    <w:uiPriority w:val="99"/>
    <w:rsid w:val="0001312A"/>
    <w:pPr>
      <w:tabs>
        <w:tab w:val="center" w:pos="4320"/>
        <w:tab w:val="right" w:pos="8640"/>
      </w:tabs>
    </w:pPr>
  </w:style>
  <w:style w:type="character" w:customStyle="1" w:styleId="HeaderChar">
    <w:name w:val="Header Char"/>
    <w:link w:val="Header"/>
    <w:uiPriority w:val="99"/>
    <w:rsid w:val="0001312A"/>
    <w:rPr>
      <w:rFonts w:ascii="Tahoma" w:eastAsia="Times New Roman" w:hAnsi="Tahoma"/>
      <w:szCs w:val="24"/>
      <w:lang w:eastAsia="en-GB"/>
    </w:rPr>
  </w:style>
  <w:style w:type="paragraph" w:customStyle="1" w:styleId="ModChecklist">
    <w:name w:val="Mod Checklist"/>
    <w:basedOn w:val="Contents01"/>
    <w:qFormat/>
    <w:rsid w:val="00D122BE"/>
    <w:rPr>
      <w:b/>
    </w:rPr>
  </w:style>
  <w:style w:type="paragraph" w:customStyle="1" w:styleId="TOCContents02WGR">
    <w:name w:val="TOC Contents 02 WGR"/>
    <w:basedOn w:val="Normal"/>
    <w:qFormat/>
    <w:rsid w:val="003A016A"/>
    <w:pPr>
      <w:tabs>
        <w:tab w:val="left" w:pos="382"/>
        <w:tab w:val="right" w:pos="7655"/>
      </w:tabs>
      <w:ind w:right="318"/>
    </w:pPr>
    <w:rPr>
      <w:b/>
      <w:bCs/>
      <w:noProof/>
      <w:color w:val="0096D7"/>
      <w:sz w:val="24"/>
    </w:rPr>
  </w:style>
  <w:style w:type="paragraph" w:customStyle="1" w:styleId="TOCContents03DMR">
    <w:name w:val="TOC Contents 03 DMR"/>
    <w:basedOn w:val="TOCContents02WGR"/>
    <w:qFormat/>
    <w:rsid w:val="008A17EB"/>
    <w:rPr>
      <w:color w:val="9A4D9E"/>
    </w:rPr>
  </w:style>
  <w:style w:type="paragraph" w:customStyle="1" w:styleId="TOCContents04FMR">
    <w:name w:val="TOC Contents 04 FMR"/>
    <w:basedOn w:val="TOCContents03DMR"/>
    <w:qFormat/>
    <w:rsid w:val="008A17EB"/>
    <w:rPr>
      <w:color w:val="DA8111"/>
    </w:rPr>
  </w:style>
  <w:style w:type="paragraph" w:customStyle="1" w:styleId="MediumShading1-Accent11">
    <w:name w:val="Medium Shading 1 - Accent 11"/>
    <w:rsid w:val="005C2175"/>
    <w:rPr>
      <w:rFonts w:ascii="Arial" w:eastAsia="Times New Roman" w:hAnsi="Arial"/>
      <w:szCs w:val="24"/>
    </w:rPr>
  </w:style>
  <w:style w:type="paragraph" w:styleId="Title">
    <w:name w:val="Title"/>
    <w:basedOn w:val="Normal"/>
    <w:next w:val="Normal"/>
    <w:link w:val="TitleChar"/>
    <w:qFormat/>
    <w:rsid w:val="0000619E"/>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rsid w:val="0000619E"/>
    <w:rPr>
      <w:rFonts w:ascii="Calibri" w:eastAsia="MS Gothic" w:hAnsi="Calibri" w:cs="Times New Roman"/>
      <w:b/>
      <w:bCs/>
      <w:kern w:val="28"/>
      <w:sz w:val="32"/>
      <w:szCs w:val="32"/>
      <w:lang w:eastAsia="en-GB"/>
    </w:rPr>
  </w:style>
  <w:style w:type="paragraph" w:styleId="TOAHeading">
    <w:name w:val="toa heading"/>
    <w:basedOn w:val="Normal"/>
    <w:next w:val="Normal"/>
    <w:rsid w:val="006F378F"/>
    <w:rPr>
      <w:rFonts w:ascii="Calibri" w:eastAsia="MS Gothic" w:hAnsi="Calibri"/>
      <w:b/>
      <w:bCs/>
      <w:sz w:val="24"/>
    </w:rPr>
  </w:style>
  <w:style w:type="paragraph" w:styleId="List">
    <w:name w:val="List"/>
    <w:basedOn w:val="Normal"/>
    <w:rsid w:val="006F378F"/>
    <w:pPr>
      <w:ind w:left="283" w:hanging="283"/>
      <w:contextualSpacing/>
    </w:pPr>
  </w:style>
  <w:style w:type="paragraph" w:customStyle="1" w:styleId="ModInstructions">
    <w:name w:val="Mod Instructions"/>
    <w:basedOn w:val="Normal"/>
    <w:qFormat/>
    <w:rsid w:val="00D2126B"/>
    <w:pPr>
      <w:framePr w:hSpace="180" w:wrap="around" w:vAnchor="page" w:hAnchor="page" w:x="775" w:y="1474"/>
      <w:ind w:left="113" w:right="113"/>
    </w:pPr>
    <w:rPr>
      <w:rFonts w:cs="Arial"/>
      <w:i/>
      <w:color w:val="00B274"/>
      <w:sz w:val="24"/>
    </w:rPr>
  </w:style>
  <w:style w:type="paragraph" w:customStyle="1" w:styleId="ColorfulList-Accent11">
    <w:name w:val="Colorful List - Accent 11"/>
    <w:basedOn w:val="Normal"/>
    <w:uiPriority w:val="34"/>
    <w:qFormat/>
    <w:rsid w:val="00311D39"/>
    <w:pPr>
      <w:spacing w:before="0" w:after="200" w:line="276" w:lineRule="auto"/>
      <w:ind w:left="720"/>
      <w:contextualSpacing/>
    </w:pPr>
    <w:rPr>
      <w:rFonts w:ascii="Calibri" w:eastAsia="Calibri" w:hAnsi="Calibri"/>
      <w:sz w:val="22"/>
      <w:szCs w:val="22"/>
      <w:lang w:eastAsia="en-US"/>
    </w:rPr>
  </w:style>
  <w:style w:type="paragraph" w:customStyle="1" w:styleId="Default">
    <w:name w:val="Default"/>
    <w:rsid w:val="00EE66DF"/>
    <w:pPr>
      <w:autoSpaceDE w:val="0"/>
      <w:autoSpaceDN w:val="0"/>
      <w:adjustRightInd w:val="0"/>
    </w:pPr>
    <w:rPr>
      <w:rFonts w:ascii="Arial" w:hAnsi="Arial" w:cs="Arial"/>
      <w:color w:val="000000"/>
      <w:sz w:val="24"/>
      <w:szCs w:val="24"/>
    </w:rPr>
  </w:style>
  <w:style w:type="paragraph" w:customStyle="1" w:styleId="ColorfulShading-Accent11">
    <w:name w:val="Colorful Shading - Accent 11"/>
    <w:hidden/>
    <w:rsid w:val="00B23113"/>
    <w:rPr>
      <w:rFonts w:ascii="Arial" w:eastAsia="Times New Roman" w:hAnsi="Arial"/>
      <w:szCs w:val="24"/>
    </w:rPr>
  </w:style>
  <w:style w:type="paragraph" w:styleId="FootnoteText">
    <w:name w:val="footnote text"/>
    <w:basedOn w:val="Normal"/>
    <w:link w:val="FootnoteTextChar"/>
    <w:uiPriority w:val="99"/>
    <w:rsid w:val="004D6F2C"/>
    <w:rPr>
      <w:szCs w:val="20"/>
    </w:rPr>
  </w:style>
  <w:style w:type="character" w:customStyle="1" w:styleId="FootnoteTextChar">
    <w:name w:val="Footnote Text Char"/>
    <w:basedOn w:val="DefaultParagraphFont"/>
    <w:link w:val="FootnoteText"/>
    <w:uiPriority w:val="99"/>
    <w:rsid w:val="004D6F2C"/>
    <w:rPr>
      <w:rFonts w:ascii="Arial" w:eastAsia="Times New Roman" w:hAnsi="Arial"/>
    </w:rPr>
  </w:style>
  <w:style w:type="character" w:styleId="FootnoteReference">
    <w:name w:val="footnote reference"/>
    <w:uiPriority w:val="99"/>
    <w:rsid w:val="004D6F2C"/>
    <w:rPr>
      <w:vertAlign w:val="superscript"/>
    </w:rPr>
  </w:style>
  <w:style w:type="paragraph" w:styleId="ListParagraph">
    <w:name w:val="List Paragraph"/>
    <w:basedOn w:val="Normal"/>
    <w:uiPriority w:val="34"/>
    <w:qFormat/>
    <w:rsid w:val="00B60DC2"/>
    <w:pPr>
      <w:ind w:left="720"/>
      <w:contextualSpacing/>
    </w:pPr>
  </w:style>
  <w:style w:type="character" w:customStyle="1" w:styleId="apple-converted-space">
    <w:name w:val="apple-converted-space"/>
    <w:basedOn w:val="DefaultParagraphFont"/>
    <w:rsid w:val="005B60A0"/>
  </w:style>
  <w:style w:type="paragraph" w:styleId="Revision">
    <w:name w:val="Revision"/>
    <w:hidden/>
    <w:semiHidden/>
    <w:rsid w:val="00502EAC"/>
    <w:rPr>
      <w:rFonts w:ascii="Arial" w:eastAsia="Times New Roman" w:hAnsi="Arial"/>
      <w:szCs w:val="24"/>
    </w:rPr>
  </w:style>
  <w:style w:type="paragraph" w:customStyle="1" w:styleId="doc-ti">
    <w:name w:val="doc-ti"/>
    <w:basedOn w:val="Normal"/>
    <w:rsid w:val="000D7F0C"/>
    <w:pPr>
      <w:spacing w:before="100" w:beforeAutospacing="1" w:after="100" w:afterAutospacing="1" w:line="240" w:lineRule="auto"/>
    </w:pPr>
    <w:rPr>
      <w:rFonts w:ascii="Times New Roman" w:eastAsia="Cambria" w:hAnsi="Times New Roman"/>
      <w:sz w:val="24"/>
    </w:rPr>
  </w:style>
  <w:style w:type="paragraph" w:customStyle="1" w:styleId="BoardPaperHeading2">
    <w:name w:val="Board Paper Heading 2"/>
    <w:basedOn w:val="Normal"/>
    <w:link w:val="BoardPaperHeading2Char"/>
    <w:qFormat/>
    <w:rsid w:val="00AA0B23"/>
    <w:pPr>
      <w:spacing w:before="0" w:after="160" w:line="259" w:lineRule="auto"/>
      <w:jc w:val="center"/>
    </w:pPr>
    <w:rPr>
      <w:rFonts w:ascii="Tahoma" w:eastAsiaTheme="minorEastAsia" w:hAnsi="Tahoma" w:cs="Tahoma"/>
      <w:b/>
      <w:sz w:val="22"/>
      <w:szCs w:val="22"/>
    </w:rPr>
  </w:style>
  <w:style w:type="character" w:customStyle="1" w:styleId="BoardPaperHeading2Char">
    <w:name w:val="Board Paper Heading 2 Char"/>
    <w:basedOn w:val="DefaultParagraphFont"/>
    <w:link w:val="BoardPaperHeading2"/>
    <w:rsid w:val="00AA0B23"/>
    <w:rPr>
      <w:rFonts w:ascii="Tahoma" w:eastAsiaTheme="minorEastAsia" w:hAnsi="Tahoma" w:cs="Tahoma"/>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3940">
      <w:bodyDiv w:val="1"/>
      <w:marLeft w:val="0"/>
      <w:marRight w:val="0"/>
      <w:marTop w:val="0"/>
      <w:marBottom w:val="0"/>
      <w:divBdr>
        <w:top w:val="none" w:sz="0" w:space="0" w:color="auto"/>
        <w:left w:val="none" w:sz="0" w:space="0" w:color="auto"/>
        <w:bottom w:val="none" w:sz="0" w:space="0" w:color="auto"/>
        <w:right w:val="none" w:sz="0" w:space="0" w:color="auto"/>
      </w:divBdr>
      <w:divsChild>
        <w:div w:id="66851224">
          <w:marLeft w:val="0"/>
          <w:marRight w:val="0"/>
          <w:marTop w:val="0"/>
          <w:marBottom w:val="0"/>
          <w:divBdr>
            <w:top w:val="none" w:sz="0" w:space="0" w:color="auto"/>
            <w:left w:val="none" w:sz="0" w:space="0" w:color="auto"/>
            <w:bottom w:val="none" w:sz="0" w:space="0" w:color="auto"/>
            <w:right w:val="none" w:sz="0" w:space="0" w:color="auto"/>
          </w:divBdr>
          <w:divsChild>
            <w:div w:id="186219699">
              <w:marLeft w:val="0"/>
              <w:marRight w:val="0"/>
              <w:marTop w:val="0"/>
              <w:marBottom w:val="0"/>
              <w:divBdr>
                <w:top w:val="none" w:sz="0" w:space="0" w:color="auto"/>
                <w:left w:val="none" w:sz="0" w:space="0" w:color="auto"/>
                <w:bottom w:val="none" w:sz="0" w:space="0" w:color="auto"/>
                <w:right w:val="none" w:sz="0" w:space="0" w:color="auto"/>
              </w:divBdr>
              <w:divsChild>
                <w:div w:id="906961585">
                  <w:marLeft w:val="0"/>
                  <w:marRight w:val="0"/>
                  <w:marTop w:val="0"/>
                  <w:marBottom w:val="0"/>
                  <w:divBdr>
                    <w:top w:val="none" w:sz="0" w:space="0" w:color="auto"/>
                    <w:left w:val="none" w:sz="0" w:space="0" w:color="auto"/>
                    <w:bottom w:val="none" w:sz="0" w:space="0" w:color="auto"/>
                    <w:right w:val="none" w:sz="0" w:space="0" w:color="auto"/>
                  </w:divBdr>
                  <w:divsChild>
                    <w:div w:id="175384780">
                      <w:marLeft w:val="0"/>
                      <w:marRight w:val="0"/>
                      <w:marTop w:val="0"/>
                      <w:marBottom w:val="0"/>
                      <w:divBdr>
                        <w:top w:val="none" w:sz="0" w:space="0" w:color="auto"/>
                        <w:left w:val="none" w:sz="0" w:space="0" w:color="auto"/>
                        <w:bottom w:val="none" w:sz="0" w:space="0" w:color="auto"/>
                        <w:right w:val="none" w:sz="0" w:space="0" w:color="auto"/>
                      </w:divBdr>
                    </w:div>
                  </w:divsChild>
                </w:div>
                <w:div w:id="1304191250">
                  <w:marLeft w:val="0"/>
                  <w:marRight w:val="0"/>
                  <w:marTop w:val="0"/>
                  <w:marBottom w:val="0"/>
                  <w:divBdr>
                    <w:top w:val="none" w:sz="0" w:space="0" w:color="auto"/>
                    <w:left w:val="none" w:sz="0" w:space="0" w:color="auto"/>
                    <w:bottom w:val="none" w:sz="0" w:space="0" w:color="auto"/>
                    <w:right w:val="none" w:sz="0" w:space="0" w:color="auto"/>
                  </w:divBdr>
                  <w:divsChild>
                    <w:div w:id="2140683458">
                      <w:marLeft w:val="0"/>
                      <w:marRight w:val="0"/>
                      <w:marTop w:val="0"/>
                      <w:marBottom w:val="0"/>
                      <w:divBdr>
                        <w:top w:val="none" w:sz="0" w:space="0" w:color="auto"/>
                        <w:left w:val="none" w:sz="0" w:space="0" w:color="auto"/>
                        <w:bottom w:val="none" w:sz="0" w:space="0" w:color="auto"/>
                        <w:right w:val="none" w:sz="0" w:space="0" w:color="auto"/>
                      </w:divBdr>
                    </w:div>
                    <w:div w:id="19168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20050">
      <w:bodyDiv w:val="1"/>
      <w:marLeft w:val="0"/>
      <w:marRight w:val="0"/>
      <w:marTop w:val="0"/>
      <w:marBottom w:val="0"/>
      <w:divBdr>
        <w:top w:val="none" w:sz="0" w:space="0" w:color="auto"/>
        <w:left w:val="none" w:sz="0" w:space="0" w:color="auto"/>
        <w:bottom w:val="none" w:sz="0" w:space="0" w:color="auto"/>
        <w:right w:val="none" w:sz="0" w:space="0" w:color="auto"/>
      </w:divBdr>
      <w:divsChild>
        <w:div w:id="187986095">
          <w:marLeft w:val="547"/>
          <w:marRight w:val="0"/>
          <w:marTop w:val="0"/>
          <w:marBottom w:val="0"/>
          <w:divBdr>
            <w:top w:val="none" w:sz="0" w:space="0" w:color="auto"/>
            <w:left w:val="none" w:sz="0" w:space="0" w:color="auto"/>
            <w:bottom w:val="none" w:sz="0" w:space="0" w:color="auto"/>
            <w:right w:val="none" w:sz="0" w:space="0" w:color="auto"/>
          </w:divBdr>
        </w:div>
      </w:divsChild>
    </w:div>
    <w:div w:id="148447812">
      <w:bodyDiv w:val="1"/>
      <w:marLeft w:val="0"/>
      <w:marRight w:val="0"/>
      <w:marTop w:val="0"/>
      <w:marBottom w:val="0"/>
      <w:divBdr>
        <w:top w:val="none" w:sz="0" w:space="0" w:color="auto"/>
        <w:left w:val="none" w:sz="0" w:space="0" w:color="auto"/>
        <w:bottom w:val="none" w:sz="0" w:space="0" w:color="auto"/>
        <w:right w:val="none" w:sz="0" w:space="0" w:color="auto"/>
      </w:divBdr>
    </w:div>
    <w:div w:id="346491686">
      <w:bodyDiv w:val="1"/>
      <w:marLeft w:val="0"/>
      <w:marRight w:val="0"/>
      <w:marTop w:val="0"/>
      <w:marBottom w:val="0"/>
      <w:divBdr>
        <w:top w:val="none" w:sz="0" w:space="0" w:color="auto"/>
        <w:left w:val="none" w:sz="0" w:space="0" w:color="auto"/>
        <w:bottom w:val="none" w:sz="0" w:space="0" w:color="auto"/>
        <w:right w:val="none" w:sz="0" w:space="0" w:color="auto"/>
      </w:divBdr>
    </w:div>
    <w:div w:id="413749989">
      <w:bodyDiv w:val="1"/>
      <w:marLeft w:val="0"/>
      <w:marRight w:val="0"/>
      <w:marTop w:val="0"/>
      <w:marBottom w:val="0"/>
      <w:divBdr>
        <w:top w:val="none" w:sz="0" w:space="0" w:color="auto"/>
        <w:left w:val="none" w:sz="0" w:space="0" w:color="auto"/>
        <w:bottom w:val="none" w:sz="0" w:space="0" w:color="auto"/>
        <w:right w:val="none" w:sz="0" w:space="0" w:color="auto"/>
      </w:divBdr>
    </w:div>
    <w:div w:id="417486609">
      <w:bodyDiv w:val="1"/>
      <w:marLeft w:val="0"/>
      <w:marRight w:val="0"/>
      <w:marTop w:val="0"/>
      <w:marBottom w:val="0"/>
      <w:divBdr>
        <w:top w:val="none" w:sz="0" w:space="0" w:color="auto"/>
        <w:left w:val="none" w:sz="0" w:space="0" w:color="auto"/>
        <w:bottom w:val="none" w:sz="0" w:space="0" w:color="auto"/>
        <w:right w:val="none" w:sz="0" w:space="0" w:color="auto"/>
      </w:divBdr>
      <w:divsChild>
        <w:div w:id="1065682218">
          <w:marLeft w:val="0"/>
          <w:marRight w:val="0"/>
          <w:marTop w:val="0"/>
          <w:marBottom w:val="0"/>
          <w:divBdr>
            <w:top w:val="none" w:sz="0" w:space="0" w:color="auto"/>
            <w:left w:val="none" w:sz="0" w:space="0" w:color="auto"/>
            <w:bottom w:val="none" w:sz="0" w:space="0" w:color="auto"/>
            <w:right w:val="none" w:sz="0" w:space="0" w:color="auto"/>
          </w:divBdr>
          <w:divsChild>
            <w:div w:id="944191170">
              <w:marLeft w:val="0"/>
              <w:marRight w:val="0"/>
              <w:marTop w:val="0"/>
              <w:marBottom w:val="0"/>
              <w:divBdr>
                <w:top w:val="none" w:sz="0" w:space="0" w:color="auto"/>
                <w:left w:val="none" w:sz="0" w:space="0" w:color="auto"/>
                <w:bottom w:val="none" w:sz="0" w:space="0" w:color="auto"/>
                <w:right w:val="none" w:sz="0" w:space="0" w:color="auto"/>
              </w:divBdr>
              <w:divsChild>
                <w:div w:id="20395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21441">
      <w:bodyDiv w:val="1"/>
      <w:marLeft w:val="0"/>
      <w:marRight w:val="0"/>
      <w:marTop w:val="0"/>
      <w:marBottom w:val="0"/>
      <w:divBdr>
        <w:top w:val="none" w:sz="0" w:space="0" w:color="auto"/>
        <w:left w:val="none" w:sz="0" w:space="0" w:color="auto"/>
        <w:bottom w:val="none" w:sz="0" w:space="0" w:color="auto"/>
        <w:right w:val="none" w:sz="0" w:space="0" w:color="auto"/>
      </w:divBdr>
      <w:divsChild>
        <w:div w:id="1727413233">
          <w:marLeft w:val="547"/>
          <w:marRight w:val="0"/>
          <w:marTop w:val="0"/>
          <w:marBottom w:val="0"/>
          <w:divBdr>
            <w:top w:val="none" w:sz="0" w:space="0" w:color="auto"/>
            <w:left w:val="none" w:sz="0" w:space="0" w:color="auto"/>
            <w:bottom w:val="none" w:sz="0" w:space="0" w:color="auto"/>
            <w:right w:val="none" w:sz="0" w:space="0" w:color="auto"/>
          </w:divBdr>
        </w:div>
      </w:divsChild>
    </w:div>
    <w:div w:id="782774464">
      <w:bodyDiv w:val="1"/>
      <w:marLeft w:val="0"/>
      <w:marRight w:val="0"/>
      <w:marTop w:val="0"/>
      <w:marBottom w:val="0"/>
      <w:divBdr>
        <w:top w:val="none" w:sz="0" w:space="0" w:color="auto"/>
        <w:left w:val="none" w:sz="0" w:space="0" w:color="auto"/>
        <w:bottom w:val="none" w:sz="0" w:space="0" w:color="auto"/>
        <w:right w:val="none" w:sz="0" w:space="0" w:color="auto"/>
      </w:divBdr>
    </w:div>
    <w:div w:id="896934043">
      <w:bodyDiv w:val="1"/>
      <w:marLeft w:val="0"/>
      <w:marRight w:val="0"/>
      <w:marTop w:val="0"/>
      <w:marBottom w:val="0"/>
      <w:divBdr>
        <w:top w:val="none" w:sz="0" w:space="0" w:color="auto"/>
        <w:left w:val="none" w:sz="0" w:space="0" w:color="auto"/>
        <w:bottom w:val="none" w:sz="0" w:space="0" w:color="auto"/>
        <w:right w:val="none" w:sz="0" w:space="0" w:color="auto"/>
      </w:divBdr>
    </w:div>
    <w:div w:id="909997482">
      <w:bodyDiv w:val="1"/>
      <w:marLeft w:val="0"/>
      <w:marRight w:val="0"/>
      <w:marTop w:val="0"/>
      <w:marBottom w:val="0"/>
      <w:divBdr>
        <w:top w:val="none" w:sz="0" w:space="0" w:color="auto"/>
        <w:left w:val="none" w:sz="0" w:space="0" w:color="auto"/>
        <w:bottom w:val="none" w:sz="0" w:space="0" w:color="auto"/>
        <w:right w:val="none" w:sz="0" w:space="0" w:color="auto"/>
      </w:divBdr>
    </w:div>
    <w:div w:id="1399286313">
      <w:bodyDiv w:val="1"/>
      <w:marLeft w:val="0"/>
      <w:marRight w:val="0"/>
      <w:marTop w:val="0"/>
      <w:marBottom w:val="0"/>
      <w:divBdr>
        <w:top w:val="none" w:sz="0" w:space="0" w:color="auto"/>
        <w:left w:val="none" w:sz="0" w:space="0" w:color="auto"/>
        <w:bottom w:val="none" w:sz="0" w:space="0" w:color="auto"/>
        <w:right w:val="none" w:sz="0" w:space="0" w:color="auto"/>
      </w:divBdr>
    </w:div>
    <w:div w:id="1410881892">
      <w:bodyDiv w:val="1"/>
      <w:marLeft w:val="0"/>
      <w:marRight w:val="0"/>
      <w:marTop w:val="0"/>
      <w:marBottom w:val="0"/>
      <w:divBdr>
        <w:top w:val="none" w:sz="0" w:space="0" w:color="auto"/>
        <w:left w:val="none" w:sz="0" w:space="0" w:color="auto"/>
        <w:bottom w:val="none" w:sz="0" w:space="0" w:color="auto"/>
        <w:right w:val="none" w:sz="0" w:space="0" w:color="auto"/>
      </w:divBdr>
      <w:divsChild>
        <w:div w:id="385184128">
          <w:marLeft w:val="0"/>
          <w:marRight w:val="0"/>
          <w:marTop w:val="0"/>
          <w:marBottom w:val="0"/>
          <w:divBdr>
            <w:top w:val="none" w:sz="0" w:space="0" w:color="auto"/>
            <w:left w:val="none" w:sz="0" w:space="0" w:color="auto"/>
            <w:bottom w:val="none" w:sz="0" w:space="0" w:color="auto"/>
            <w:right w:val="none" w:sz="0" w:space="0" w:color="auto"/>
          </w:divBdr>
          <w:divsChild>
            <w:div w:id="1509562547">
              <w:marLeft w:val="0"/>
              <w:marRight w:val="0"/>
              <w:marTop w:val="0"/>
              <w:marBottom w:val="0"/>
              <w:divBdr>
                <w:top w:val="none" w:sz="0" w:space="0" w:color="auto"/>
                <w:left w:val="none" w:sz="0" w:space="0" w:color="auto"/>
                <w:bottom w:val="none" w:sz="0" w:space="0" w:color="auto"/>
                <w:right w:val="none" w:sz="0" w:space="0" w:color="auto"/>
              </w:divBdr>
              <w:divsChild>
                <w:div w:id="296302702">
                  <w:marLeft w:val="0"/>
                  <w:marRight w:val="0"/>
                  <w:marTop w:val="0"/>
                  <w:marBottom w:val="0"/>
                  <w:divBdr>
                    <w:top w:val="none" w:sz="0" w:space="0" w:color="auto"/>
                    <w:left w:val="none" w:sz="0" w:space="0" w:color="auto"/>
                    <w:bottom w:val="none" w:sz="0" w:space="0" w:color="auto"/>
                    <w:right w:val="none" w:sz="0" w:space="0" w:color="auto"/>
                  </w:divBdr>
                  <w:divsChild>
                    <w:div w:id="182512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361585">
      <w:bodyDiv w:val="1"/>
      <w:marLeft w:val="0"/>
      <w:marRight w:val="0"/>
      <w:marTop w:val="0"/>
      <w:marBottom w:val="0"/>
      <w:divBdr>
        <w:top w:val="none" w:sz="0" w:space="0" w:color="auto"/>
        <w:left w:val="none" w:sz="0" w:space="0" w:color="auto"/>
        <w:bottom w:val="none" w:sz="0" w:space="0" w:color="auto"/>
        <w:right w:val="none" w:sz="0" w:space="0" w:color="auto"/>
      </w:divBdr>
    </w:div>
    <w:div w:id="1564676776">
      <w:bodyDiv w:val="1"/>
      <w:marLeft w:val="0"/>
      <w:marRight w:val="0"/>
      <w:marTop w:val="0"/>
      <w:marBottom w:val="0"/>
      <w:divBdr>
        <w:top w:val="none" w:sz="0" w:space="0" w:color="auto"/>
        <w:left w:val="none" w:sz="0" w:space="0" w:color="auto"/>
        <w:bottom w:val="none" w:sz="0" w:space="0" w:color="auto"/>
        <w:right w:val="none" w:sz="0" w:space="0" w:color="auto"/>
      </w:divBdr>
    </w:div>
    <w:div w:id="1613243289">
      <w:bodyDiv w:val="1"/>
      <w:marLeft w:val="0"/>
      <w:marRight w:val="0"/>
      <w:marTop w:val="0"/>
      <w:marBottom w:val="0"/>
      <w:divBdr>
        <w:top w:val="none" w:sz="0" w:space="0" w:color="auto"/>
        <w:left w:val="none" w:sz="0" w:space="0" w:color="auto"/>
        <w:bottom w:val="none" w:sz="0" w:space="0" w:color="auto"/>
        <w:right w:val="none" w:sz="0" w:space="0" w:color="auto"/>
      </w:divBdr>
    </w:div>
    <w:div w:id="1617102013">
      <w:bodyDiv w:val="1"/>
      <w:marLeft w:val="0"/>
      <w:marRight w:val="0"/>
      <w:marTop w:val="0"/>
      <w:marBottom w:val="0"/>
      <w:divBdr>
        <w:top w:val="none" w:sz="0" w:space="0" w:color="auto"/>
        <w:left w:val="none" w:sz="0" w:space="0" w:color="auto"/>
        <w:bottom w:val="none" w:sz="0" w:space="0" w:color="auto"/>
        <w:right w:val="none" w:sz="0" w:space="0" w:color="auto"/>
      </w:divBdr>
      <w:divsChild>
        <w:div w:id="1442216327">
          <w:marLeft w:val="0"/>
          <w:marRight w:val="0"/>
          <w:marTop w:val="0"/>
          <w:marBottom w:val="0"/>
          <w:divBdr>
            <w:top w:val="none" w:sz="0" w:space="0" w:color="auto"/>
            <w:left w:val="none" w:sz="0" w:space="0" w:color="auto"/>
            <w:bottom w:val="none" w:sz="0" w:space="0" w:color="auto"/>
            <w:right w:val="none" w:sz="0" w:space="0" w:color="auto"/>
          </w:divBdr>
          <w:divsChild>
            <w:div w:id="1505903496">
              <w:marLeft w:val="0"/>
              <w:marRight w:val="0"/>
              <w:marTop w:val="0"/>
              <w:marBottom w:val="0"/>
              <w:divBdr>
                <w:top w:val="none" w:sz="0" w:space="0" w:color="auto"/>
                <w:left w:val="none" w:sz="0" w:space="0" w:color="auto"/>
                <w:bottom w:val="none" w:sz="0" w:space="0" w:color="auto"/>
                <w:right w:val="none" w:sz="0" w:space="0" w:color="auto"/>
              </w:divBdr>
              <w:divsChild>
                <w:div w:id="2010861085">
                  <w:marLeft w:val="0"/>
                  <w:marRight w:val="0"/>
                  <w:marTop w:val="0"/>
                  <w:marBottom w:val="0"/>
                  <w:divBdr>
                    <w:top w:val="none" w:sz="0" w:space="0" w:color="auto"/>
                    <w:left w:val="none" w:sz="0" w:space="0" w:color="auto"/>
                    <w:bottom w:val="none" w:sz="0" w:space="0" w:color="auto"/>
                    <w:right w:val="none" w:sz="0" w:space="0" w:color="auto"/>
                  </w:divBdr>
                  <w:divsChild>
                    <w:div w:id="1968196006">
                      <w:marLeft w:val="0"/>
                      <w:marRight w:val="0"/>
                      <w:marTop w:val="0"/>
                      <w:marBottom w:val="0"/>
                      <w:divBdr>
                        <w:top w:val="none" w:sz="0" w:space="0" w:color="auto"/>
                        <w:left w:val="none" w:sz="0" w:space="0" w:color="auto"/>
                        <w:bottom w:val="none" w:sz="0" w:space="0" w:color="auto"/>
                        <w:right w:val="none" w:sz="0" w:space="0" w:color="auto"/>
                      </w:divBdr>
                    </w:div>
                  </w:divsChild>
                </w:div>
                <w:div w:id="1853300177">
                  <w:marLeft w:val="0"/>
                  <w:marRight w:val="0"/>
                  <w:marTop w:val="0"/>
                  <w:marBottom w:val="0"/>
                  <w:divBdr>
                    <w:top w:val="none" w:sz="0" w:space="0" w:color="auto"/>
                    <w:left w:val="none" w:sz="0" w:space="0" w:color="auto"/>
                    <w:bottom w:val="none" w:sz="0" w:space="0" w:color="auto"/>
                    <w:right w:val="none" w:sz="0" w:space="0" w:color="auto"/>
                  </w:divBdr>
                  <w:divsChild>
                    <w:div w:id="1006977591">
                      <w:marLeft w:val="0"/>
                      <w:marRight w:val="0"/>
                      <w:marTop w:val="0"/>
                      <w:marBottom w:val="0"/>
                      <w:divBdr>
                        <w:top w:val="none" w:sz="0" w:space="0" w:color="auto"/>
                        <w:left w:val="none" w:sz="0" w:space="0" w:color="auto"/>
                        <w:bottom w:val="none" w:sz="0" w:space="0" w:color="auto"/>
                        <w:right w:val="none" w:sz="0" w:space="0" w:color="auto"/>
                      </w:divBdr>
                    </w:div>
                    <w:div w:id="1562985957">
                      <w:marLeft w:val="0"/>
                      <w:marRight w:val="0"/>
                      <w:marTop w:val="0"/>
                      <w:marBottom w:val="0"/>
                      <w:divBdr>
                        <w:top w:val="none" w:sz="0" w:space="0" w:color="auto"/>
                        <w:left w:val="none" w:sz="0" w:space="0" w:color="auto"/>
                        <w:bottom w:val="none" w:sz="0" w:space="0" w:color="auto"/>
                        <w:right w:val="none" w:sz="0" w:space="0" w:color="auto"/>
                      </w:divBdr>
                    </w:div>
                  </w:divsChild>
                </w:div>
                <w:div w:id="1766339790">
                  <w:marLeft w:val="0"/>
                  <w:marRight w:val="0"/>
                  <w:marTop w:val="0"/>
                  <w:marBottom w:val="0"/>
                  <w:divBdr>
                    <w:top w:val="none" w:sz="0" w:space="0" w:color="auto"/>
                    <w:left w:val="none" w:sz="0" w:space="0" w:color="auto"/>
                    <w:bottom w:val="none" w:sz="0" w:space="0" w:color="auto"/>
                    <w:right w:val="none" w:sz="0" w:space="0" w:color="auto"/>
                  </w:divBdr>
                  <w:divsChild>
                    <w:div w:id="16926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450945">
      <w:bodyDiv w:val="1"/>
      <w:marLeft w:val="0"/>
      <w:marRight w:val="0"/>
      <w:marTop w:val="0"/>
      <w:marBottom w:val="0"/>
      <w:divBdr>
        <w:top w:val="none" w:sz="0" w:space="0" w:color="auto"/>
        <w:left w:val="none" w:sz="0" w:space="0" w:color="auto"/>
        <w:bottom w:val="none" w:sz="0" w:space="0" w:color="auto"/>
        <w:right w:val="none" w:sz="0" w:space="0" w:color="auto"/>
      </w:divBdr>
      <w:divsChild>
        <w:div w:id="1070082540">
          <w:marLeft w:val="0"/>
          <w:marRight w:val="0"/>
          <w:marTop w:val="0"/>
          <w:marBottom w:val="0"/>
          <w:divBdr>
            <w:top w:val="none" w:sz="0" w:space="0" w:color="auto"/>
            <w:left w:val="none" w:sz="0" w:space="0" w:color="auto"/>
            <w:bottom w:val="none" w:sz="0" w:space="0" w:color="auto"/>
            <w:right w:val="none" w:sz="0" w:space="0" w:color="auto"/>
          </w:divBdr>
          <w:divsChild>
            <w:div w:id="1071660395">
              <w:marLeft w:val="0"/>
              <w:marRight w:val="0"/>
              <w:marTop w:val="0"/>
              <w:marBottom w:val="0"/>
              <w:divBdr>
                <w:top w:val="none" w:sz="0" w:space="0" w:color="auto"/>
                <w:left w:val="none" w:sz="0" w:space="0" w:color="auto"/>
                <w:bottom w:val="none" w:sz="0" w:space="0" w:color="auto"/>
                <w:right w:val="none" w:sz="0" w:space="0" w:color="auto"/>
              </w:divBdr>
              <w:divsChild>
                <w:div w:id="1027413619">
                  <w:marLeft w:val="0"/>
                  <w:marRight w:val="0"/>
                  <w:marTop w:val="0"/>
                  <w:marBottom w:val="0"/>
                  <w:divBdr>
                    <w:top w:val="none" w:sz="0" w:space="0" w:color="auto"/>
                    <w:left w:val="none" w:sz="0" w:space="0" w:color="auto"/>
                    <w:bottom w:val="none" w:sz="0" w:space="0" w:color="auto"/>
                    <w:right w:val="none" w:sz="0" w:space="0" w:color="auto"/>
                  </w:divBdr>
                  <w:divsChild>
                    <w:div w:id="8693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15289">
      <w:bodyDiv w:val="1"/>
      <w:marLeft w:val="0"/>
      <w:marRight w:val="0"/>
      <w:marTop w:val="0"/>
      <w:marBottom w:val="0"/>
      <w:divBdr>
        <w:top w:val="none" w:sz="0" w:space="0" w:color="auto"/>
        <w:left w:val="none" w:sz="0" w:space="0" w:color="auto"/>
        <w:bottom w:val="none" w:sz="0" w:space="0" w:color="auto"/>
        <w:right w:val="none" w:sz="0" w:space="0" w:color="auto"/>
      </w:divBdr>
      <w:divsChild>
        <w:div w:id="1032807594">
          <w:marLeft w:val="0"/>
          <w:marRight w:val="0"/>
          <w:marTop w:val="0"/>
          <w:marBottom w:val="0"/>
          <w:divBdr>
            <w:top w:val="none" w:sz="0" w:space="0" w:color="auto"/>
            <w:left w:val="none" w:sz="0" w:space="0" w:color="auto"/>
            <w:bottom w:val="none" w:sz="0" w:space="0" w:color="auto"/>
            <w:right w:val="none" w:sz="0" w:space="0" w:color="auto"/>
          </w:divBdr>
          <w:divsChild>
            <w:div w:id="897126032">
              <w:marLeft w:val="0"/>
              <w:marRight w:val="0"/>
              <w:marTop w:val="0"/>
              <w:marBottom w:val="0"/>
              <w:divBdr>
                <w:top w:val="none" w:sz="0" w:space="0" w:color="auto"/>
                <w:left w:val="none" w:sz="0" w:space="0" w:color="auto"/>
                <w:bottom w:val="none" w:sz="0" w:space="0" w:color="auto"/>
                <w:right w:val="none" w:sz="0" w:space="0" w:color="auto"/>
              </w:divBdr>
              <w:divsChild>
                <w:div w:id="18623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78905">
      <w:bodyDiv w:val="1"/>
      <w:marLeft w:val="0"/>
      <w:marRight w:val="0"/>
      <w:marTop w:val="0"/>
      <w:marBottom w:val="0"/>
      <w:divBdr>
        <w:top w:val="none" w:sz="0" w:space="0" w:color="auto"/>
        <w:left w:val="none" w:sz="0" w:space="0" w:color="auto"/>
        <w:bottom w:val="none" w:sz="0" w:space="0" w:color="auto"/>
        <w:right w:val="none" w:sz="0" w:space="0" w:color="auto"/>
      </w:divBdr>
      <w:divsChild>
        <w:div w:id="1974290143">
          <w:marLeft w:val="0"/>
          <w:marRight w:val="0"/>
          <w:marTop w:val="0"/>
          <w:marBottom w:val="0"/>
          <w:divBdr>
            <w:top w:val="none" w:sz="0" w:space="0" w:color="auto"/>
            <w:left w:val="none" w:sz="0" w:space="0" w:color="auto"/>
            <w:bottom w:val="none" w:sz="0" w:space="0" w:color="auto"/>
            <w:right w:val="none" w:sz="0" w:space="0" w:color="auto"/>
          </w:divBdr>
          <w:divsChild>
            <w:div w:id="540897801">
              <w:marLeft w:val="0"/>
              <w:marRight w:val="0"/>
              <w:marTop w:val="0"/>
              <w:marBottom w:val="0"/>
              <w:divBdr>
                <w:top w:val="none" w:sz="0" w:space="0" w:color="auto"/>
                <w:left w:val="none" w:sz="0" w:space="0" w:color="auto"/>
                <w:bottom w:val="none" w:sz="0" w:space="0" w:color="auto"/>
                <w:right w:val="none" w:sz="0" w:space="0" w:color="auto"/>
              </w:divBdr>
              <w:divsChild>
                <w:div w:id="19269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3902">
      <w:bodyDiv w:val="1"/>
      <w:marLeft w:val="0"/>
      <w:marRight w:val="0"/>
      <w:marTop w:val="0"/>
      <w:marBottom w:val="0"/>
      <w:divBdr>
        <w:top w:val="none" w:sz="0" w:space="0" w:color="auto"/>
        <w:left w:val="none" w:sz="0" w:space="0" w:color="auto"/>
        <w:bottom w:val="none" w:sz="0" w:space="0" w:color="auto"/>
        <w:right w:val="none" w:sz="0" w:space="0" w:color="auto"/>
      </w:divBdr>
    </w:div>
    <w:div w:id="21385256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hyperlink" Target="http://www.gasgovernance.co.uk/sites/default/files/EU%20Tariff%20Code%20-%20final%20clean.pdf" TargetMode="External"/><Relationship Id="rId39" Type="http://schemas.openxmlformats.org/officeDocument/2006/relationships/hyperlink" Target="https://www.gasgovernance.co.uk/sites/default/files/ggf/book/2017-12/WWA_GSOGMod621Alernate_coretextv2.0.pdf" TargetMode="External"/><Relationship Id="rId21" Type="http://schemas.openxmlformats.org/officeDocument/2006/relationships/hyperlink" Target="http://www.gasgovernance.co.uk/ntscmf/subg1model" TargetMode="External"/><Relationship Id="rId34" Type="http://schemas.openxmlformats.org/officeDocument/2006/relationships/image" Target="media/image8.png"/><Relationship Id="rId42" Type="http://schemas.microsoft.com/office/2011/relationships/commentsExtended" Target="commentsExtended.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gasgovernance.co.uk/ntschargingstatements" TargetMode="External"/><Relationship Id="rId11" Type="http://schemas.openxmlformats.org/officeDocument/2006/relationships/diagramColors" Target="diagrams/colors1.xml"/><Relationship Id="rId24" Type="http://schemas.openxmlformats.org/officeDocument/2006/relationships/hyperlink" Target="http://www.gasgovernance.co.uk/sites/default/files/TPD%20Section%20Y%20-%20Charging%20Methodologies_29.pdf"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https://www.gasgovernance.co.uk/ntscmf/170717" TargetMode="External"/><Relationship Id="rId45" Type="http://schemas.openxmlformats.org/officeDocument/2006/relationships/hyperlink" Target="https://www.gasgovernance.co.uk/Change-Proposals"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gasgovernance.co.uk/ntscmf" TargetMode="External"/><Relationship Id="rId28" Type="http://schemas.openxmlformats.org/officeDocument/2006/relationships/hyperlink" Target="http://www.gasgovernance.co.uk/sites/default/files/TPD%20Section%20B%20-%20System%20Use%20&amp;%20Capacity_55.pdf" TargetMode="External"/><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hyperlink" Target="mailto:commercial.enquiries@xoserve.com" TargetMode="External"/><Relationship Id="rId31" Type="http://schemas.openxmlformats.org/officeDocument/2006/relationships/hyperlink" Target="https://www.ofgem.gov.uk/gas/transmission-networks/gas-transmission-charging-review" TargetMode="External"/><Relationship Id="rId44" Type="http://schemas.openxmlformats.org/officeDocument/2006/relationships/hyperlink" Target="https://www.acer.europa.eu/Official_documents/Public_consultations/Pages/ACER-Consultation-Template.-Tariff-NC-Article-26(5).aspx"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hyperlink" Target="http://www.gasgovernance.co.uk/ntscmf" TargetMode="External"/><Relationship Id="rId27" Type="http://schemas.openxmlformats.org/officeDocument/2006/relationships/hyperlink" Target="https://www.entsog.eu/public/uploads/files/publications/Tariffs/2017/TAR1000_170928_2nd%20Implementation%20Document_Low-Res.pdf" TargetMode="External"/><Relationship Id="rId30" Type="http://schemas.openxmlformats.org/officeDocument/2006/relationships/hyperlink" Target="http://www.gasgovernance.co.uk/sites/default/files/NTS%20Charging%20Review%20Objectives%2006Sep16%20v1.0.pdf" TargetMode="External"/><Relationship Id="rId35" Type="http://schemas.openxmlformats.org/officeDocument/2006/relationships/image" Target="media/image9.png"/><Relationship Id="rId43" Type="http://schemas.microsoft.com/office/2016/09/relationships/commentsIds" Target="commentsIds.xml"/><Relationship Id="rId48" Type="http://schemas.openxmlformats.org/officeDocument/2006/relationships/footer" Target="footer1.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mailto:enquiries@gasgovernance.co.uk" TargetMode="External"/><Relationship Id="rId25" Type="http://schemas.openxmlformats.org/officeDocument/2006/relationships/hyperlink" Target="http://www.gasgovernance.co.uk/EID"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s://www.gasgovernance.co.uk/Change-Proposals" TargetMode="External"/><Relationship Id="rId20" Type="http://schemas.openxmlformats.org/officeDocument/2006/relationships/hyperlink" Target="http://www.gasgovernance.co.uk/ntscmf/subg1page" TargetMode="External"/><Relationship Id="rId41"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gasgovernance.co.uk/ntscmf/subg1model" TargetMode="External"/><Relationship Id="rId2" Type="http://schemas.openxmlformats.org/officeDocument/2006/relationships/hyperlink" Target="https://www.ofgem.gov.uk/gas/transmission-networks/gas-transmission-charging-review" TargetMode="External"/><Relationship Id="rId1" Type="http://schemas.openxmlformats.org/officeDocument/2006/relationships/hyperlink" Target="http://www.gasgovernance.co.uk/sites/default/files/EU%20Tariff%20Code%20-%20final%20clean.pdf" TargetMode="External"/><Relationship Id="rId4" Type="http://schemas.openxmlformats.org/officeDocument/2006/relationships/hyperlink" Target="https://www.gasgovernance.co.uk/sites/default/files/ggf/book/2017-08/Bacton%20IP%20capacity%20discount%20paper%20IUK%20v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35C7C2-51E9-394B-865D-5CF1BEB503EE}" type="doc">
      <dgm:prSet loTypeId="urn:microsoft.com/office/officeart/2005/8/layout/lProcess3" loCatId="" qsTypeId="urn:microsoft.com/office/officeart/2005/8/quickstyle/simple3" qsCatId="simple" csTypeId="urn:microsoft.com/office/officeart/2005/8/colors/accent0_2" csCatId="mainScheme" phldr="1"/>
      <dgm:spPr/>
      <dgm:t>
        <a:bodyPr/>
        <a:lstStyle/>
        <a:p>
          <a:endParaRPr lang="en-US"/>
        </a:p>
      </dgm:t>
    </dgm:pt>
    <dgm:pt modelId="{8F951A2D-8316-7942-B199-785B2B0AB0C3}">
      <dgm:prSet phldrT="[Text]" custT="1"/>
      <dgm:spPr>
        <a:xfrm>
          <a:off x="0" y="795502"/>
          <a:ext cx="336857" cy="337241"/>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9A4D9E">
              <a:alpha val="95000"/>
            </a:srgbClr>
          </a:solidFill>
        </a:ln>
        <a:effectLst/>
        <a:scene3d>
          <a:camera prst="orthographicFront"/>
          <a:lightRig rig="flat" dir="t"/>
        </a:scene3d>
        <a:sp3d prstMaterial="dkEdge"/>
      </dgm:spPr>
      <dgm:t>
        <a:bodyPr/>
        <a:lstStyle/>
        <a:p>
          <a:r>
            <a:rPr lang="en-US" sz="1400">
              <a:solidFill>
                <a:srgbClr val="8064A2"/>
              </a:solidFill>
              <a:latin typeface="Arial"/>
              <a:ea typeface="+mn-ea"/>
              <a:cs typeface="Arial"/>
            </a:rPr>
            <a:t>03</a:t>
          </a:r>
        </a:p>
      </dgm:t>
    </dgm:pt>
    <dgm:pt modelId="{3AFE9292-A099-244C-A617-20602CFCB1E3}" type="parTrans" cxnId="{17DDB721-9B40-1E49-B058-473FC2A4DAE2}">
      <dgm:prSet/>
      <dgm:spPr/>
      <dgm:t>
        <a:bodyPr/>
        <a:lstStyle/>
        <a:p>
          <a:endParaRPr lang="en-US"/>
        </a:p>
      </dgm:t>
    </dgm:pt>
    <dgm:pt modelId="{173CF78D-536E-C343-8B69-65E61BE510E1}" type="sibTrans" cxnId="{17DDB721-9B40-1E49-B058-473FC2A4DAE2}">
      <dgm:prSet/>
      <dgm:spPr/>
      <dgm:t>
        <a:bodyPr/>
        <a:lstStyle/>
        <a:p>
          <a:endParaRPr lang="en-US"/>
        </a:p>
      </dgm:t>
    </dgm:pt>
    <dgm:pt modelId="{A0B44F8A-6A2F-0044-9BB8-0A3469DF2734}">
      <dgm:prSet phldrT="[Text]" custT="1"/>
      <dgm:spPr>
        <a:xfrm>
          <a:off x="0" y="1193339"/>
          <a:ext cx="337241" cy="33685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F59114">
              <a:alpha val="95000"/>
            </a:srgbClr>
          </a:solidFill>
        </a:ln>
        <a:effectLst/>
        <a:scene3d>
          <a:camera prst="orthographicFront"/>
          <a:lightRig rig="flat" dir="t"/>
        </a:scene3d>
        <a:sp3d prstMaterial="dkEdge"/>
      </dgm:spPr>
      <dgm:t>
        <a:bodyPr/>
        <a:lstStyle/>
        <a:p>
          <a:r>
            <a:rPr lang="en-US" sz="1400">
              <a:solidFill>
                <a:srgbClr val="F59114"/>
              </a:solidFill>
              <a:latin typeface="Arial"/>
              <a:ea typeface="+mn-ea"/>
              <a:cs typeface="Arial"/>
            </a:rPr>
            <a:t>04</a:t>
          </a:r>
        </a:p>
      </dgm:t>
    </dgm:pt>
    <dgm:pt modelId="{322E361A-FB1B-0D47-80B8-6F8E1E98915A}" type="parTrans" cxnId="{2AC9879B-3861-E542-B1FB-60ABBD61AB31}">
      <dgm:prSet/>
      <dgm:spPr/>
      <dgm:t>
        <a:bodyPr/>
        <a:lstStyle/>
        <a:p>
          <a:endParaRPr lang="en-US"/>
        </a:p>
      </dgm:t>
    </dgm:pt>
    <dgm:pt modelId="{AEE3A9E3-7BE1-1C41-B42E-F4079641B9E8}" type="sibTrans" cxnId="{2AC9879B-3861-E542-B1FB-60ABBD61AB31}">
      <dgm:prSet/>
      <dgm:spPr/>
      <dgm:t>
        <a:bodyPr/>
        <a:lstStyle/>
        <a:p>
          <a:endParaRPr lang="en-US"/>
        </a:p>
      </dgm:t>
    </dgm:pt>
    <dgm:pt modelId="{5BE3AFFD-0744-D545-9D0B-FED6D271D6BB}">
      <dgm:prSet phldrT="[Text]"/>
      <dgm:spPr>
        <a:xfrm>
          <a:off x="367041" y="3416"/>
          <a:ext cx="882003" cy="337242"/>
        </a:xfrm>
        <a:noFill/>
        <a:ln w="9525" cap="flat" cmpd="sng" algn="ctr">
          <a:solidFill>
            <a:srgbClr val="00B274">
              <a:alpha val="95000"/>
            </a:srgbClr>
          </a:solidFill>
          <a:prstDash val="solid"/>
        </a:ln>
        <a:effectLst/>
      </dgm:spPr>
      <dgm:t>
        <a:bodyPr/>
        <a:lstStyle/>
        <a:p>
          <a:pPr algn="l"/>
          <a:r>
            <a:rPr lang="en-US">
              <a:solidFill>
                <a:srgbClr val="00B274"/>
              </a:solidFill>
              <a:latin typeface="Arial"/>
              <a:ea typeface="+mn-ea"/>
              <a:cs typeface="Arial"/>
            </a:rPr>
            <a:t>Modification</a:t>
          </a:r>
        </a:p>
      </dgm:t>
    </dgm:pt>
    <dgm:pt modelId="{49B6E38E-A4F0-BB4A-9082-460B9A1001BB}" type="parTrans" cxnId="{F767FDA4-B27C-3E4C-B976-BEA6302D14AC}">
      <dgm:prSet/>
      <dgm:spPr/>
      <dgm:t>
        <a:bodyPr/>
        <a:lstStyle/>
        <a:p>
          <a:endParaRPr lang="en-US"/>
        </a:p>
      </dgm:t>
    </dgm:pt>
    <dgm:pt modelId="{AFA8EBC2-38CB-824B-863F-CC7215829219}" type="sibTrans" cxnId="{F767FDA4-B27C-3E4C-B976-BEA6302D14AC}">
      <dgm:prSet/>
      <dgm:spPr/>
      <dgm:t>
        <a:bodyPr/>
        <a:lstStyle/>
        <a:p>
          <a:endParaRPr lang="en-US"/>
        </a:p>
      </dgm:t>
    </dgm:pt>
    <dgm:pt modelId="{FE36DC7D-33C3-474A-84C4-F97FE5B7F95C}">
      <dgm:prSet phldrT="[Text]" custT="1"/>
      <dgm:spPr>
        <a:xfrm>
          <a:off x="0" y="397084"/>
          <a:ext cx="338401" cy="338399"/>
        </a:xfrm>
        <a:solidFill>
          <a:srgbClr val="0096D7">
            <a:alpha val="90000"/>
          </a:srgbClr>
        </a:solidFill>
        <a:ln>
          <a:solidFill>
            <a:srgbClr val="0096D7">
              <a:alpha val="95000"/>
            </a:srgbClr>
          </a:solidFill>
        </a:ln>
        <a:effectLst/>
        <a:scene3d>
          <a:camera prst="orthographicFront"/>
          <a:lightRig rig="flat" dir="t"/>
        </a:scene3d>
        <a:sp3d prstMaterial="dkEdge"/>
      </dgm:spPr>
      <dgm:t>
        <a:bodyPr/>
        <a:lstStyle/>
        <a:p>
          <a:r>
            <a:rPr lang="en-US" sz="1400">
              <a:solidFill>
                <a:srgbClr val="FFFFFF"/>
              </a:solidFill>
              <a:latin typeface="Arial"/>
              <a:ea typeface="+mn-ea"/>
              <a:cs typeface="Arial"/>
            </a:rPr>
            <a:t>02</a:t>
          </a:r>
        </a:p>
      </dgm:t>
    </dgm:pt>
    <dgm:pt modelId="{39AE5F75-3014-C94A-A7A1-3B2D157D249D}" type="parTrans" cxnId="{3BF4BD7E-B18E-E344-8177-464AFC6434C1}">
      <dgm:prSet/>
      <dgm:spPr/>
      <dgm:t>
        <a:bodyPr/>
        <a:lstStyle/>
        <a:p>
          <a:endParaRPr lang="en-US"/>
        </a:p>
      </dgm:t>
    </dgm:pt>
    <dgm:pt modelId="{731994F3-BE38-E44D-A7F0-A4BC55991596}" type="sibTrans" cxnId="{3BF4BD7E-B18E-E344-8177-464AFC6434C1}">
      <dgm:prSet/>
      <dgm:spPr/>
      <dgm:t>
        <a:bodyPr/>
        <a:lstStyle/>
        <a:p>
          <a:endParaRPr lang="en-US"/>
        </a:p>
      </dgm:t>
    </dgm:pt>
    <dgm:pt modelId="{7D0B45A4-2442-6540-9DAF-B0FB130DD5F7}">
      <dgm:prSet phldrT="[Text]"/>
      <dgm:spPr>
        <a:xfrm>
          <a:off x="368057" y="397470"/>
          <a:ext cx="880987" cy="337627"/>
        </a:xfrm>
        <a:solidFill>
          <a:srgbClr val="0096D7">
            <a:alpha val="90000"/>
          </a:srgbClr>
        </a:solidFill>
        <a:ln w="9525" cap="flat" cmpd="sng" algn="ctr">
          <a:solidFill>
            <a:srgbClr val="0096D7">
              <a:alpha val="95000"/>
            </a:srgbClr>
          </a:solidFill>
          <a:prstDash val="solid"/>
        </a:ln>
        <a:effectLst/>
      </dgm:spPr>
      <dgm:t>
        <a:bodyPr/>
        <a:lstStyle/>
        <a:p>
          <a:pPr algn="l"/>
          <a:r>
            <a:rPr lang="en-US">
              <a:solidFill>
                <a:sysClr val="window" lastClr="FFFFFF"/>
              </a:solidFill>
              <a:latin typeface="Arial"/>
              <a:ea typeface="+mn-ea"/>
              <a:cs typeface="Arial"/>
            </a:rPr>
            <a:t>Workgroup Report</a:t>
          </a:r>
        </a:p>
      </dgm:t>
    </dgm:pt>
    <dgm:pt modelId="{D2990E9F-00EA-AA48-8299-3BF2CAE557BB}" type="parTrans" cxnId="{D95B5513-FD1D-024D-A3E7-DB65839174C4}">
      <dgm:prSet/>
      <dgm:spPr/>
      <dgm:t>
        <a:bodyPr/>
        <a:lstStyle/>
        <a:p>
          <a:endParaRPr lang="en-US"/>
        </a:p>
      </dgm:t>
    </dgm:pt>
    <dgm:pt modelId="{446D302A-985B-074E-97D7-904E98899421}" type="sibTrans" cxnId="{D95B5513-FD1D-024D-A3E7-DB65839174C4}">
      <dgm:prSet/>
      <dgm:spPr/>
      <dgm:t>
        <a:bodyPr/>
        <a:lstStyle/>
        <a:p>
          <a:endParaRPr lang="en-US"/>
        </a:p>
      </dgm:t>
    </dgm:pt>
    <dgm:pt modelId="{8C22D270-2B1D-3647-BB97-6172866B4A32}">
      <dgm:prSet phldrT="[Text]"/>
      <dgm:spPr>
        <a:xfrm>
          <a:off x="368057" y="795116"/>
          <a:ext cx="880987" cy="338013"/>
        </a:xfrm>
        <a:solidFill>
          <a:sysClr val="window" lastClr="FFFFFF">
            <a:alpha val="90000"/>
            <a:tint val="40000"/>
            <a:hueOff val="0"/>
            <a:satOff val="0"/>
            <a:lumOff val="0"/>
            <a:alphaOff val="0"/>
          </a:sysClr>
        </a:solidFill>
        <a:ln w="9525" cap="flat" cmpd="sng" algn="ctr">
          <a:solidFill>
            <a:srgbClr val="9A4D9E">
              <a:alpha val="95000"/>
            </a:srgbClr>
          </a:solidFill>
          <a:prstDash val="solid"/>
        </a:ln>
        <a:effectLst/>
      </dgm:spPr>
      <dgm:t>
        <a:bodyPr/>
        <a:lstStyle/>
        <a:p>
          <a:pPr algn="l"/>
          <a:r>
            <a:rPr lang="en-US">
              <a:solidFill>
                <a:srgbClr val="8064A2"/>
              </a:solidFill>
              <a:latin typeface="Arial"/>
              <a:ea typeface="+mn-ea"/>
              <a:cs typeface="Arial"/>
            </a:rPr>
            <a:t>Draft Modification Report</a:t>
          </a:r>
        </a:p>
      </dgm:t>
    </dgm:pt>
    <dgm:pt modelId="{E3826E31-B95B-6145-8AE4-3CE78F54B81E}" type="parTrans" cxnId="{C8F73A05-0B1B-CF43-8F42-A217319C0D40}">
      <dgm:prSet/>
      <dgm:spPr/>
      <dgm:t>
        <a:bodyPr/>
        <a:lstStyle/>
        <a:p>
          <a:endParaRPr lang="en-US"/>
        </a:p>
      </dgm:t>
    </dgm:pt>
    <dgm:pt modelId="{86A14A3F-6CBD-0642-8679-AE7C81FE3EC1}" type="sibTrans" cxnId="{C8F73A05-0B1B-CF43-8F42-A217319C0D40}">
      <dgm:prSet/>
      <dgm:spPr/>
      <dgm:t>
        <a:bodyPr/>
        <a:lstStyle/>
        <a:p>
          <a:endParaRPr lang="en-US"/>
        </a:p>
      </dgm:t>
    </dgm:pt>
    <dgm:pt modelId="{A5986DFE-7725-1847-8814-D50D66AFCC15}">
      <dgm:prSet phldrT="[Text]"/>
      <dgm:spPr>
        <a:xfrm>
          <a:off x="367041" y="1192761"/>
          <a:ext cx="882003" cy="338013"/>
        </a:xfrm>
        <a:solidFill>
          <a:sysClr val="window" lastClr="FFFFFF">
            <a:alpha val="90000"/>
            <a:tint val="40000"/>
            <a:hueOff val="0"/>
            <a:satOff val="0"/>
            <a:lumOff val="0"/>
            <a:alphaOff val="0"/>
          </a:sysClr>
        </a:solidFill>
        <a:ln w="9525" cap="flat" cmpd="sng" algn="ctr">
          <a:solidFill>
            <a:srgbClr val="F59114">
              <a:alpha val="95000"/>
            </a:srgbClr>
          </a:solidFill>
          <a:prstDash val="solid"/>
        </a:ln>
        <a:effectLst/>
      </dgm:spPr>
      <dgm:t>
        <a:bodyPr/>
        <a:lstStyle/>
        <a:p>
          <a:pPr algn="l"/>
          <a:r>
            <a:rPr lang="en-US">
              <a:solidFill>
                <a:srgbClr val="F59114"/>
              </a:solidFill>
              <a:latin typeface="Arial"/>
              <a:ea typeface="+mn-ea"/>
              <a:cs typeface="Arial"/>
            </a:rPr>
            <a:t>Final Modification Report</a:t>
          </a:r>
        </a:p>
      </dgm:t>
    </dgm:pt>
    <dgm:pt modelId="{260D3B08-4E53-2048-BDA1-E75675D393D8}" type="parTrans" cxnId="{0AA09B37-1070-D246-9B8E-A0B84C072D6A}">
      <dgm:prSet/>
      <dgm:spPr/>
      <dgm:t>
        <a:bodyPr/>
        <a:lstStyle/>
        <a:p>
          <a:endParaRPr lang="en-US"/>
        </a:p>
      </dgm:t>
    </dgm:pt>
    <dgm:pt modelId="{263D9C09-EA4C-0D40-8829-6657872CBEE1}" type="sibTrans" cxnId="{0AA09B37-1070-D246-9B8E-A0B84C072D6A}">
      <dgm:prSet/>
      <dgm:spPr/>
      <dgm:t>
        <a:bodyPr/>
        <a:lstStyle/>
        <a:p>
          <a:endParaRPr lang="en-US"/>
        </a:p>
      </dgm:t>
    </dgm:pt>
    <dgm:pt modelId="{7D3B8AB1-5EA8-DD4D-ACED-0CCAB6FDFAE6}">
      <dgm:prSet phldrT="[Text]" custT="1"/>
      <dgm:spPr>
        <a:xfrm>
          <a:off x="0" y="581"/>
          <a:ext cx="336091" cy="336091"/>
        </a:xfrm>
        <a:noFill/>
        <a:ln>
          <a:solidFill>
            <a:srgbClr val="00B274">
              <a:alpha val="95000"/>
            </a:srgbClr>
          </a:solidFill>
        </a:ln>
        <a:effectLst>
          <a:softEdge rad="1104900"/>
        </a:effectLst>
        <a:scene3d>
          <a:camera prst="orthographicFront"/>
          <a:lightRig rig="flat" dir="t"/>
        </a:scene3d>
        <a:sp3d prstMaterial="dkEdge">
          <a:bevelT w="0" h="38100"/>
        </a:sp3d>
      </dgm:spPr>
      <dgm:t>
        <a:bodyPr/>
        <a:lstStyle/>
        <a:p>
          <a:r>
            <a:rPr lang="en-US" sz="1400">
              <a:solidFill>
                <a:srgbClr val="00B274"/>
              </a:solidFill>
              <a:latin typeface="Arial"/>
              <a:ea typeface="+mn-ea"/>
              <a:cs typeface="Arial"/>
            </a:rPr>
            <a:t>01</a:t>
          </a:r>
        </a:p>
      </dgm:t>
    </dgm:pt>
    <dgm:pt modelId="{555EF976-CB3E-3740-9714-D4E964B9FB72}" type="sibTrans" cxnId="{03D52E04-0D26-0D4A-A28A-FFBF2BBE9ECF}">
      <dgm:prSet/>
      <dgm:spPr/>
      <dgm:t>
        <a:bodyPr/>
        <a:lstStyle/>
        <a:p>
          <a:endParaRPr lang="en-US"/>
        </a:p>
      </dgm:t>
    </dgm:pt>
    <dgm:pt modelId="{ED96D06F-9A1E-2743-9913-78FDF7A29C30}" type="parTrans" cxnId="{03D52E04-0D26-0D4A-A28A-FFBF2BBE9ECF}">
      <dgm:prSet/>
      <dgm:spPr/>
      <dgm:t>
        <a:bodyPr/>
        <a:lstStyle/>
        <a:p>
          <a:endParaRPr lang="en-US"/>
        </a:p>
      </dgm:t>
    </dgm:pt>
    <dgm:pt modelId="{CBCF94E4-C372-C648-B533-E3C7976D39B7}" type="pres">
      <dgm:prSet presAssocID="{A935C7C2-51E9-394B-865D-5CF1BEB503EE}" presName="Name0" presStyleCnt="0">
        <dgm:presLayoutVars>
          <dgm:chPref val="3"/>
          <dgm:dir/>
          <dgm:animLvl val="lvl"/>
          <dgm:resizeHandles/>
        </dgm:presLayoutVars>
      </dgm:prSet>
      <dgm:spPr/>
    </dgm:pt>
    <dgm:pt modelId="{6974E495-C66D-B74A-8158-D06B249C137E}" type="pres">
      <dgm:prSet presAssocID="{7D3B8AB1-5EA8-DD4D-ACED-0CCAB6FDFAE6}" presName="horFlow" presStyleCnt="0"/>
      <dgm:spPr/>
    </dgm:pt>
    <dgm:pt modelId="{1DE6589B-7756-5243-A756-6830A54BB680}" type="pres">
      <dgm:prSet presAssocID="{7D3B8AB1-5EA8-DD4D-ACED-0CCAB6FDFAE6}" presName="bigChev" presStyleLbl="node1" presStyleIdx="0" presStyleCnt="4" custScaleX="31562" custScaleY="78905" custLinFactX="-8016" custLinFactNeighborX="-100000" custLinFactNeighborY="-48"/>
      <dgm:spPr>
        <a:xfrm>
          <a:off x="0" y="3566"/>
          <a:ext cx="332271" cy="332275"/>
        </a:xfrm>
        <a:prstGeom prst="roundRect">
          <a:avLst/>
        </a:prstGeom>
      </dgm:spPr>
    </dgm:pt>
    <dgm:pt modelId="{9043C52A-E63D-8149-8A79-39158C778D65}" type="pres">
      <dgm:prSet presAssocID="{49B6E38E-A4F0-BB4A-9082-460B9A1001BB}" presName="parTrans" presStyleCnt="0"/>
      <dgm:spPr/>
    </dgm:pt>
    <dgm:pt modelId="{55103E2B-E140-DA40-8077-094E745E8F05}" type="pres">
      <dgm:prSet presAssocID="{5BE3AFFD-0744-D545-9D0B-FED6D271D6BB}" presName="node" presStyleLbl="alignAccFollowNode1" presStyleIdx="0" presStyleCnt="4" custScaleX="99793" custScaleY="95392" custLinFactX="2476" custLinFactNeighborX="100000" custLinFactNeighborY="907">
        <dgm:presLayoutVars>
          <dgm:bulletEnabled val="1"/>
        </dgm:presLayoutVars>
      </dgm:prSet>
      <dgm:spPr>
        <a:prstGeom prst="roundRect">
          <a:avLst/>
        </a:prstGeom>
      </dgm:spPr>
    </dgm:pt>
    <dgm:pt modelId="{01DC6A27-04AE-0945-A20B-41F58A1B7F4F}" type="pres">
      <dgm:prSet presAssocID="{7D3B8AB1-5EA8-DD4D-ACED-0CCAB6FDFAE6}" presName="vSp" presStyleCnt="0"/>
      <dgm:spPr/>
    </dgm:pt>
    <dgm:pt modelId="{4B83D6C4-550C-444A-9954-89B557AB82E9}" type="pres">
      <dgm:prSet presAssocID="{FE36DC7D-33C3-474A-84C4-F97FE5B7F95C}" presName="horFlow" presStyleCnt="0"/>
      <dgm:spPr/>
    </dgm:pt>
    <dgm:pt modelId="{477BA8D3-8A7D-C94B-88A0-39B820B72CE0}" type="pres">
      <dgm:prSet presAssocID="{FE36DC7D-33C3-474A-84C4-F97FE5B7F95C}" presName="bigChev" presStyleLbl="node1" presStyleIdx="1" presStyleCnt="4" custScaleX="31779" custScaleY="79447" custLinFactX="-10065" custLinFactNeighborX="-100000"/>
      <dgm:spPr>
        <a:xfrm>
          <a:off x="0" y="401342"/>
          <a:ext cx="333219" cy="336062"/>
        </a:xfrm>
        <a:prstGeom prst="roundRect">
          <a:avLst/>
        </a:prstGeom>
      </dgm:spPr>
    </dgm:pt>
    <dgm:pt modelId="{D10C13D4-3269-994C-82C1-75B3C073B557}" type="pres">
      <dgm:prSet presAssocID="{D2990E9F-00EA-AA48-8299-3BF2CAE557BB}" presName="parTrans" presStyleCnt="0"/>
      <dgm:spPr/>
    </dgm:pt>
    <dgm:pt modelId="{50D2A4A2-A1F7-9C4D-8457-347EC5CF1DDC}" type="pres">
      <dgm:prSet presAssocID="{7D0B45A4-2442-6540-9DAF-B0FB130DD5F7}" presName="node" presStyleLbl="alignAccFollowNode1" presStyleIdx="1" presStyleCnt="4" custScaleX="99678" custScaleY="95501" custLinFactX="2249" custLinFactNeighborX="100000">
        <dgm:presLayoutVars>
          <dgm:bulletEnabled val="1"/>
        </dgm:presLayoutVars>
      </dgm:prSet>
      <dgm:spPr>
        <a:prstGeom prst="roundRect">
          <a:avLst/>
        </a:prstGeom>
      </dgm:spPr>
    </dgm:pt>
    <dgm:pt modelId="{61A6B003-AF47-4046-841B-DEAABAAB6256}" type="pres">
      <dgm:prSet presAssocID="{FE36DC7D-33C3-474A-84C4-F97FE5B7F95C}" presName="vSp" presStyleCnt="0"/>
      <dgm:spPr/>
    </dgm:pt>
    <dgm:pt modelId="{08745444-8660-124F-B9E3-F7CB72B8A9F6}" type="pres">
      <dgm:prSet presAssocID="{8F951A2D-8316-7942-B199-785B2B0AB0C3}" presName="horFlow" presStyleCnt="0"/>
      <dgm:spPr/>
    </dgm:pt>
    <dgm:pt modelId="{CDF19424-C7C4-9F40-84E9-8D4B4EB62BE8}" type="pres">
      <dgm:prSet presAssocID="{8F951A2D-8316-7942-B199-785B2B0AB0C3}" presName="bigChev" presStyleLbl="node1" presStyleIdx="2" presStyleCnt="4" custScaleX="31634" custScaleY="79175" custLinFactNeighborX="-88641"/>
      <dgm:spPr>
        <a:xfrm>
          <a:off x="0" y="800220"/>
          <a:ext cx="336066" cy="336062"/>
        </a:xfrm>
        <a:prstGeom prst="roundRect">
          <a:avLst/>
        </a:prstGeom>
      </dgm:spPr>
    </dgm:pt>
    <dgm:pt modelId="{7717A314-C3AA-034D-BD28-ECA9DB8EF134}" type="pres">
      <dgm:prSet presAssocID="{E3826E31-B95B-6145-8AE4-3CE78F54B81E}" presName="parTrans" presStyleCnt="0"/>
      <dgm:spPr/>
    </dgm:pt>
    <dgm:pt modelId="{CFDAD9C7-3A4F-DF48-A43E-D4DC637F1C2D}" type="pres">
      <dgm:prSet presAssocID="{8C22D270-2B1D-3647-BB97-6172866B4A32}" presName="node" presStyleLbl="alignAccFollowNode1" presStyleIdx="2" presStyleCnt="4" custScaleX="99678" custScaleY="95610" custLinFactX="2162" custLinFactNeighborX="100000">
        <dgm:presLayoutVars>
          <dgm:bulletEnabled val="1"/>
        </dgm:presLayoutVars>
      </dgm:prSet>
      <dgm:spPr>
        <a:prstGeom prst="roundRect">
          <a:avLst/>
        </a:prstGeom>
      </dgm:spPr>
    </dgm:pt>
    <dgm:pt modelId="{FE7A17E7-4371-8F43-991C-D33780A18970}" type="pres">
      <dgm:prSet presAssocID="{8F951A2D-8316-7942-B199-785B2B0AB0C3}" presName="vSp" presStyleCnt="0"/>
      <dgm:spPr/>
    </dgm:pt>
    <dgm:pt modelId="{B30DEA06-BB50-134C-A79D-C98A8A0DEC5A}" type="pres">
      <dgm:prSet presAssocID="{A0B44F8A-6A2F-0044-9BB8-0A3469DF2734}" presName="horFlow" presStyleCnt="0"/>
      <dgm:spPr/>
    </dgm:pt>
    <dgm:pt modelId="{DAD3E78C-AE02-7946-8AFD-B6C6799EE258}" type="pres">
      <dgm:prSet presAssocID="{A0B44F8A-6A2F-0044-9BB8-0A3469DF2734}" presName="bigChev" presStyleLbl="node1" presStyleIdx="3" presStyleCnt="4" custScaleX="31670" custScaleY="79085" custLinFactNeighborX="-88641"/>
      <dgm:spPr>
        <a:xfrm>
          <a:off x="0" y="1197687"/>
          <a:ext cx="336066" cy="338102"/>
        </a:xfrm>
        <a:prstGeom prst="roundRect">
          <a:avLst/>
        </a:prstGeom>
      </dgm:spPr>
    </dgm:pt>
    <dgm:pt modelId="{D5A934E3-EE19-0641-957A-617846E374CD}" type="pres">
      <dgm:prSet presAssocID="{260D3B08-4E53-2048-BDA1-E75675D393D8}" presName="parTrans" presStyleCnt="0"/>
      <dgm:spPr/>
    </dgm:pt>
    <dgm:pt modelId="{003BC28C-F1D9-CC4D-A9FB-3697781EB6A5}" type="pres">
      <dgm:prSet presAssocID="{A5986DFE-7725-1847-8814-D50D66AFCC15}" presName="node" presStyleLbl="alignAccFollowNode1" presStyleIdx="3" presStyleCnt="4" custScaleX="99793" custScaleY="95610" custLinFactX="2004" custLinFactNeighborX="100000">
        <dgm:presLayoutVars>
          <dgm:bulletEnabled val="1"/>
        </dgm:presLayoutVars>
      </dgm:prSet>
      <dgm:spPr>
        <a:prstGeom prst="roundRect">
          <a:avLst/>
        </a:prstGeom>
      </dgm:spPr>
    </dgm:pt>
  </dgm:ptLst>
  <dgm:cxnLst>
    <dgm:cxn modelId="{03D52E04-0D26-0D4A-A28A-FFBF2BBE9ECF}" srcId="{A935C7C2-51E9-394B-865D-5CF1BEB503EE}" destId="{7D3B8AB1-5EA8-DD4D-ACED-0CCAB6FDFAE6}" srcOrd="0" destOrd="0" parTransId="{ED96D06F-9A1E-2743-9913-78FDF7A29C30}" sibTransId="{555EF976-CB3E-3740-9714-D4E964B9FB72}"/>
    <dgm:cxn modelId="{C8F73A05-0B1B-CF43-8F42-A217319C0D40}" srcId="{8F951A2D-8316-7942-B199-785B2B0AB0C3}" destId="{8C22D270-2B1D-3647-BB97-6172866B4A32}" srcOrd="0" destOrd="0" parTransId="{E3826E31-B95B-6145-8AE4-3CE78F54B81E}" sibTransId="{86A14A3F-6CBD-0642-8679-AE7C81FE3EC1}"/>
    <dgm:cxn modelId="{270C8D11-1209-7D49-A513-E62A02470B2E}" type="presOf" srcId="{8C22D270-2B1D-3647-BB97-6172866B4A32}" destId="{CFDAD9C7-3A4F-DF48-A43E-D4DC637F1C2D}" srcOrd="0" destOrd="0" presId="urn:microsoft.com/office/officeart/2005/8/layout/lProcess3"/>
    <dgm:cxn modelId="{D95B5513-FD1D-024D-A3E7-DB65839174C4}" srcId="{FE36DC7D-33C3-474A-84C4-F97FE5B7F95C}" destId="{7D0B45A4-2442-6540-9DAF-B0FB130DD5F7}" srcOrd="0" destOrd="0" parTransId="{D2990E9F-00EA-AA48-8299-3BF2CAE557BB}" sibTransId="{446D302A-985B-074E-97D7-904E98899421}"/>
    <dgm:cxn modelId="{6C422D1A-B75B-AC43-AEA5-90BFC9824C81}" type="presOf" srcId="{A5986DFE-7725-1847-8814-D50D66AFCC15}" destId="{003BC28C-F1D9-CC4D-A9FB-3697781EB6A5}" srcOrd="0" destOrd="0" presId="urn:microsoft.com/office/officeart/2005/8/layout/lProcess3"/>
    <dgm:cxn modelId="{17DDB721-9B40-1E49-B058-473FC2A4DAE2}" srcId="{A935C7C2-51E9-394B-865D-5CF1BEB503EE}" destId="{8F951A2D-8316-7942-B199-785B2B0AB0C3}" srcOrd="2" destOrd="0" parTransId="{3AFE9292-A099-244C-A617-20602CFCB1E3}" sibTransId="{173CF78D-536E-C343-8B69-65E61BE510E1}"/>
    <dgm:cxn modelId="{99026034-E10F-3340-AE43-DFE33C4475D9}" type="presOf" srcId="{5BE3AFFD-0744-D545-9D0B-FED6D271D6BB}" destId="{55103E2B-E140-DA40-8077-094E745E8F05}" srcOrd="0" destOrd="0" presId="urn:microsoft.com/office/officeart/2005/8/layout/lProcess3"/>
    <dgm:cxn modelId="{0AA09B37-1070-D246-9B8E-A0B84C072D6A}" srcId="{A0B44F8A-6A2F-0044-9BB8-0A3469DF2734}" destId="{A5986DFE-7725-1847-8814-D50D66AFCC15}" srcOrd="0" destOrd="0" parTransId="{260D3B08-4E53-2048-BDA1-E75675D393D8}" sibTransId="{263D9C09-EA4C-0D40-8829-6657872CBEE1}"/>
    <dgm:cxn modelId="{EBF06D4A-E743-A048-B11B-07D6C137657F}" type="presOf" srcId="{A0B44F8A-6A2F-0044-9BB8-0A3469DF2734}" destId="{DAD3E78C-AE02-7946-8AFD-B6C6799EE258}" srcOrd="0" destOrd="0" presId="urn:microsoft.com/office/officeart/2005/8/layout/lProcess3"/>
    <dgm:cxn modelId="{B5DBAB6D-DD1B-B948-9008-5179B39DF6D4}" type="presOf" srcId="{7D3B8AB1-5EA8-DD4D-ACED-0CCAB6FDFAE6}" destId="{1DE6589B-7756-5243-A756-6830A54BB680}" srcOrd="0" destOrd="0" presId="urn:microsoft.com/office/officeart/2005/8/layout/lProcess3"/>
    <dgm:cxn modelId="{3BF4BD7E-B18E-E344-8177-464AFC6434C1}" srcId="{A935C7C2-51E9-394B-865D-5CF1BEB503EE}" destId="{FE36DC7D-33C3-474A-84C4-F97FE5B7F95C}" srcOrd="1" destOrd="0" parTransId="{39AE5F75-3014-C94A-A7A1-3B2D157D249D}" sibTransId="{731994F3-BE38-E44D-A7F0-A4BC55991596}"/>
    <dgm:cxn modelId="{A487CA84-1D6E-7A47-B791-D4BDC6833096}" type="presOf" srcId="{A935C7C2-51E9-394B-865D-5CF1BEB503EE}" destId="{CBCF94E4-C372-C648-B533-E3C7976D39B7}" srcOrd="0" destOrd="0" presId="urn:microsoft.com/office/officeart/2005/8/layout/lProcess3"/>
    <dgm:cxn modelId="{C285D893-2D51-5A41-8F08-0CC2CDB28CEA}" type="presOf" srcId="{7D0B45A4-2442-6540-9DAF-B0FB130DD5F7}" destId="{50D2A4A2-A1F7-9C4D-8457-347EC5CF1DDC}" srcOrd="0" destOrd="0" presId="urn:microsoft.com/office/officeart/2005/8/layout/lProcess3"/>
    <dgm:cxn modelId="{2AC9879B-3861-E542-B1FB-60ABBD61AB31}" srcId="{A935C7C2-51E9-394B-865D-5CF1BEB503EE}" destId="{A0B44F8A-6A2F-0044-9BB8-0A3469DF2734}" srcOrd="3" destOrd="0" parTransId="{322E361A-FB1B-0D47-80B8-6F8E1E98915A}" sibTransId="{AEE3A9E3-7BE1-1C41-B42E-F4079641B9E8}"/>
    <dgm:cxn modelId="{F767FDA4-B27C-3E4C-B976-BEA6302D14AC}" srcId="{7D3B8AB1-5EA8-DD4D-ACED-0CCAB6FDFAE6}" destId="{5BE3AFFD-0744-D545-9D0B-FED6D271D6BB}" srcOrd="0" destOrd="0" parTransId="{49B6E38E-A4F0-BB4A-9082-460B9A1001BB}" sibTransId="{AFA8EBC2-38CB-824B-863F-CC7215829219}"/>
    <dgm:cxn modelId="{7FB26CB2-FC07-F34E-9570-7ECC8148A117}" type="presOf" srcId="{FE36DC7D-33C3-474A-84C4-F97FE5B7F95C}" destId="{477BA8D3-8A7D-C94B-88A0-39B820B72CE0}" srcOrd="0" destOrd="0" presId="urn:microsoft.com/office/officeart/2005/8/layout/lProcess3"/>
    <dgm:cxn modelId="{2238A7D6-C55A-C841-8794-F196FC5B3E91}" type="presOf" srcId="{8F951A2D-8316-7942-B199-785B2B0AB0C3}" destId="{CDF19424-C7C4-9F40-84E9-8D4B4EB62BE8}" srcOrd="0" destOrd="0" presId="urn:microsoft.com/office/officeart/2005/8/layout/lProcess3"/>
    <dgm:cxn modelId="{51C50189-C65A-AA4D-9B8A-FA51851C5B0B}" type="presParOf" srcId="{CBCF94E4-C372-C648-B533-E3C7976D39B7}" destId="{6974E495-C66D-B74A-8158-D06B249C137E}" srcOrd="0" destOrd="0" presId="urn:microsoft.com/office/officeart/2005/8/layout/lProcess3"/>
    <dgm:cxn modelId="{30AEA168-FF0B-054F-ACC2-0B35F125B289}" type="presParOf" srcId="{6974E495-C66D-B74A-8158-D06B249C137E}" destId="{1DE6589B-7756-5243-A756-6830A54BB680}" srcOrd="0" destOrd="0" presId="urn:microsoft.com/office/officeart/2005/8/layout/lProcess3"/>
    <dgm:cxn modelId="{27ED4357-369D-0944-BBDB-E1997022EEE7}" type="presParOf" srcId="{6974E495-C66D-B74A-8158-D06B249C137E}" destId="{9043C52A-E63D-8149-8A79-39158C778D65}" srcOrd="1" destOrd="0" presId="urn:microsoft.com/office/officeart/2005/8/layout/lProcess3"/>
    <dgm:cxn modelId="{4E17AFCB-F6F4-ED48-99CD-794EA7F3A7A3}" type="presParOf" srcId="{6974E495-C66D-B74A-8158-D06B249C137E}" destId="{55103E2B-E140-DA40-8077-094E745E8F05}" srcOrd="2" destOrd="0" presId="urn:microsoft.com/office/officeart/2005/8/layout/lProcess3"/>
    <dgm:cxn modelId="{B5696D4F-5390-674A-A31F-52B8177DE6B0}" type="presParOf" srcId="{CBCF94E4-C372-C648-B533-E3C7976D39B7}" destId="{01DC6A27-04AE-0945-A20B-41F58A1B7F4F}" srcOrd="1" destOrd="0" presId="urn:microsoft.com/office/officeart/2005/8/layout/lProcess3"/>
    <dgm:cxn modelId="{EBA50D9B-89D2-0541-8E55-B4A2594D3E98}" type="presParOf" srcId="{CBCF94E4-C372-C648-B533-E3C7976D39B7}" destId="{4B83D6C4-550C-444A-9954-89B557AB82E9}" srcOrd="2" destOrd="0" presId="urn:microsoft.com/office/officeart/2005/8/layout/lProcess3"/>
    <dgm:cxn modelId="{1CF10364-5B47-B04F-AE66-CFE363958FA2}" type="presParOf" srcId="{4B83D6C4-550C-444A-9954-89B557AB82E9}" destId="{477BA8D3-8A7D-C94B-88A0-39B820B72CE0}" srcOrd="0" destOrd="0" presId="urn:microsoft.com/office/officeart/2005/8/layout/lProcess3"/>
    <dgm:cxn modelId="{4EFBA67B-711A-704C-A186-D1E28538E661}" type="presParOf" srcId="{4B83D6C4-550C-444A-9954-89B557AB82E9}" destId="{D10C13D4-3269-994C-82C1-75B3C073B557}" srcOrd="1" destOrd="0" presId="urn:microsoft.com/office/officeart/2005/8/layout/lProcess3"/>
    <dgm:cxn modelId="{FCE67089-5BB4-6D4C-AA51-A8C6E5864C07}" type="presParOf" srcId="{4B83D6C4-550C-444A-9954-89B557AB82E9}" destId="{50D2A4A2-A1F7-9C4D-8457-347EC5CF1DDC}" srcOrd="2" destOrd="0" presId="urn:microsoft.com/office/officeart/2005/8/layout/lProcess3"/>
    <dgm:cxn modelId="{18219169-967F-4E40-BF27-5F0ABD8B87B6}" type="presParOf" srcId="{CBCF94E4-C372-C648-B533-E3C7976D39B7}" destId="{61A6B003-AF47-4046-841B-DEAABAAB6256}" srcOrd="3" destOrd="0" presId="urn:microsoft.com/office/officeart/2005/8/layout/lProcess3"/>
    <dgm:cxn modelId="{F5D9DB97-41FD-C348-A34E-7E4D60D0C2A9}" type="presParOf" srcId="{CBCF94E4-C372-C648-B533-E3C7976D39B7}" destId="{08745444-8660-124F-B9E3-F7CB72B8A9F6}" srcOrd="4" destOrd="0" presId="urn:microsoft.com/office/officeart/2005/8/layout/lProcess3"/>
    <dgm:cxn modelId="{AE2EB0AF-DC3B-2141-9DEB-3A49CE8A1DC3}" type="presParOf" srcId="{08745444-8660-124F-B9E3-F7CB72B8A9F6}" destId="{CDF19424-C7C4-9F40-84E9-8D4B4EB62BE8}" srcOrd="0" destOrd="0" presId="urn:microsoft.com/office/officeart/2005/8/layout/lProcess3"/>
    <dgm:cxn modelId="{F0DAB88B-AEC9-0E40-9BAF-C29F3AB0EC7F}" type="presParOf" srcId="{08745444-8660-124F-B9E3-F7CB72B8A9F6}" destId="{7717A314-C3AA-034D-BD28-ECA9DB8EF134}" srcOrd="1" destOrd="0" presId="urn:microsoft.com/office/officeart/2005/8/layout/lProcess3"/>
    <dgm:cxn modelId="{5986C12F-375C-F64F-A8A8-304CF433A1A2}" type="presParOf" srcId="{08745444-8660-124F-B9E3-F7CB72B8A9F6}" destId="{CFDAD9C7-3A4F-DF48-A43E-D4DC637F1C2D}" srcOrd="2" destOrd="0" presId="urn:microsoft.com/office/officeart/2005/8/layout/lProcess3"/>
    <dgm:cxn modelId="{8AB8AAE2-3E3F-3D4B-8CEA-2DB47822E6BA}" type="presParOf" srcId="{CBCF94E4-C372-C648-B533-E3C7976D39B7}" destId="{FE7A17E7-4371-8F43-991C-D33780A18970}" srcOrd="5" destOrd="0" presId="urn:microsoft.com/office/officeart/2005/8/layout/lProcess3"/>
    <dgm:cxn modelId="{5EA8443B-667B-374B-AB81-A5E38E95BF42}" type="presParOf" srcId="{CBCF94E4-C372-C648-B533-E3C7976D39B7}" destId="{B30DEA06-BB50-134C-A79D-C98A8A0DEC5A}" srcOrd="6" destOrd="0" presId="urn:microsoft.com/office/officeart/2005/8/layout/lProcess3"/>
    <dgm:cxn modelId="{30A867D8-2639-5344-925D-833B5289FBD0}" type="presParOf" srcId="{B30DEA06-BB50-134C-A79D-C98A8A0DEC5A}" destId="{DAD3E78C-AE02-7946-8AFD-B6C6799EE258}" srcOrd="0" destOrd="0" presId="urn:microsoft.com/office/officeart/2005/8/layout/lProcess3"/>
    <dgm:cxn modelId="{8EC9CB03-244F-CD48-B86C-5FF446F6F2A9}" type="presParOf" srcId="{B30DEA06-BB50-134C-A79D-C98A8A0DEC5A}" destId="{D5A934E3-EE19-0641-957A-617846E374CD}" srcOrd="1" destOrd="0" presId="urn:microsoft.com/office/officeart/2005/8/layout/lProcess3"/>
    <dgm:cxn modelId="{0747EC7B-1E78-9749-93D3-18F962C5871E}" type="presParOf" srcId="{B30DEA06-BB50-134C-A79D-C98A8A0DEC5A}" destId="{003BC28C-F1D9-CC4D-A9FB-3697781EB6A5}" srcOrd="2" destOrd="0" presId="urn:microsoft.com/office/officeart/2005/8/layout/lProcess3"/>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6589B-7756-5243-A756-6830A54BB680}">
      <dsp:nvSpPr>
        <dsp:cNvPr id="0" name=""/>
        <dsp:cNvSpPr/>
      </dsp:nvSpPr>
      <dsp:spPr>
        <a:xfrm>
          <a:off x="0" y="467"/>
          <a:ext cx="336559" cy="336559"/>
        </a:xfrm>
        <a:prstGeom prst="roundRect">
          <a:avLst/>
        </a:prstGeom>
        <a:noFill/>
        <a:ln>
          <a:solidFill>
            <a:srgbClr val="00B274">
              <a:alpha val="95000"/>
            </a:srgbClr>
          </a:solidFill>
        </a:ln>
        <a:effectLst>
          <a:softEdge rad="1104900"/>
        </a:effectLst>
        <a:scene3d>
          <a:camera prst="orthographicFront"/>
          <a:lightRig rig="flat" dir="t"/>
        </a:scene3d>
        <a:sp3d prstMaterial="dkEdge">
          <a:bevelT w="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00B274"/>
              </a:solidFill>
              <a:latin typeface="Arial"/>
              <a:ea typeface="+mn-ea"/>
              <a:cs typeface="Arial"/>
            </a:rPr>
            <a:t>01</a:t>
          </a:r>
        </a:p>
      </dsp:txBody>
      <dsp:txXfrm>
        <a:off x="16429" y="16896"/>
        <a:ext cx="303701" cy="303701"/>
      </dsp:txXfrm>
    </dsp:sp>
    <dsp:sp modelId="{55103E2B-E140-DA40-8077-094E745E8F05}">
      <dsp:nvSpPr>
        <dsp:cNvPr id="0" name=""/>
        <dsp:cNvSpPr/>
      </dsp:nvSpPr>
      <dsp:spPr>
        <a:xfrm>
          <a:off x="368986" y="3306"/>
          <a:ext cx="883233" cy="337712"/>
        </a:xfrm>
        <a:prstGeom prst="roundRect">
          <a:avLst/>
        </a:prstGeom>
        <a:noFill/>
        <a:ln w="9525" cap="flat" cmpd="sng" algn="ctr">
          <a:solidFill>
            <a:srgbClr val="00B274">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rgbClr val="00B274"/>
              </a:solidFill>
              <a:latin typeface="Arial"/>
              <a:ea typeface="+mn-ea"/>
              <a:cs typeface="Arial"/>
            </a:rPr>
            <a:t>Modification</a:t>
          </a:r>
        </a:p>
      </dsp:txBody>
      <dsp:txXfrm>
        <a:off x="385472" y="19792"/>
        <a:ext cx="850261" cy="304740"/>
      </dsp:txXfrm>
    </dsp:sp>
    <dsp:sp modelId="{477BA8D3-8A7D-C94B-88A0-39B820B72CE0}">
      <dsp:nvSpPr>
        <dsp:cNvPr id="0" name=""/>
        <dsp:cNvSpPr/>
      </dsp:nvSpPr>
      <dsp:spPr>
        <a:xfrm>
          <a:off x="0" y="397523"/>
          <a:ext cx="338873" cy="338871"/>
        </a:xfrm>
        <a:prstGeom prst="roundRect">
          <a:avLst/>
        </a:prstGeom>
        <a:solidFill>
          <a:srgbClr val="0096D7">
            <a:alpha val="90000"/>
          </a:srgbClr>
        </a:solidFill>
        <a:ln>
          <a:solidFill>
            <a:srgbClr val="0096D7">
              <a:alpha val="95000"/>
            </a:srgbClr>
          </a:solid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FFFFFF"/>
              </a:solidFill>
              <a:latin typeface="Arial"/>
              <a:ea typeface="+mn-ea"/>
              <a:cs typeface="Arial"/>
            </a:rPr>
            <a:t>02</a:t>
          </a:r>
        </a:p>
      </dsp:txBody>
      <dsp:txXfrm>
        <a:off x="16542" y="414065"/>
        <a:ext cx="305789" cy="305787"/>
      </dsp:txXfrm>
    </dsp:sp>
    <dsp:sp modelId="{50D2A4A2-A1F7-9C4D-8457-347EC5CF1DDC}">
      <dsp:nvSpPr>
        <dsp:cNvPr id="0" name=""/>
        <dsp:cNvSpPr/>
      </dsp:nvSpPr>
      <dsp:spPr>
        <a:xfrm>
          <a:off x="370004" y="397910"/>
          <a:ext cx="882215" cy="338098"/>
        </a:xfrm>
        <a:prstGeom prst="roundRect">
          <a:avLst/>
        </a:prstGeom>
        <a:solidFill>
          <a:srgbClr val="0096D7">
            <a:alpha val="90000"/>
          </a:srgbClr>
        </a:solidFill>
        <a:ln w="9525" cap="flat" cmpd="sng" algn="ctr">
          <a:solidFill>
            <a:srgbClr val="0096D7">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ysClr val="window" lastClr="FFFFFF"/>
              </a:solidFill>
              <a:latin typeface="Arial"/>
              <a:ea typeface="+mn-ea"/>
              <a:cs typeface="Arial"/>
            </a:rPr>
            <a:t>Workgroup Report</a:t>
          </a:r>
        </a:p>
      </dsp:txBody>
      <dsp:txXfrm>
        <a:off x="386509" y="414415"/>
        <a:ext cx="849205" cy="305088"/>
      </dsp:txXfrm>
    </dsp:sp>
    <dsp:sp modelId="{CDF19424-C7C4-9F40-84E9-8D4B4EB62BE8}">
      <dsp:nvSpPr>
        <dsp:cNvPr id="0" name=""/>
        <dsp:cNvSpPr/>
      </dsp:nvSpPr>
      <dsp:spPr>
        <a:xfrm>
          <a:off x="0" y="796496"/>
          <a:ext cx="337327" cy="337711"/>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9A4D9E">
              <a:alpha val="95000"/>
            </a:srgbClr>
          </a:solid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8064A2"/>
              </a:solidFill>
              <a:latin typeface="Arial"/>
              <a:ea typeface="+mn-ea"/>
              <a:cs typeface="Arial"/>
            </a:rPr>
            <a:t>03</a:t>
          </a:r>
        </a:p>
      </dsp:txBody>
      <dsp:txXfrm>
        <a:off x="16467" y="812963"/>
        <a:ext cx="304393" cy="304777"/>
      </dsp:txXfrm>
    </dsp:sp>
    <dsp:sp modelId="{CFDAD9C7-3A4F-DF48-A43E-D4DC637F1C2D}">
      <dsp:nvSpPr>
        <dsp:cNvPr id="0" name=""/>
        <dsp:cNvSpPr/>
      </dsp:nvSpPr>
      <dsp:spPr>
        <a:xfrm>
          <a:off x="370004" y="796110"/>
          <a:ext cx="882215" cy="338484"/>
        </a:xfrm>
        <a:prstGeom prst="roundRect">
          <a:avLst/>
        </a:prstGeom>
        <a:solidFill>
          <a:sysClr val="window" lastClr="FFFFFF">
            <a:alpha val="90000"/>
            <a:tint val="40000"/>
            <a:hueOff val="0"/>
            <a:satOff val="0"/>
            <a:lumOff val="0"/>
            <a:alphaOff val="0"/>
          </a:sysClr>
        </a:solidFill>
        <a:ln w="9525" cap="flat" cmpd="sng" algn="ctr">
          <a:solidFill>
            <a:srgbClr val="9A4D9E">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rgbClr val="8064A2"/>
              </a:solidFill>
              <a:latin typeface="Arial"/>
              <a:ea typeface="+mn-ea"/>
              <a:cs typeface="Arial"/>
            </a:rPr>
            <a:t>Draft Modification Report</a:t>
          </a:r>
        </a:p>
      </dsp:txBody>
      <dsp:txXfrm>
        <a:off x="386527" y="812633"/>
        <a:ext cx="849169" cy="305438"/>
      </dsp:txXfrm>
    </dsp:sp>
    <dsp:sp modelId="{DAD3E78C-AE02-7946-8AFD-B6C6799EE258}">
      <dsp:nvSpPr>
        <dsp:cNvPr id="0" name=""/>
        <dsp:cNvSpPr/>
      </dsp:nvSpPr>
      <dsp:spPr>
        <a:xfrm>
          <a:off x="0" y="1194888"/>
          <a:ext cx="337711" cy="337327"/>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solidFill>
            <a:srgbClr val="F59114">
              <a:alpha val="95000"/>
            </a:srgbClr>
          </a:solidFill>
        </a:ln>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F59114"/>
              </a:solidFill>
              <a:latin typeface="Arial"/>
              <a:ea typeface="+mn-ea"/>
              <a:cs typeface="Arial"/>
            </a:rPr>
            <a:t>04</a:t>
          </a:r>
        </a:p>
      </dsp:txBody>
      <dsp:txXfrm>
        <a:off x="16467" y="1211355"/>
        <a:ext cx="304777" cy="304393"/>
      </dsp:txXfrm>
    </dsp:sp>
    <dsp:sp modelId="{003BC28C-F1D9-CC4D-A9FB-3697781EB6A5}">
      <dsp:nvSpPr>
        <dsp:cNvPr id="0" name=""/>
        <dsp:cNvSpPr/>
      </dsp:nvSpPr>
      <dsp:spPr>
        <a:xfrm>
          <a:off x="368986" y="1194309"/>
          <a:ext cx="883233" cy="338484"/>
        </a:xfrm>
        <a:prstGeom prst="roundRect">
          <a:avLst/>
        </a:prstGeom>
        <a:solidFill>
          <a:sysClr val="window" lastClr="FFFFFF">
            <a:alpha val="90000"/>
            <a:tint val="40000"/>
            <a:hueOff val="0"/>
            <a:satOff val="0"/>
            <a:lumOff val="0"/>
            <a:alphaOff val="0"/>
          </a:sysClr>
        </a:solidFill>
        <a:ln w="9525" cap="flat" cmpd="sng" algn="ctr">
          <a:solidFill>
            <a:srgbClr val="F59114">
              <a:alpha val="95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l" defTabSz="355600">
            <a:lnSpc>
              <a:spcPct val="90000"/>
            </a:lnSpc>
            <a:spcBef>
              <a:spcPct val="0"/>
            </a:spcBef>
            <a:spcAft>
              <a:spcPct val="35000"/>
            </a:spcAft>
            <a:buNone/>
          </a:pPr>
          <a:r>
            <a:rPr lang="en-US" sz="800" kern="1200">
              <a:solidFill>
                <a:srgbClr val="F59114"/>
              </a:solidFill>
              <a:latin typeface="Arial"/>
              <a:ea typeface="+mn-ea"/>
              <a:cs typeface="Arial"/>
            </a:rPr>
            <a:t>Final Modification Report</a:t>
          </a:r>
        </a:p>
      </dsp:txBody>
      <dsp:txXfrm>
        <a:off x="385509" y="1210832"/>
        <a:ext cx="850187" cy="30543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7BAA8-4EFD-B548-A329-AF8DE6D85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13220</Words>
  <Characters>75355</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88399</CharactersWithSpaces>
  <SharedDoc>false</SharedDoc>
  <HyperlinkBase/>
  <HLinks>
    <vt:vector size="84" baseType="variant">
      <vt:variant>
        <vt:i4>393308</vt:i4>
      </vt:variant>
      <vt:variant>
        <vt:i4>72</vt:i4>
      </vt:variant>
      <vt:variant>
        <vt:i4>0</vt:i4>
      </vt:variant>
      <vt:variant>
        <vt:i4>5</vt:i4>
      </vt:variant>
      <vt:variant>
        <vt:lpwstr>http://www.gasgovernance.co.uk/ntscmf</vt:lpwstr>
      </vt:variant>
      <vt:variant>
        <vt:lpwstr/>
      </vt:variant>
      <vt:variant>
        <vt:i4>393308</vt:i4>
      </vt:variant>
      <vt:variant>
        <vt:i4>69</vt:i4>
      </vt:variant>
      <vt:variant>
        <vt:i4>0</vt:i4>
      </vt:variant>
      <vt:variant>
        <vt:i4>5</vt:i4>
      </vt:variant>
      <vt:variant>
        <vt:lpwstr>http://www.gasgovernance.co.uk/ntscmf</vt:lpwstr>
      </vt:variant>
      <vt:variant>
        <vt:lpwstr/>
      </vt:variant>
      <vt:variant>
        <vt:i4>6160400</vt:i4>
      </vt:variant>
      <vt:variant>
        <vt:i4>66</vt:i4>
      </vt:variant>
      <vt:variant>
        <vt:i4>0</vt:i4>
      </vt:variant>
      <vt:variant>
        <vt:i4>5</vt:i4>
      </vt:variant>
      <vt:variant>
        <vt:lpwstr>http://www.gasgovernance.co.uk/ntscmf/subg1model</vt:lpwstr>
      </vt:variant>
      <vt:variant>
        <vt:lpwstr/>
      </vt:variant>
      <vt:variant>
        <vt:i4>2687095</vt:i4>
      </vt:variant>
      <vt:variant>
        <vt:i4>63</vt:i4>
      </vt:variant>
      <vt:variant>
        <vt:i4>0</vt:i4>
      </vt:variant>
      <vt:variant>
        <vt:i4>5</vt:i4>
      </vt:variant>
      <vt:variant>
        <vt:lpwstr>https://www.ofgem.gov.uk/gas/transmission-networks/gas-transmission-charging-review</vt:lpwstr>
      </vt:variant>
      <vt:variant>
        <vt:lpwstr/>
      </vt:variant>
      <vt:variant>
        <vt:i4>2752620</vt:i4>
      </vt:variant>
      <vt:variant>
        <vt:i4>60</vt:i4>
      </vt:variant>
      <vt:variant>
        <vt:i4>0</vt:i4>
      </vt:variant>
      <vt:variant>
        <vt:i4>5</vt:i4>
      </vt:variant>
      <vt:variant>
        <vt:lpwstr>http://www.gasgovernance.co.uk/sites/default/files/NTS Charging Review Objectives 06Sep16 v1.0.pdf</vt:lpwstr>
      </vt:variant>
      <vt:variant>
        <vt:lpwstr/>
      </vt:variant>
      <vt:variant>
        <vt:i4>983122</vt:i4>
      </vt:variant>
      <vt:variant>
        <vt:i4>57</vt:i4>
      </vt:variant>
      <vt:variant>
        <vt:i4>0</vt:i4>
      </vt:variant>
      <vt:variant>
        <vt:i4>5</vt:i4>
      </vt:variant>
      <vt:variant>
        <vt:lpwstr>http://www.gasgovernance.co.uk/ntschargingstatements</vt:lpwstr>
      </vt:variant>
      <vt:variant>
        <vt:lpwstr/>
      </vt:variant>
      <vt:variant>
        <vt:i4>6881354</vt:i4>
      </vt:variant>
      <vt:variant>
        <vt:i4>54</vt:i4>
      </vt:variant>
      <vt:variant>
        <vt:i4>0</vt:i4>
      </vt:variant>
      <vt:variant>
        <vt:i4>5</vt:i4>
      </vt:variant>
      <vt:variant>
        <vt:lpwstr>http://www.gasgovernance.co.uk/sites/default/files/TPD Section B - System Use &amp; Capacity_55.pdf</vt:lpwstr>
      </vt:variant>
      <vt:variant>
        <vt:lpwstr/>
      </vt:variant>
      <vt:variant>
        <vt:i4>3866722</vt:i4>
      </vt:variant>
      <vt:variant>
        <vt:i4>51</vt:i4>
      </vt:variant>
      <vt:variant>
        <vt:i4>0</vt:i4>
      </vt:variant>
      <vt:variant>
        <vt:i4>5</vt:i4>
      </vt:variant>
      <vt:variant>
        <vt:lpwstr>http://www.gasgovernance.co.uk/sites/default/files/EU Tariff Code - final clean.pdf</vt:lpwstr>
      </vt:variant>
      <vt:variant>
        <vt:lpwstr/>
      </vt:variant>
      <vt:variant>
        <vt:i4>7798818</vt:i4>
      </vt:variant>
      <vt:variant>
        <vt:i4>48</vt:i4>
      </vt:variant>
      <vt:variant>
        <vt:i4>0</vt:i4>
      </vt:variant>
      <vt:variant>
        <vt:i4>5</vt:i4>
      </vt:variant>
      <vt:variant>
        <vt:lpwstr>http://www.gasgovernance.co.uk/EID</vt:lpwstr>
      </vt:variant>
      <vt:variant>
        <vt:lpwstr/>
      </vt:variant>
      <vt:variant>
        <vt:i4>7798786</vt:i4>
      </vt:variant>
      <vt:variant>
        <vt:i4>45</vt:i4>
      </vt:variant>
      <vt:variant>
        <vt:i4>0</vt:i4>
      </vt:variant>
      <vt:variant>
        <vt:i4>5</vt:i4>
      </vt:variant>
      <vt:variant>
        <vt:lpwstr>http://www.gasgovernance.co.uk/sites/default/files/TPD Section Y - Charging Methodologies_29.pdf</vt:lpwstr>
      </vt:variant>
      <vt:variant>
        <vt:lpwstr/>
      </vt:variant>
      <vt:variant>
        <vt:i4>6160400</vt:i4>
      </vt:variant>
      <vt:variant>
        <vt:i4>42</vt:i4>
      </vt:variant>
      <vt:variant>
        <vt:i4>0</vt:i4>
      </vt:variant>
      <vt:variant>
        <vt:i4>5</vt:i4>
      </vt:variant>
      <vt:variant>
        <vt:lpwstr>http://www.gasgovernance.co.uk/ntscmf/subg1model</vt:lpwstr>
      </vt:variant>
      <vt:variant>
        <vt:lpwstr/>
      </vt:variant>
      <vt:variant>
        <vt:i4>2883707</vt:i4>
      </vt:variant>
      <vt:variant>
        <vt:i4>39</vt:i4>
      </vt:variant>
      <vt:variant>
        <vt:i4>0</vt:i4>
      </vt:variant>
      <vt:variant>
        <vt:i4>5</vt:i4>
      </vt:variant>
      <vt:variant>
        <vt:lpwstr>http://www.gasgovernance.co.uk/ntscmf/subg1page</vt:lpwstr>
      </vt:variant>
      <vt:variant>
        <vt:lpwstr/>
      </vt:variant>
      <vt:variant>
        <vt:i4>5505063</vt:i4>
      </vt:variant>
      <vt:variant>
        <vt:i4>36</vt:i4>
      </vt:variant>
      <vt:variant>
        <vt:i4>0</vt:i4>
      </vt:variant>
      <vt:variant>
        <vt:i4>5</vt:i4>
      </vt:variant>
      <vt:variant>
        <vt:lpwstr>mailto:commercial.enquiries@xoserve.com</vt:lpwstr>
      </vt:variant>
      <vt:variant>
        <vt:lpwstr/>
      </vt:variant>
      <vt:variant>
        <vt:i4>5767218</vt:i4>
      </vt:variant>
      <vt:variant>
        <vt:i4>33</vt:i4>
      </vt:variant>
      <vt:variant>
        <vt:i4>0</vt:i4>
      </vt:variant>
      <vt:variant>
        <vt:i4>5</vt:i4>
      </vt:variant>
      <vt:variant>
        <vt:lpwstr>mailto:enquiries@gasgovernance.co.uk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2018-03-29T18:44:00Z</dcterms:created>
  <dcterms:modified xsi:type="dcterms:W3CDTF">2018-03-29T18:44:00Z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922312509</vt:i4>
  </property>
  <property fmtid="{D5CDD505-2E9C-101B-9397-08002B2CF9AE}" pid="3" name="_NewReviewCycle">
    <vt:lpwstr/>
  </property>
  <property fmtid="{D5CDD505-2E9C-101B-9397-08002B2CF9AE}" pid="4" name="_PreviousAdHocReviewCycleID">
    <vt:i4>1394933174</vt:i4>
  </property>
</Properties>
</file>