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953AE2" w:rsidRPr="00E72796" w:rsidRDefault="00621A36" w:rsidP="00953AE2">
      <w:pPr>
        <w:keepLines/>
        <w:jc w:val="center"/>
        <w:rPr>
          <w:rFonts w:cs="Arial"/>
          <w:b/>
          <w:bCs/>
          <w:sz w:val="36"/>
        </w:rPr>
      </w:pPr>
      <w:r w:rsidRPr="00366F6C">
        <w:rPr>
          <w:rFonts w:cs="Arial"/>
          <w:b/>
          <w:bCs/>
          <w:sz w:val="36"/>
        </w:rPr>
        <w:t xml:space="preserve">UNC Modification </w:t>
      </w:r>
      <w:r w:rsidR="00C864A0">
        <w:rPr>
          <w:rFonts w:cs="Arial"/>
          <w:b/>
          <w:bCs/>
          <w:sz w:val="36"/>
        </w:rPr>
        <w:t>0636</w:t>
      </w:r>
      <w:r w:rsidR="00BE0AE1">
        <w:rPr>
          <w:rFonts w:cs="Arial"/>
          <w:b/>
          <w:bCs/>
          <w:sz w:val="36"/>
        </w:rPr>
        <w:t>C</w:t>
      </w:r>
      <w:r w:rsidR="00953AE2">
        <w:rPr>
          <w:rFonts w:cs="Arial"/>
          <w:b/>
          <w:bCs/>
          <w:sz w:val="36"/>
        </w:rPr>
        <w:t xml:space="preserve"> - </w:t>
      </w:r>
      <w:r w:rsidR="00953AE2" w:rsidRPr="00E72796">
        <w:rPr>
          <w:rFonts w:cs="Arial"/>
          <w:b/>
          <w:bCs/>
          <w:sz w:val="36"/>
        </w:rPr>
        <w:t>Updating the parameters for the NTS Optional Commodity Charge</w:t>
      </w:r>
    </w:p>
    <w:p w:rsidR="00AF7358" w:rsidRPr="008422A8" w:rsidRDefault="00AF7358" w:rsidP="00AF7358">
      <w:pPr>
        <w:spacing w:before="60" w:after="60"/>
        <w:jc w:val="center"/>
        <w:rPr>
          <w:rFonts w:cs="Arial"/>
          <w:b/>
          <w:bCs/>
          <w:color w:val="7030A0"/>
          <w:sz w:val="44"/>
          <w:szCs w:val="44"/>
        </w:rPr>
      </w:pPr>
    </w:p>
    <w:p w:rsidR="00AF7358" w:rsidRPr="00EC7DE4" w:rsidRDefault="00AF7358" w:rsidP="00AF7358">
      <w:pPr>
        <w:spacing w:before="60" w:after="60"/>
        <w:jc w:val="center"/>
        <w:rPr>
          <w:rFonts w:cs="Arial"/>
          <w:b/>
          <w:bCs/>
          <w:color w:val="000000" w:themeColor="text1"/>
          <w:sz w:val="36"/>
        </w:rPr>
      </w:pPr>
      <w:r w:rsidRPr="00EC7DE4">
        <w:rPr>
          <w:rFonts w:cs="Arial"/>
          <w:b/>
          <w:bCs/>
          <w:color w:val="000000" w:themeColor="text1"/>
          <w:sz w:val="36"/>
        </w:rPr>
        <w:t xml:space="preserve">Mod </w:t>
      </w:r>
      <w:r w:rsidR="00647ABD" w:rsidRPr="00EC7DE4">
        <w:rPr>
          <w:rFonts w:cs="Arial"/>
          <w:b/>
          <w:bCs/>
          <w:color w:val="000000" w:themeColor="text1"/>
          <w:sz w:val="36"/>
        </w:rPr>
        <w:t>R</w:t>
      </w:r>
      <w:r w:rsidRPr="00EC7DE4">
        <w:rPr>
          <w:rFonts w:cs="Arial"/>
          <w:b/>
          <w:bCs/>
          <w:color w:val="000000" w:themeColor="text1"/>
          <w:sz w:val="36"/>
        </w:rPr>
        <w:t>eference</w:t>
      </w:r>
      <w:r w:rsidR="00D57155" w:rsidRPr="00EC7DE4">
        <w:rPr>
          <w:rFonts w:cs="Arial"/>
          <w:b/>
          <w:bCs/>
          <w:color w:val="000000" w:themeColor="text1"/>
          <w:sz w:val="36"/>
        </w:rPr>
        <w:t>:</w:t>
      </w:r>
      <w:r w:rsidR="00621A36" w:rsidRPr="00EC7DE4">
        <w:rPr>
          <w:rFonts w:cs="Arial"/>
          <w:b/>
          <w:bCs/>
          <w:color w:val="000000" w:themeColor="text1"/>
          <w:sz w:val="36"/>
        </w:rPr>
        <w:t xml:space="preserve"> </w:t>
      </w:r>
      <w:r w:rsidR="00C864A0" w:rsidRPr="00EC7DE4">
        <w:rPr>
          <w:rFonts w:cs="Arial"/>
          <w:b/>
          <w:bCs/>
          <w:color w:val="000000" w:themeColor="text1"/>
          <w:sz w:val="36"/>
        </w:rPr>
        <w:t>0636</w:t>
      </w:r>
      <w:r w:rsidR="00BE0AE1" w:rsidRPr="00EC7DE4">
        <w:rPr>
          <w:rFonts w:cs="Arial"/>
          <w:b/>
          <w:bCs/>
          <w:color w:val="000000" w:themeColor="text1"/>
          <w:sz w:val="36"/>
        </w:rPr>
        <w:t>C</w:t>
      </w:r>
      <w:r w:rsidR="00EC7DE4" w:rsidRPr="00EC7DE4">
        <w:rPr>
          <w:rFonts w:cs="Arial"/>
          <w:b/>
          <w:bCs/>
          <w:color w:val="000000" w:themeColor="text1"/>
          <w:sz w:val="36"/>
        </w:rPr>
        <w:t xml:space="preserve"> (formally 0636D)</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w:t>
      </w:r>
      <w:r w:rsidR="00621A36">
        <w:rPr>
          <w:rFonts w:cs="Arial"/>
          <w:b/>
          <w:bCs/>
          <w:color w:val="000000" w:themeColor="text1"/>
          <w:sz w:val="36"/>
        </w:rPr>
        <w:t xml:space="preserve"> </w:t>
      </w:r>
      <w:r w:rsidR="005E500C" w:rsidRPr="008422A8">
        <w:rPr>
          <w:rFonts w:cs="Arial"/>
          <w:b/>
          <w:bCs/>
          <w:color w:val="000000" w:themeColor="text1"/>
          <w:sz w:val="36"/>
        </w:rPr>
        <w:t xml:space="preserve"> </w:t>
      </w:r>
      <w:r w:rsidR="00953AE2">
        <w:rPr>
          <w:rFonts w:cs="Arial"/>
          <w:b/>
          <w:bCs/>
          <w:color w:val="000000" w:themeColor="text1"/>
          <w:sz w:val="36"/>
        </w:rPr>
        <w:t>X</w:t>
      </w:r>
      <w:r w:rsidR="002958D5">
        <w:rPr>
          <w:rFonts w:cs="Arial"/>
          <w:b/>
          <w:bCs/>
          <w:color w:val="000000" w:themeColor="text1"/>
          <w:sz w:val="36"/>
        </w:rPr>
        <w:t>RN</w:t>
      </w:r>
      <w:r w:rsidR="00654D83">
        <w:rPr>
          <w:rFonts w:cs="Arial"/>
          <w:b/>
          <w:bCs/>
          <w:color w:val="000000" w:themeColor="text1"/>
          <w:sz w:val="36"/>
        </w:rPr>
        <w:t>4631</w:t>
      </w: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15"/>
        <w:gridCol w:w="1242"/>
        <w:gridCol w:w="1291"/>
        <w:gridCol w:w="2091"/>
        <w:gridCol w:w="2089"/>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692A86" w:rsidP="00C76F95">
            <w:r>
              <w:t>1.0</w:t>
            </w:r>
          </w:p>
        </w:tc>
        <w:tc>
          <w:tcPr>
            <w:tcW w:w="1307" w:type="dxa"/>
          </w:tcPr>
          <w:p w:rsidR="00A96501" w:rsidRDefault="00377349" w:rsidP="00133FC8">
            <w:r>
              <w:t>1</w:t>
            </w:r>
            <w:r w:rsidR="00133FC8">
              <w:t>6</w:t>
            </w:r>
            <w:r w:rsidR="00C864A0">
              <w:t>/</w:t>
            </w:r>
            <w:r>
              <w:t>03</w:t>
            </w:r>
            <w:r w:rsidR="00C864A0">
              <w:t>/1</w:t>
            </w:r>
            <w:r>
              <w:t>8</w:t>
            </w:r>
          </w:p>
        </w:tc>
        <w:tc>
          <w:tcPr>
            <w:tcW w:w="2140" w:type="dxa"/>
          </w:tcPr>
          <w:p w:rsidR="00A96501" w:rsidRDefault="00377349" w:rsidP="00431D9F">
            <w:r>
              <w:t>Mike Ronan</w:t>
            </w:r>
            <w:r w:rsidR="00431D9F">
              <w:t xml:space="preserve"> (</w:t>
            </w:r>
            <w:r w:rsidR="00431D9F" w:rsidRPr="00431D9F">
              <w:t>Anghinish Alumina)</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C864A0" w:rsidP="001A3D51">
                <w:r>
                  <w:t>Draft</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EC7DE4" w:rsidP="001A3D51">
            <w:r>
              <w:t>1</w:t>
            </w:r>
          </w:p>
        </w:tc>
        <w:tc>
          <w:tcPr>
            <w:tcW w:w="1307" w:type="dxa"/>
          </w:tcPr>
          <w:p w:rsidR="00A96501" w:rsidRDefault="00EC7DE4" w:rsidP="002268F7">
            <w:r>
              <w:t>28/03/18</w:t>
            </w:r>
          </w:p>
        </w:tc>
        <w:tc>
          <w:tcPr>
            <w:tcW w:w="2140" w:type="dxa"/>
          </w:tcPr>
          <w:p w:rsidR="00A96501" w:rsidRDefault="00EC7DE4" w:rsidP="001A3D51">
            <w:r>
              <w:t>Murray Thomson</w:t>
            </w:r>
          </w:p>
        </w:tc>
        <w:sdt>
          <w:sdtPr>
            <w:alias w:val="Document Status"/>
            <w:tag w:val="Document Status"/>
            <w:id w:val="-569418017"/>
            <w:placeholder>
              <w:docPart w:val="FD8711B384E84C64996AE8BE7AD452B4"/>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EC7DE4" w:rsidP="001A3D51">
                <w:r>
                  <w:t>Draft</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96501" w:rsidP="00310CC7"/>
        </w:tc>
        <w:tc>
          <w:tcPr>
            <w:tcW w:w="1307" w:type="dxa"/>
          </w:tcPr>
          <w:p w:rsidR="00A96501" w:rsidRDefault="00A96501" w:rsidP="00310CC7"/>
        </w:tc>
        <w:tc>
          <w:tcPr>
            <w:tcW w:w="2140" w:type="dxa"/>
          </w:tcPr>
          <w:p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310CC7">
                <w:r w:rsidRPr="00E5134D">
                  <w:rPr>
                    <w:rStyle w:val="PlaceholderText"/>
                  </w:rPr>
                  <w:t>Choose an item.</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6E323D" w:rsidRPr="00C2627B" w:rsidRDefault="00FA37AB" w:rsidP="00D163F5">
      <w:pPr>
        <w:autoSpaceDE w:val="0"/>
        <w:autoSpaceDN w:val="0"/>
        <w:adjustRightInd w:val="0"/>
        <w:spacing w:line="240" w:lineRule="atLeast"/>
        <w:rPr>
          <w:rFonts w:cs="Arial"/>
          <w:b/>
          <w:i/>
        </w:rPr>
      </w:pPr>
      <w:r>
        <w:rPr>
          <w:rFonts w:cs="Arial"/>
          <w:i/>
          <w:iCs/>
          <w:color w:val="000000"/>
          <w:sz w:val="24"/>
          <w:lang w:val="en-US"/>
        </w:rPr>
        <w:br w:type="page"/>
      </w:r>
      <w:r w:rsidR="006E323D" w:rsidRPr="00C2627B">
        <w:rPr>
          <w:rFonts w:cs="Arial"/>
          <w:b/>
          <w:i/>
        </w:rPr>
        <w:lastRenderedPageBreak/>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39"/>
        <w:gridCol w:w="6369"/>
        <w:gridCol w:w="2320"/>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B71F43" w:rsidRPr="00C2627B" w:rsidRDefault="00B71F43" w:rsidP="00C2627B">
      <w:pPr>
        <w:rPr>
          <w:color w:val="7030A0"/>
        </w:rPr>
      </w:pPr>
    </w:p>
    <w:tbl>
      <w:tblPr>
        <w:tblStyle w:val="TableGrid"/>
        <w:tblW w:w="9889" w:type="dxa"/>
        <w:tblLook w:val="04A0" w:firstRow="1" w:lastRow="0" w:firstColumn="1" w:lastColumn="0" w:noHBand="0" w:noVBand="1"/>
      </w:tblPr>
      <w:tblGrid>
        <w:gridCol w:w="1694"/>
        <w:gridCol w:w="1675"/>
        <w:gridCol w:w="141"/>
        <w:gridCol w:w="1843"/>
        <w:gridCol w:w="4536"/>
      </w:tblGrid>
      <w:tr w:rsidR="005864A3" w:rsidRPr="009A2985" w:rsidTr="007075D1">
        <w:tc>
          <w:tcPr>
            <w:tcW w:w="9889"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7075D1">
        <w:tc>
          <w:tcPr>
            <w:tcW w:w="1694" w:type="dxa"/>
            <w:vMerge w:val="restart"/>
            <w:shd w:val="clear" w:color="auto" w:fill="B8CCE4" w:themeFill="accent1" w:themeFillTint="66"/>
          </w:tcPr>
          <w:p w:rsidR="005864A3" w:rsidRPr="009A2985" w:rsidRDefault="00734D1C" w:rsidP="00377349">
            <w:pPr>
              <w:rPr>
                <w:b/>
              </w:rPr>
            </w:pPr>
            <w:r>
              <w:rPr>
                <w:b/>
              </w:rPr>
              <w:t xml:space="preserve">Drafted and </w:t>
            </w:r>
            <w:r w:rsidR="005864A3" w:rsidRPr="009A2985">
              <w:rPr>
                <w:b/>
              </w:rPr>
              <w:t xml:space="preserve">Submitted </w:t>
            </w:r>
            <w:r>
              <w:rPr>
                <w:b/>
              </w:rPr>
              <w:t>on Behalf of</w:t>
            </w:r>
            <w:r w:rsidR="00377349">
              <w:rPr>
                <w:b/>
              </w:rPr>
              <w:t xml:space="preserve"> (by </w:t>
            </w:r>
            <w:r>
              <w:rPr>
                <w:b/>
              </w:rPr>
              <w:t>Joint Office</w:t>
            </w:r>
            <w:r w:rsidR="00377349">
              <w:rPr>
                <w:b/>
              </w:rPr>
              <w:t>)</w:t>
            </w:r>
          </w:p>
        </w:tc>
        <w:tc>
          <w:tcPr>
            <w:tcW w:w="1816" w:type="dxa"/>
            <w:gridSpan w:val="2"/>
            <w:vMerge w:val="restart"/>
          </w:tcPr>
          <w:p w:rsidR="005864A3" w:rsidRDefault="00377349" w:rsidP="00377349">
            <w:r>
              <w:t>Mike Ronan</w:t>
            </w:r>
          </w:p>
          <w:p w:rsidR="00AF52A8" w:rsidRPr="00AF52A8" w:rsidRDefault="00AF52A8" w:rsidP="00504193">
            <w:r w:rsidRPr="00AF52A8">
              <w:t>(</w:t>
            </w:r>
            <w:r w:rsidR="00504193" w:rsidRPr="00AF52A8">
              <w:t>A</w:t>
            </w:r>
            <w:r w:rsidR="00504193">
              <w:t>u</w:t>
            </w:r>
            <w:r w:rsidR="00504193" w:rsidRPr="00AF52A8">
              <w:t xml:space="preserve">ghinish </w:t>
            </w:r>
            <w:r w:rsidRPr="00AF52A8">
              <w:t>Alumina)</w:t>
            </w:r>
          </w:p>
        </w:tc>
        <w:tc>
          <w:tcPr>
            <w:tcW w:w="1843" w:type="dxa"/>
            <w:shd w:val="clear" w:color="auto" w:fill="B8CCE4" w:themeFill="accent1" w:themeFillTint="66"/>
          </w:tcPr>
          <w:p w:rsidR="005864A3" w:rsidRPr="009A2985" w:rsidRDefault="005864A3" w:rsidP="005864A3">
            <w:pPr>
              <w:rPr>
                <w:b/>
              </w:rPr>
            </w:pPr>
            <w:r w:rsidRPr="009A2985">
              <w:rPr>
                <w:b/>
              </w:rPr>
              <w:t>Contact Number</w:t>
            </w:r>
          </w:p>
        </w:tc>
        <w:tc>
          <w:tcPr>
            <w:tcW w:w="4536" w:type="dxa"/>
          </w:tcPr>
          <w:p w:rsidR="005864A3" w:rsidRDefault="00377349" w:rsidP="00D163F5">
            <w:r w:rsidRPr="00377349">
              <w:t>+35361604082</w:t>
            </w:r>
            <w:r>
              <w:t xml:space="preserve"> (</w:t>
            </w:r>
            <w:r w:rsidR="00D163F5">
              <w:t>Eire</w:t>
            </w:r>
            <w:r>
              <w:t>)</w:t>
            </w:r>
          </w:p>
        </w:tc>
      </w:tr>
      <w:tr w:rsidR="005864A3" w:rsidTr="007075D1">
        <w:tc>
          <w:tcPr>
            <w:tcW w:w="1694" w:type="dxa"/>
            <w:vMerge/>
            <w:shd w:val="clear" w:color="auto" w:fill="B8CCE4" w:themeFill="accent1" w:themeFillTint="66"/>
          </w:tcPr>
          <w:p w:rsidR="005864A3" w:rsidRPr="009A2985" w:rsidRDefault="005864A3" w:rsidP="005864A3">
            <w:pPr>
              <w:rPr>
                <w:b/>
              </w:rPr>
            </w:pPr>
          </w:p>
        </w:tc>
        <w:tc>
          <w:tcPr>
            <w:tcW w:w="1816" w:type="dxa"/>
            <w:gridSpan w:val="2"/>
            <w:vMerge/>
          </w:tcPr>
          <w:p w:rsidR="005864A3" w:rsidRDefault="005864A3" w:rsidP="005864A3"/>
        </w:tc>
        <w:tc>
          <w:tcPr>
            <w:tcW w:w="1843" w:type="dxa"/>
            <w:shd w:val="clear" w:color="auto" w:fill="B8CCE4" w:themeFill="accent1" w:themeFillTint="66"/>
          </w:tcPr>
          <w:p w:rsidR="005864A3" w:rsidRPr="009A2985" w:rsidRDefault="005864A3" w:rsidP="005864A3">
            <w:pPr>
              <w:rPr>
                <w:b/>
              </w:rPr>
            </w:pPr>
            <w:r w:rsidRPr="009A2985">
              <w:rPr>
                <w:b/>
              </w:rPr>
              <w:t>Email Address</w:t>
            </w:r>
          </w:p>
        </w:tc>
        <w:tc>
          <w:tcPr>
            <w:tcW w:w="4536" w:type="dxa"/>
          </w:tcPr>
          <w:p w:rsidR="005864A3" w:rsidRDefault="00377349" w:rsidP="00377349">
            <w:r w:rsidRPr="00377349">
              <w:t>mike.ronan@augh.com</w:t>
            </w:r>
          </w:p>
        </w:tc>
      </w:tr>
      <w:tr w:rsidR="005864A3" w:rsidTr="007075D1">
        <w:tc>
          <w:tcPr>
            <w:tcW w:w="1694"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1816" w:type="dxa"/>
            <w:gridSpan w:val="2"/>
            <w:vMerge w:val="restart"/>
          </w:tcPr>
          <w:p w:rsidR="005864A3" w:rsidRDefault="00377349" w:rsidP="005864A3">
            <w:r>
              <w:t>Carlo Rossini</w:t>
            </w:r>
          </w:p>
          <w:p w:rsidR="00AF52A8" w:rsidRDefault="00AF52A8" w:rsidP="00AF52A8">
            <w:r>
              <w:t>(Energy-Link)</w:t>
            </w:r>
          </w:p>
        </w:tc>
        <w:tc>
          <w:tcPr>
            <w:tcW w:w="1843" w:type="dxa"/>
            <w:shd w:val="clear" w:color="auto" w:fill="B8CCE4" w:themeFill="accent1" w:themeFillTint="66"/>
          </w:tcPr>
          <w:p w:rsidR="005864A3" w:rsidRPr="009A2985" w:rsidRDefault="005864A3" w:rsidP="005864A3">
            <w:pPr>
              <w:rPr>
                <w:b/>
              </w:rPr>
            </w:pPr>
            <w:r w:rsidRPr="009A2985">
              <w:rPr>
                <w:b/>
              </w:rPr>
              <w:t>Contact Number</w:t>
            </w:r>
          </w:p>
        </w:tc>
        <w:tc>
          <w:tcPr>
            <w:tcW w:w="4536" w:type="dxa"/>
          </w:tcPr>
          <w:p w:rsidR="005864A3" w:rsidRDefault="00377349" w:rsidP="005864A3">
            <w:r w:rsidRPr="00377349">
              <w:t>01738449829</w:t>
            </w:r>
          </w:p>
        </w:tc>
      </w:tr>
      <w:tr w:rsidR="005864A3" w:rsidTr="007075D1">
        <w:tc>
          <w:tcPr>
            <w:tcW w:w="1694" w:type="dxa"/>
            <w:vMerge/>
            <w:shd w:val="clear" w:color="auto" w:fill="B8CCE4" w:themeFill="accent1" w:themeFillTint="66"/>
          </w:tcPr>
          <w:p w:rsidR="005864A3" w:rsidRPr="009A2985" w:rsidRDefault="005864A3" w:rsidP="005864A3">
            <w:pPr>
              <w:rPr>
                <w:b/>
              </w:rPr>
            </w:pPr>
          </w:p>
        </w:tc>
        <w:tc>
          <w:tcPr>
            <w:tcW w:w="1816" w:type="dxa"/>
            <w:gridSpan w:val="2"/>
            <w:vMerge/>
          </w:tcPr>
          <w:p w:rsidR="005864A3" w:rsidRDefault="005864A3" w:rsidP="005864A3"/>
        </w:tc>
        <w:tc>
          <w:tcPr>
            <w:tcW w:w="1843" w:type="dxa"/>
            <w:shd w:val="clear" w:color="auto" w:fill="B8CCE4" w:themeFill="accent1" w:themeFillTint="66"/>
          </w:tcPr>
          <w:p w:rsidR="005864A3" w:rsidRPr="009A2985" w:rsidRDefault="005864A3" w:rsidP="005864A3">
            <w:pPr>
              <w:rPr>
                <w:b/>
              </w:rPr>
            </w:pPr>
            <w:r w:rsidRPr="009A2985">
              <w:rPr>
                <w:b/>
              </w:rPr>
              <w:t>Email Address</w:t>
            </w:r>
          </w:p>
        </w:tc>
        <w:tc>
          <w:tcPr>
            <w:tcW w:w="4536" w:type="dxa"/>
          </w:tcPr>
          <w:p w:rsidR="005864A3" w:rsidRDefault="00377349" w:rsidP="0097751D">
            <w:r>
              <w:t>carlo.rossini@energy-link.co.uk</w:t>
            </w:r>
          </w:p>
        </w:tc>
      </w:tr>
      <w:tr w:rsidR="005864A3" w:rsidTr="007075D1">
        <w:tc>
          <w:tcPr>
            <w:tcW w:w="1694" w:type="dxa"/>
            <w:vMerge w:val="restart"/>
            <w:shd w:val="clear" w:color="auto" w:fill="B8CCE4" w:themeFill="accent1" w:themeFillTint="66"/>
          </w:tcPr>
          <w:p w:rsidR="005864A3" w:rsidRPr="009A2985" w:rsidRDefault="005864A3" w:rsidP="005864A3">
            <w:pPr>
              <w:rPr>
                <w:b/>
              </w:rPr>
            </w:pPr>
            <w:r w:rsidRPr="009A2985">
              <w:rPr>
                <w:b/>
              </w:rPr>
              <w:t>Subject Matter Expert</w:t>
            </w:r>
            <w:r w:rsidR="00F7139E">
              <w:rPr>
                <w:b/>
              </w:rPr>
              <w:t xml:space="preserve">  </w:t>
            </w:r>
            <w:r w:rsidRPr="009A2985">
              <w:rPr>
                <w:b/>
              </w:rPr>
              <w:t>/</w:t>
            </w:r>
            <w:r w:rsidR="00F7139E">
              <w:rPr>
                <w:b/>
              </w:rPr>
              <w:t xml:space="preserve"> </w:t>
            </w:r>
            <w:r w:rsidRPr="009A2985">
              <w:rPr>
                <w:b/>
              </w:rPr>
              <w:t>Network Lead</w:t>
            </w:r>
          </w:p>
        </w:tc>
        <w:tc>
          <w:tcPr>
            <w:tcW w:w="1816" w:type="dxa"/>
            <w:gridSpan w:val="2"/>
            <w:vMerge w:val="restart"/>
          </w:tcPr>
          <w:p w:rsidR="005864A3" w:rsidRDefault="005864A3" w:rsidP="005864A3"/>
        </w:tc>
        <w:tc>
          <w:tcPr>
            <w:tcW w:w="1843" w:type="dxa"/>
            <w:shd w:val="clear" w:color="auto" w:fill="B8CCE4" w:themeFill="accent1" w:themeFillTint="66"/>
          </w:tcPr>
          <w:p w:rsidR="005864A3" w:rsidRPr="009A2985" w:rsidRDefault="005864A3" w:rsidP="005864A3">
            <w:pPr>
              <w:rPr>
                <w:b/>
              </w:rPr>
            </w:pPr>
            <w:r w:rsidRPr="009A2985">
              <w:rPr>
                <w:b/>
              </w:rPr>
              <w:t>Contact Number</w:t>
            </w:r>
          </w:p>
        </w:tc>
        <w:tc>
          <w:tcPr>
            <w:tcW w:w="4536" w:type="dxa"/>
          </w:tcPr>
          <w:p w:rsidR="005864A3" w:rsidRDefault="005864A3" w:rsidP="0097751D"/>
        </w:tc>
      </w:tr>
      <w:tr w:rsidR="005864A3" w:rsidTr="007075D1">
        <w:tc>
          <w:tcPr>
            <w:tcW w:w="1694" w:type="dxa"/>
            <w:vMerge/>
            <w:shd w:val="clear" w:color="auto" w:fill="B8CCE4" w:themeFill="accent1" w:themeFillTint="66"/>
          </w:tcPr>
          <w:p w:rsidR="005864A3" w:rsidRDefault="005864A3" w:rsidP="005864A3"/>
        </w:tc>
        <w:tc>
          <w:tcPr>
            <w:tcW w:w="1816" w:type="dxa"/>
            <w:gridSpan w:val="2"/>
            <w:vMerge/>
          </w:tcPr>
          <w:p w:rsidR="005864A3" w:rsidRDefault="005864A3" w:rsidP="005864A3"/>
        </w:tc>
        <w:tc>
          <w:tcPr>
            <w:tcW w:w="1843" w:type="dxa"/>
            <w:shd w:val="clear" w:color="auto" w:fill="B8CCE4" w:themeFill="accent1" w:themeFillTint="66"/>
          </w:tcPr>
          <w:p w:rsidR="005864A3" w:rsidRPr="009A2985" w:rsidRDefault="005864A3" w:rsidP="005864A3">
            <w:pPr>
              <w:rPr>
                <w:b/>
              </w:rPr>
            </w:pPr>
            <w:r w:rsidRPr="009A2985">
              <w:rPr>
                <w:b/>
              </w:rPr>
              <w:t>Email Address</w:t>
            </w:r>
          </w:p>
        </w:tc>
        <w:tc>
          <w:tcPr>
            <w:tcW w:w="4536" w:type="dxa"/>
          </w:tcPr>
          <w:p w:rsidR="005864A3" w:rsidRDefault="005864A3" w:rsidP="0097751D"/>
        </w:tc>
      </w:tr>
      <w:tr w:rsidR="005864A3" w:rsidTr="007075D1">
        <w:tc>
          <w:tcPr>
            <w:tcW w:w="1694" w:type="dxa"/>
            <w:shd w:val="clear" w:color="auto" w:fill="B8CCE4" w:themeFill="accent1" w:themeFillTint="66"/>
          </w:tcPr>
          <w:p w:rsidR="005864A3" w:rsidRPr="009A2985" w:rsidRDefault="005864A3" w:rsidP="005864A3">
            <w:pPr>
              <w:rPr>
                <w:b/>
              </w:rPr>
            </w:pPr>
            <w:r w:rsidRPr="009A2985">
              <w:rPr>
                <w:b/>
              </w:rPr>
              <w:t>Customer Class</w:t>
            </w:r>
          </w:p>
        </w:tc>
        <w:tc>
          <w:tcPr>
            <w:tcW w:w="8195" w:type="dxa"/>
            <w:gridSpan w:val="4"/>
          </w:tcPr>
          <w:p w:rsidR="005864A3" w:rsidRDefault="00C92351" w:rsidP="005864A3">
            <w:sdt>
              <w:sdtPr>
                <w:id w:val="-2140862440"/>
              </w:sdtPr>
              <w:sdtEndPr/>
              <w:sdtContent>
                <w:r w:rsidR="00C864A0">
                  <w:rPr>
                    <w:rFonts w:ascii="MS Gothic" w:eastAsia="MS Gothic" w:hAnsi="MS Gothic" w:hint="eastAsia"/>
                  </w:rPr>
                  <w:t>☒</w:t>
                </w:r>
              </w:sdtContent>
            </w:sdt>
            <w:r w:rsidR="0081302A">
              <w:t xml:space="preserve"> Shipper</w:t>
            </w:r>
          </w:p>
          <w:p w:rsidR="005864A3" w:rsidRDefault="00C92351" w:rsidP="005864A3">
            <w:sdt>
              <w:sdtPr>
                <w:id w:val="-2017535920"/>
              </w:sdtPr>
              <w:sdtEndPr/>
              <w:sdtContent>
                <w:r w:rsidR="00026C5D">
                  <w:rPr>
                    <w:rFonts w:ascii="MS Gothic" w:eastAsia="MS Gothic" w:hAnsi="MS Gothic" w:hint="eastAsia"/>
                  </w:rPr>
                  <w:t>☒</w:t>
                </w:r>
              </w:sdtContent>
            </w:sdt>
            <w:r w:rsidR="005864A3">
              <w:t xml:space="preserve"> National Grid Transmission</w:t>
            </w:r>
          </w:p>
          <w:p w:rsidR="005864A3" w:rsidRDefault="00C92351" w:rsidP="005864A3">
            <w:sdt>
              <w:sdtPr>
                <w:id w:val="-262224899"/>
              </w:sdtPr>
              <w:sdtEndPr/>
              <w:sdtContent>
                <w:r w:rsidR="005864A3">
                  <w:rPr>
                    <w:rFonts w:ascii="MS Gothic" w:eastAsia="MS Gothic" w:hAnsi="MS Gothic" w:hint="eastAsia"/>
                  </w:rPr>
                  <w:t>☐</w:t>
                </w:r>
              </w:sdtContent>
            </w:sdt>
            <w:r w:rsidR="005864A3">
              <w:t xml:space="preserve"> Distribution Network Operator</w:t>
            </w:r>
          </w:p>
          <w:p w:rsidR="005864A3" w:rsidRDefault="00C92351" w:rsidP="00734D1C">
            <w:sdt>
              <w:sdtPr>
                <w:id w:val="1927376572"/>
              </w:sdtPr>
              <w:sdtEndPr/>
              <w:sdtContent>
                <w:r w:rsidR="005864A3">
                  <w:rPr>
                    <w:rFonts w:ascii="MS Gothic" w:eastAsia="MS Gothic" w:hAnsi="MS Gothic" w:hint="eastAsia"/>
                  </w:rPr>
                  <w:t>☐</w:t>
                </w:r>
              </w:sdtContent>
            </w:sdt>
            <w:r w:rsidR="00D01653">
              <w:t xml:space="preserve"> </w:t>
            </w:r>
            <w:r w:rsidR="00734D1C">
              <w:t>I</w:t>
            </w:r>
            <w:r w:rsidR="00D01653">
              <w:t>GT</w:t>
            </w:r>
          </w:p>
        </w:tc>
      </w:tr>
      <w:tr w:rsidR="00C43CFC" w:rsidTr="007075D1">
        <w:trPr>
          <w:trHeight w:val="273"/>
        </w:trPr>
        <w:tc>
          <w:tcPr>
            <w:tcW w:w="9889"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7075D1">
        <w:trPr>
          <w:trHeight w:val="6082"/>
        </w:trPr>
        <w:tc>
          <w:tcPr>
            <w:tcW w:w="1694" w:type="dxa"/>
            <w:shd w:val="clear" w:color="auto" w:fill="B8CCE4" w:themeFill="accent1" w:themeFillTint="66"/>
          </w:tcPr>
          <w:p w:rsidR="005864A3" w:rsidRPr="009A2985" w:rsidRDefault="00C43CFC" w:rsidP="003D50F5">
            <w:pPr>
              <w:spacing w:before="60" w:after="60"/>
              <w:rPr>
                <w:b/>
              </w:rPr>
            </w:pPr>
            <w:r>
              <w:rPr>
                <w:b/>
              </w:rPr>
              <w:lastRenderedPageBreak/>
              <w:t>Change Details</w:t>
            </w:r>
          </w:p>
        </w:tc>
        <w:tc>
          <w:tcPr>
            <w:tcW w:w="8195" w:type="dxa"/>
            <w:gridSpan w:val="4"/>
          </w:tcPr>
          <w:p w:rsidR="00013275" w:rsidRPr="00EB3672" w:rsidRDefault="00013275" w:rsidP="00EB3672">
            <w:pPr>
              <w:pStyle w:val="ListParagraph"/>
              <w:numPr>
                <w:ilvl w:val="0"/>
                <w:numId w:val="18"/>
              </w:numPr>
              <w:spacing w:line="300" w:lineRule="atLeast"/>
              <w:rPr>
                <w:rFonts w:cs="Arial"/>
                <w:b/>
                <w:bCs/>
                <w:u w:val="single"/>
              </w:rPr>
            </w:pPr>
            <w:r w:rsidRPr="00EB3672">
              <w:rPr>
                <w:rFonts w:cs="Arial"/>
                <w:b/>
                <w:bCs/>
                <w:u w:val="single"/>
              </w:rPr>
              <w:t>0636</w:t>
            </w:r>
            <w:r w:rsidR="00BE0AE1">
              <w:rPr>
                <w:rFonts w:cs="Arial"/>
                <w:b/>
                <w:bCs/>
                <w:u w:val="single"/>
              </w:rPr>
              <w:t>C</w:t>
            </w:r>
            <w:r w:rsidRPr="00EB3672">
              <w:rPr>
                <w:rFonts w:cs="Arial"/>
                <w:b/>
                <w:bCs/>
                <w:u w:val="single"/>
              </w:rPr>
              <w:t xml:space="preserve"> alternate proposal: </w:t>
            </w:r>
          </w:p>
          <w:p w:rsidR="00EB3672" w:rsidRPr="00D5615E" w:rsidRDefault="00013275" w:rsidP="00D5615E">
            <w:pPr>
              <w:spacing w:line="300" w:lineRule="atLeast"/>
              <w:ind w:left="149"/>
              <w:rPr>
                <w:rFonts w:cs="Arial"/>
                <w:bCs/>
              </w:rPr>
            </w:pPr>
            <w:r w:rsidRPr="00D5615E">
              <w:rPr>
                <w:rFonts w:cs="Arial"/>
                <w:bCs/>
              </w:rPr>
              <w:t>It is proposed t</w:t>
            </w:r>
            <w:r w:rsidR="009B666D" w:rsidRPr="00D5615E">
              <w:rPr>
                <w:rFonts w:cs="Arial"/>
                <w:bCs/>
              </w:rPr>
              <w:t>he</w:t>
            </w:r>
            <w:r w:rsidR="009B666D" w:rsidRPr="00D5615E">
              <w:rPr>
                <w:rFonts w:cs="Arial"/>
                <w:b/>
                <w:bCs/>
              </w:rPr>
              <w:t xml:space="preserve"> </w:t>
            </w:r>
            <w:r w:rsidR="009B666D" w:rsidRPr="00BA4F28">
              <w:rPr>
                <w:rFonts w:cs="Arial"/>
                <w:b/>
                <w:bCs/>
                <w:color w:val="8064A2" w:themeColor="accent4"/>
              </w:rPr>
              <w:t>GB-EU Interconnector Points</w:t>
            </w:r>
            <w:r w:rsidR="00D5615E">
              <w:rPr>
                <w:rFonts w:cs="Arial"/>
                <w:b/>
                <w:bCs/>
                <w:color w:val="8064A2" w:themeColor="accent4"/>
              </w:rPr>
              <w:t xml:space="preserve"> (</w:t>
            </w:r>
            <w:r w:rsidR="009B666D" w:rsidRPr="00D5615E">
              <w:rPr>
                <w:rFonts w:cs="Arial"/>
                <w:bCs/>
              </w:rPr>
              <w:t xml:space="preserve">Moffat </w:t>
            </w:r>
            <w:r w:rsidRPr="00D5615E">
              <w:rPr>
                <w:rFonts w:cs="Arial"/>
                <w:bCs/>
              </w:rPr>
              <w:t>(exit)</w:t>
            </w:r>
            <w:r w:rsidR="00D5615E">
              <w:rPr>
                <w:rFonts w:cs="Arial"/>
                <w:bCs/>
              </w:rPr>
              <w:t xml:space="preserve"> and </w:t>
            </w:r>
            <w:r w:rsidR="009B666D" w:rsidRPr="00586A77">
              <w:rPr>
                <w:rFonts w:cs="Arial"/>
                <w:bCs/>
                <w:color w:val="8064A2" w:themeColor="accent4"/>
              </w:rPr>
              <w:t>Bacton</w:t>
            </w:r>
            <w:r w:rsidR="00586A77" w:rsidRPr="00586A77">
              <w:rPr>
                <w:rFonts w:cs="Arial"/>
                <w:bCs/>
                <w:color w:val="8064A2" w:themeColor="accent4"/>
              </w:rPr>
              <w:t>*</w:t>
            </w:r>
            <w:r w:rsidR="009B666D" w:rsidRPr="00D5615E">
              <w:rPr>
                <w:rFonts w:cs="Arial"/>
                <w:bCs/>
              </w:rPr>
              <w:t xml:space="preserve"> </w:t>
            </w:r>
            <w:r w:rsidRPr="00D5615E">
              <w:rPr>
                <w:rFonts w:cs="Arial"/>
                <w:bCs/>
              </w:rPr>
              <w:t xml:space="preserve">(entry and exit) </w:t>
            </w:r>
            <w:r w:rsidR="00D5615E">
              <w:rPr>
                <w:rFonts w:cs="Arial"/>
                <w:b/>
                <w:bCs/>
                <w:color w:val="8064A2" w:themeColor="accent4"/>
              </w:rPr>
              <w:t>a</w:t>
            </w:r>
            <w:r w:rsidRPr="00D5615E">
              <w:rPr>
                <w:rFonts w:cs="Arial"/>
                <w:b/>
                <w:bCs/>
                <w:color w:val="8064A2" w:themeColor="accent4"/>
              </w:rPr>
              <w:t xml:space="preserve">re exempt </w:t>
            </w:r>
            <w:r w:rsidR="00D5615E" w:rsidRPr="00D5615E">
              <w:rPr>
                <w:rFonts w:cs="Arial"/>
                <w:bCs/>
              </w:rPr>
              <w:t>(</w:t>
            </w:r>
            <w:r w:rsidR="00504193">
              <w:rPr>
                <w:rFonts w:cs="Arial"/>
                <w:bCs/>
              </w:rPr>
              <w:t xml:space="preserve">until </w:t>
            </w:r>
            <w:r w:rsidR="00D5615E" w:rsidRPr="00D5615E">
              <w:rPr>
                <w:rFonts w:cs="Arial"/>
                <w:bCs/>
              </w:rPr>
              <w:t>EU TAR regulation</w:t>
            </w:r>
            <w:r w:rsidR="00504193">
              <w:rPr>
                <w:rFonts w:cs="Arial"/>
                <w:bCs/>
              </w:rPr>
              <w:t xml:space="preserve"> and compliance applies</w:t>
            </w:r>
            <w:r w:rsidR="00D5615E" w:rsidRPr="00D5615E">
              <w:rPr>
                <w:rFonts w:cs="Arial"/>
                <w:bCs/>
              </w:rPr>
              <w:t xml:space="preserve">) </w:t>
            </w:r>
            <w:r w:rsidRPr="00D5615E">
              <w:rPr>
                <w:rFonts w:cs="Arial"/>
                <w:b/>
                <w:bCs/>
                <w:color w:val="8064A2" w:themeColor="accent4"/>
              </w:rPr>
              <w:t xml:space="preserve">from </w:t>
            </w:r>
            <w:r w:rsidR="00504193">
              <w:rPr>
                <w:rFonts w:cs="Arial"/>
                <w:b/>
                <w:bCs/>
                <w:color w:val="8064A2" w:themeColor="accent4"/>
              </w:rPr>
              <w:t xml:space="preserve">any of </w:t>
            </w:r>
            <w:r w:rsidRPr="00D5615E">
              <w:rPr>
                <w:rFonts w:cs="Arial"/>
                <w:b/>
                <w:bCs/>
                <w:color w:val="8064A2" w:themeColor="accent4"/>
              </w:rPr>
              <w:t xml:space="preserve">the 0636 </w:t>
            </w:r>
            <w:r w:rsidR="00D5615E">
              <w:rPr>
                <w:rFonts w:cs="Arial"/>
                <w:b/>
                <w:bCs/>
                <w:color w:val="8064A2" w:themeColor="accent4"/>
              </w:rPr>
              <w:t xml:space="preserve">proposed </w:t>
            </w:r>
            <w:r w:rsidRPr="00D5615E">
              <w:rPr>
                <w:rFonts w:cs="Arial"/>
                <w:b/>
                <w:bCs/>
                <w:color w:val="8064A2" w:themeColor="accent4"/>
              </w:rPr>
              <w:t>parameter updates</w:t>
            </w:r>
            <w:r w:rsidRPr="00D5615E">
              <w:rPr>
                <w:rFonts w:cs="Arial"/>
                <w:bCs/>
                <w:color w:val="8064A2" w:themeColor="accent4"/>
              </w:rPr>
              <w:t xml:space="preserve"> </w:t>
            </w:r>
            <w:r w:rsidRPr="00D5615E">
              <w:rPr>
                <w:rFonts w:cs="Arial"/>
                <w:bCs/>
              </w:rPr>
              <w:t xml:space="preserve">and will </w:t>
            </w:r>
            <w:r w:rsidR="009B666D" w:rsidRPr="00D5615E">
              <w:rPr>
                <w:rFonts w:cs="Arial"/>
                <w:bCs/>
              </w:rPr>
              <w:t xml:space="preserve">continue to use the </w:t>
            </w:r>
            <w:r w:rsidRPr="00D5615E">
              <w:rPr>
                <w:rFonts w:cs="Arial"/>
                <w:bCs/>
              </w:rPr>
              <w:t xml:space="preserve">existing </w:t>
            </w:r>
            <w:r w:rsidR="009B666D" w:rsidRPr="00D5615E">
              <w:rPr>
                <w:rFonts w:cs="Arial"/>
                <w:bCs/>
              </w:rPr>
              <w:t>formula</w:t>
            </w:r>
            <w:r w:rsidR="00EB3672" w:rsidRPr="00D5615E">
              <w:rPr>
                <w:rFonts w:cs="Arial"/>
                <w:bCs/>
              </w:rPr>
              <w:t>:</w:t>
            </w:r>
          </w:p>
          <w:p w:rsidR="009B666D" w:rsidRPr="00EB3672" w:rsidRDefault="00EB3672" w:rsidP="009B666D">
            <w:pPr>
              <w:spacing w:line="300" w:lineRule="atLeast"/>
              <w:ind w:left="149"/>
              <w:rPr>
                <w:rFonts w:cs="Arial"/>
              </w:rPr>
            </w:pPr>
            <w:r>
              <w:rPr>
                <w:rFonts w:cs="Arial"/>
                <w:b/>
                <w:bCs/>
              </w:rPr>
              <w:t xml:space="preserve">                           </w:t>
            </w:r>
            <w:r w:rsidR="009B666D" w:rsidRPr="00EB3672">
              <w:rPr>
                <w:rFonts w:cs="Arial"/>
                <w:bCs/>
              </w:rPr>
              <w:t>p/kWh = 1203 x M ^-0.834 x D +363 x M ^-0.654</w:t>
            </w:r>
          </w:p>
          <w:p w:rsidR="009B666D" w:rsidRPr="009B666D" w:rsidRDefault="009B666D" w:rsidP="009B666D">
            <w:pPr>
              <w:spacing w:line="300" w:lineRule="atLeast"/>
              <w:ind w:left="149"/>
              <w:rPr>
                <w:rFonts w:cs="Arial"/>
              </w:rPr>
            </w:pPr>
            <w:r w:rsidRPr="009B666D">
              <w:rPr>
                <w:rFonts w:cs="Arial"/>
              </w:rPr>
              <w:t>Where:</w:t>
            </w:r>
          </w:p>
          <w:p w:rsidR="009B666D" w:rsidRPr="009B666D" w:rsidRDefault="009B666D" w:rsidP="009B666D">
            <w:pPr>
              <w:spacing w:line="300" w:lineRule="atLeast"/>
              <w:ind w:left="149"/>
              <w:rPr>
                <w:rFonts w:cs="Arial"/>
              </w:rPr>
            </w:pPr>
            <w:r w:rsidRPr="00EB3672">
              <w:rPr>
                <w:rFonts w:cs="Arial"/>
                <w:b/>
              </w:rPr>
              <w:t>D</w:t>
            </w:r>
            <w:r w:rsidRPr="009B666D">
              <w:rPr>
                <w:rFonts w:cs="Arial"/>
              </w:rPr>
              <w:t xml:space="preserve"> is the direct distance of the site or non-National Grid NTS Pipeline to the elected Entry Terminal</w:t>
            </w:r>
          </w:p>
          <w:p w:rsidR="009B666D" w:rsidRPr="009B666D" w:rsidRDefault="009B666D" w:rsidP="009B666D">
            <w:pPr>
              <w:spacing w:line="300" w:lineRule="atLeast"/>
              <w:ind w:left="149"/>
              <w:rPr>
                <w:rFonts w:cs="Arial"/>
              </w:rPr>
            </w:pPr>
            <w:r w:rsidRPr="00EB3672">
              <w:rPr>
                <w:rFonts w:cs="Arial"/>
                <w:b/>
              </w:rPr>
              <w:t>M</w:t>
            </w:r>
            <w:r w:rsidRPr="009B666D">
              <w:rPr>
                <w:rFonts w:cs="Arial"/>
              </w:rPr>
              <w:t xml:space="preserve"> is the Maximum NTS Exit Point Offtake Rate (MNEPOR) at the site, converted into kWh/day</w:t>
            </w:r>
          </w:p>
          <w:p w:rsidR="00D5615E" w:rsidRDefault="009B666D" w:rsidP="00586A77">
            <w:pPr>
              <w:spacing w:line="300" w:lineRule="atLeast"/>
              <w:ind w:left="149"/>
              <w:rPr>
                <w:rFonts w:cs="Arial"/>
              </w:rPr>
            </w:pPr>
            <w:r w:rsidRPr="009B666D">
              <w:rPr>
                <w:rFonts w:cs="Arial"/>
              </w:rPr>
              <w:t>^ means ‘to the power of..’</w:t>
            </w:r>
          </w:p>
          <w:p w:rsidR="00586A77" w:rsidRDefault="00586A77" w:rsidP="00586A77">
            <w:pPr>
              <w:spacing w:line="300" w:lineRule="atLeast"/>
              <w:ind w:left="149"/>
              <w:rPr>
                <w:rFonts w:cs="Arial"/>
              </w:rPr>
            </w:pPr>
            <w:r w:rsidRPr="00586A77">
              <w:rPr>
                <w:rFonts w:cs="Arial"/>
                <w:color w:val="8064A2" w:themeColor="accent4"/>
              </w:rPr>
              <w:t xml:space="preserve">*For the avoidance of doubt, </w:t>
            </w:r>
            <w:r>
              <w:rPr>
                <w:rFonts w:cs="Arial"/>
                <w:color w:val="8064A2" w:themeColor="accent4"/>
              </w:rPr>
              <w:t xml:space="preserve">Bacton </w:t>
            </w:r>
            <w:r w:rsidRPr="00586A77">
              <w:rPr>
                <w:rFonts w:cs="Arial"/>
                <w:color w:val="8064A2" w:themeColor="accent4"/>
              </w:rPr>
              <w:t xml:space="preserve">includes </w:t>
            </w:r>
            <w:r w:rsidRPr="00586A77">
              <w:rPr>
                <w:rFonts w:cs="Arial"/>
                <w:b/>
                <w:color w:val="8064A2" w:themeColor="accent4"/>
              </w:rPr>
              <w:t>BBL</w:t>
            </w:r>
          </w:p>
          <w:p w:rsidR="00F125C3" w:rsidRPr="008F7E5E" w:rsidRDefault="0064174C" w:rsidP="009B666D">
            <w:pPr>
              <w:spacing w:line="300" w:lineRule="atLeast"/>
              <w:ind w:left="149"/>
              <w:rPr>
                <w:rFonts w:cs="Arial"/>
                <w:b/>
                <w:sz w:val="24"/>
              </w:rPr>
            </w:pPr>
            <w:r w:rsidRPr="008F7E5E">
              <w:rPr>
                <w:rFonts w:cs="Arial"/>
                <w:b/>
                <w:sz w:val="24"/>
              </w:rPr>
              <w:t>For information</w:t>
            </w:r>
            <w:r w:rsidR="00586A77">
              <w:rPr>
                <w:rFonts w:cs="Arial"/>
                <w:b/>
                <w:sz w:val="24"/>
              </w:rPr>
              <w:t>:</w:t>
            </w:r>
            <w:r w:rsidR="00666B73">
              <w:rPr>
                <w:rFonts w:cs="Arial"/>
                <w:b/>
                <w:sz w:val="24"/>
              </w:rPr>
              <w:t xml:space="preserve"> </w:t>
            </w:r>
            <w:r w:rsidR="00666B73" w:rsidRPr="00666B73">
              <w:rPr>
                <w:rFonts w:cs="Arial"/>
                <w:szCs w:val="20"/>
              </w:rPr>
              <w:t>(0636 ROM response already provided)</w:t>
            </w:r>
            <w:r w:rsidR="00CC0BDE" w:rsidRPr="002958D5">
              <w:rPr>
                <w:rFonts w:cs="Arial"/>
                <w:b/>
                <w:i/>
                <w:sz w:val="24"/>
              </w:rPr>
              <w:t xml:space="preserve"> </w:t>
            </w:r>
          </w:p>
          <w:p w:rsidR="009B666D" w:rsidRPr="00BA4F28" w:rsidRDefault="00EB3672" w:rsidP="00BA4F28">
            <w:pPr>
              <w:pStyle w:val="ListParagraph"/>
              <w:numPr>
                <w:ilvl w:val="0"/>
                <w:numId w:val="18"/>
              </w:numPr>
              <w:spacing w:line="300" w:lineRule="atLeast"/>
              <w:rPr>
                <w:rFonts w:cs="Arial"/>
                <w:b/>
                <w:u w:val="single"/>
              </w:rPr>
            </w:pPr>
            <w:r w:rsidRPr="00BA4F28">
              <w:rPr>
                <w:rFonts w:cs="Arial"/>
                <w:b/>
                <w:u w:val="single"/>
              </w:rPr>
              <w:t>0636</w:t>
            </w:r>
            <w:r w:rsidR="00BA4F28" w:rsidRPr="00BA4F28">
              <w:rPr>
                <w:rFonts w:cs="Arial"/>
                <w:b/>
                <w:u w:val="single"/>
              </w:rPr>
              <w:t xml:space="preserve"> </w:t>
            </w:r>
            <w:r w:rsidR="009B666D" w:rsidRPr="00BA4F28">
              <w:rPr>
                <w:rFonts w:cs="Arial"/>
                <w:b/>
                <w:u w:val="single"/>
              </w:rPr>
              <w:t xml:space="preserve"> </w:t>
            </w:r>
            <w:r w:rsidR="009B666D" w:rsidRPr="00BA4F28">
              <w:rPr>
                <w:rFonts w:cs="Arial"/>
                <w:b/>
                <w:bCs/>
                <w:u w:val="single"/>
              </w:rPr>
              <w:t xml:space="preserve">proposed </w:t>
            </w:r>
            <w:r w:rsidR="009B666D" w:rsidRPr="00BA4F28">
              <w:rPr>
                <w:rFonts w:cs="Arial"/>
                <w:b/>
                <w:u w:val="single"/>
              </w:rPr>
              <w:t>change</w:t>
            </w:r>
            <w:r w:rsidR="00BA4F28" w:rsidRPr="00BA4F28">
              <w:rPr>
                <w:rFonts w:cs="Arial"/>
                <w:b/>
                <w:u w:val="single"/>
              </w:rPr>
              <w:t>:</w:t>
            </w:r>
            <w:r w:rsidR="00F125C3">
              <w:rPr>
                <w:rFonts w:cs="Arial"/>
                <w:b/>
                <w:u w:val="single"/>
              </w:rPr>
              <w:t xml:space="preserve">   </w:t>
            </w:r>
          </w:p>
          <w:p w:rsidR="009B666D" w:rsidRPr="009B666D" w:rsidRDefault="00BA4F28" w:rsidP="009B666D">
            <w:pPr>
              <w:spacing w:line="300" w:lineRule="atLeast"/>
              <w:ind w:left="149"/>
              <w:rPr>
                <w:rFonts w:cs="Arial"/>
              </w:rPr>
            </w:pPr>
            <w:r>
              <w:rPr>
                <w:rFonts w:cs="Arial"/>
              </w:rPr>
              <w:t xml:space="preserve">                          </w:t>
            </w:r>
            <w:r w:rsidR="009B666D" w:rsidRPr="009B666D">
              <w:rPr>
                <w:rFonts w:cs="Arial"/>
              </w:rPr>
              <w:t xml:space="preserve">p/kWh = </w:t>
            </w:r>
            <w:r w:rsidR="009B666D" w:rsidRPr="008F7E5E">
              <w:rPr>
                <w:rFonts w:cs="Arial"/>
                <w:b/>
              </w:rPr>
              <w:t>1247</w:t>
            </w:r>
            <w:r w:rsidR="009B666D" w:rsidRPr="009B666D">
              <w:rPr>
                <w:rFonts w:cs="Arial"/>
              </w:rPr>
              <w:t xml:space="preserve"> x </w:t>
            </w:r>
            <w:r w:rsidR="009B666D" w:rsidRPr="008F7E5E">
              <w:rPr>
                <w:rFonts w:cs="Arial"/>
                <w:b/>
              </w:rPr>
              <w:t>M</w:t>
            </w:r>
            <w:r w:rsidR="009B666D" w:rsidRPr="009B666D">
              <w:rPr>
                <w:rFonts w:cs="Arial"/>
              </w:rPr>
              <w:t xml:space="preserve"> ^-</w:t>
            </w:r>
            <w:r w:rsidR="009B666D" w:rsidRPr="008F7E5E">
              <w:rPr>
                <w:rFonts w:cs="Arial"/>
                <w:b/>
              </w:rPr>
              <w:t>0.78</w:t>
            </w:r>
            <w:r w:rsidR="009B666D" w:rsidRPr="009B666D">
              <w:rPr>
                <w:rFonts w:cs="Arial"/>
              </w:rPr>
              <w:t xml:space="preserve"> x D + </w:t>
            </w:r>
            <w:r w:rsidR="009B666D" w:rsidRPr="008F7E5E">
              <w:rPr>
                <w:rFonts w:cs="Arial"/>
                <w:b/>
              </w:rPr>
              <w:t>1422</w:t>
            </w:r>
            <w:r w:rsidR="009B666D" w:rsidRPr="009B666D">
              <w:rPr>
                <w:rFonts w:cs="Arial"/>
              </w:rPr>
              <w:t xml:space="preserve"> x </w:t>
            </w:r>
            <w:r w:rsidR="009B666D" w:rsidRPr="008F7E5E">
              <w:rPr>
                <w:rFonts w:cs="Arial"/>
                <w:b/>
              </w:rPr>
              <w:t>M</w:t>
            </w:r>
            <w:r w:rsidR="009B666D" w:rsidRPr="009B666D">
              <w:rPr>
                <w:rFonts w:cs="Arial"/>
              </w:rPr>
              <w:t xml:space="preserve"> ^-</w:t>
            </w:r>
            <w:r w:rsidR="009B666D" w:rsidRPr="008F7E5E">
              <w:rPr>
                <w:rFonts w:cs="Arial"/>
                <w:b/>
              </w:rPr>
              <w:t>0.708</w:t>
            </w:r>
          </w:p>
          <w:p w:rsidR="009B666D" w:rsidRPr="009B666D" w:rsidRDefault="009B666D" w:rsidP="009B666D">
            <w:pPr>
              <w:spacing w:line="300" w:lineRule="atLeast"/>
              <w:ind w:left="149"/>
              <w:rPr>
                <w:rFonts w:cs="Arial"/>
              </w:rPr>
            </w:pPr>
            <w:r w:rsidRPr="009B666D">
              <w:rPr>
                <w:rFonts w:cs="Arial"/>
              </w:rPr>
              <w:t>Where:</w:t>
            </w:r>
          </w:p>
          <w:p w:rsidR="009B666D" w:rsidRPr="009B666D" w:rsidRDefault="009B666D" w:rsidP="009B666D">
            <w:pPr>
              <w:spacing w:line="300" w:lineRule="atLeast"/>
              <w:ind w:left="149"/>
              <w:rPr>
                <w:rFonts w:cs="Arial"/>
              </w:rPr>
            </w:pPr>
            <w:r w:rsidRPr="00BA4F28">
              <w:rPr>
                <w:rFonts w:cs="Arial"/>
                <w:b/>
              </w:rPr>
              <w:t>D</w:t>
            </w:r>
            <w:r w:rsidRPr="009B666D">
              <w:rPr>
                <w:rFonts w:cs="Arial"/>
              </w:rPr>
              <w:t xml:space="preserve"> is the direct distance of the site or non-National Grid NTS Pipeline to the elected Entry Terminal.</w:t>
            </w:r>
          </w:p>
          <w:p w:rsidR="009B666D" w:rsidRPr="009B666D" w:rsidRDefault="009B666D" w:rsidP="009B666D">
            <w:pPr>
              <w:spacing w:line="300" w:lineRule="atLeast"/>
              <w:ind w:left="149"/>
              <w:rPr>
                <w:rFonts w:cs="Arial"/>
              </w:rPr>
            </w:pPr>
            <w:r w:rsidRPr="00BA4F28">
              <w:rPr>
                <w:rFonts w:cs="Arial"/>
                <w:b/>
              </w:rPr>
              <w:t>M</w:t>
            </w:r>
            <w:r w:rsidRPr="009B666D">
              <w:rPr>
                <w:rFonts w:cs="Arial"/>
              </w:rPr>
              <w:t xml:space="preserve"> is the aggregate of the </w:t>
            </w:r>
            <w:r w:rsidR="00F125C3">
              <w:rPr>
                <w:rFonts w:cs="Arial"/>
              </w:rPr>
              <w:t xml:space="preserve">daily UDQO </w:t>
            </w:r>
            <w:r w:rsidRPr="009B666D">
              <w:rPr>
                <w:rFonts w:cs="Arial"/>
              </w:rPr>
              <w:t xml:space="preserve">in kWh/day at the </w:t>
            </w:r>
            <w:r w:rsidR="00F125C3">
              <w:rPr>
                <w:rFonts w:cs="Arial"/>
              </w:rPr>
              <w:t>relevant NTS E</w:t>
            </w:r>
            <w:r w:rsidRPr="009B666D">
              <w:rPr>
                <w:rFonts w:cs="Arial"/>
              </w:rPr>
              <w:t xml:space="preserve">xit </w:t>
            </w:r>
            <w:r w:rsidR="00F125C3">
              <w:rPr>
                <w:rFonts w:cs="Arial"/>
              </w:rPr>
              <w:t>P</w:t>
            </w:r>
            <w:r w:rsidRPr="009B666D">
              <w:rPr>
                <w:rFonts w:cs="Arial"/>
              </w:rPr>
              <w:t>oint from the previous Gas Year</w:t>
            </w:r>
            <w:r w:rsidR="00BA4F28">
              <w:rPr>
                <w:rFonts w:cs="Arial"/>
              </w:rPr>
              <w:t xml:space="preserve"> </w:t>
            </w:r>
            <w:r w:rsidRPr="009B666D">
              <w:rPr>
                <w:rFonts w:cs="Arial"/>
              </w:rPr>
              <w:t>divided by the number of days in the previous Gas Year and further divided by 75% except:</w:t>
            </w:r>
          </w:p>
          <w:p w:rsidR="00BA4F28" w:rsidRPr="00BA4F28" w:rsidRDefault="009B666D" w:rsidP="00BA4F28">
            <w:pPr>
              <w:pStyle w:val="ListParagraph"/>
              <w:numPr>
                <w:ilvl w:val="0"/>
                <w:numId w:val="19"/>
              </w:numPr>
              <w:spacing w:line="300" w:lineRule="atLeast"/>
              <w:ind w:left="1000" w:hanging="567"/>
              <w:rPr>
                <w:rFonts w:cs="Arial"/>
              </w:rPr>
            </w:pPr>
            <w:r w:rsidRPr="00BA4F28">
              <w:rPr>
                <w:rFonts w:cs="Arial"/>
              </w:rPr>
              <w:t xml:space="preserve">where the site is new and hence there is no flow history, retain the </w:t>
            </w:r>
            <w:r w:rsidR="00BA4F28" w:rsidRPr="00BA4F28">
              <w:rPr>
                <w:rFonts w:cs="Arial"/>
              </w:rPr>
              <w:t xml:space="preserve">          </w:t>
            </w:r>
          </w:p>
          <w:p w:rsidR="009B666D" w:rsidRPr="009B666D" w:rsidRDefault="00BA4F28" w:rsidP="00BA4F28">
            <w:pPr>
              <w:pStyle w:val="ListParagraph"/>
              <w:spacing w:line="300" w:lineRule="atLeast"/>
              <w:ind w:left="1000" w:hanging="567"/>
              <w:rPr>
                <w:rFonts w:cs="Arial"/>
              </w:rPr>
            </w:pPr>
            <w:r>
              <w:rPr>
                <w:rFonts w:cs="Arial"/>
              </w:rPr>
              <w:t xml:space="preserve">          </w:t>
            </w:r>
            <w:r w:rsidR="009B666D" w:rsidRPr="00BA4F28">
              <w:rPr>
                <w:rFonts w:cs="Arial"/>
              </w:rPr>
              <w:t>existing formula for M of 24 times</w:t>
            </w:r>
            <w:r>
              <w:rPr>
                <w:rFonts w:cs="Arial"/>
              </w:rPr>
              <w:t xml:space="preserve"> </w:t>
            </w:r>
            <w:r w:rsidR="009B666D" w:rsidRPr="009B666D">
              <w:rPr>
                <w:rFonts w:cs="Arial"/>
              </w:rPr>
              <w:t>the Maximum NTS Exit Point Offtake Rate</w:t>
            </w:r>
          </w:p>
          <w:p w:rsidR="00BA4F28" w:rsidRPr="00BA4F28" w:rsidRDefault="009B666D" w:rsidP="00BA4F28">
            <w:pPr>
              <w:pStyle w:val="ListParagraph"/>
              <w:numPr>
                <w:ilvl w:val="0"/>
                <w:numId w:val="19"/>
              </w:numPr>
              <w:spacing w:line="300" w:lineRule="atLeast"/>
              <w:ind w:left="1000" w:hanging="567"/>
              <w:rPr>
                <w:rFonts w:cs="Arial"/>
              </w:rPr>
            </w:pPr>
            <w:r w:rsidRPr="00BA4F28">
              <w:rPr>
                <w:rFonts w:cs="Arial"/>
              </w:rPr>
              <w:t xml:space="preserve">for an NTS Exit Point in respect of a pipeline interconnector having no </w:t>
            </w:r>
            <w:r w:rsidR="00BA4F28" w:rsidRPr="00BA4F28">
              <w:rPr>
                <w:rFonts w:cs="Arial"/>
              </w:rPr>
              <w:t xml:space="preserve">     </w:t>
            </w:r>
          </w:p>
          <w:p w:rsidR="009B666D" w:rsidRPr="009B666D" w:rsidRDefault="00BA4F28" w:rsidP="00BA4F28">
            <w:pPr>
              <w:pStyle w:val="ListParagraph"/>
              <w:spacing w:line="300" w:lineRule="atLeast"/>
              <w:ind w:left="1000" w:hanging="567"/>
              <w:rPr>
                <w:rFonts w:cs="Arial"/>
              </w:rPr>
            </w:pPr>
            <w:r>
              <w:rPr>
                <w:rFonts w:cs="Arial"/>
              </w:rPr>
              <w:t xml:space="preserve">          </w:t>
            </w:r>
            <w:r w:rsidR="009B666D" w:rsidRPr="00BA4F28">
              <w:rPr>
                <w:rFonts w:cs="Arial"/>
              </w:rPr>
              <w:t>physical exit capability, M is the</w:t>
            </w:r>
            <w:r>
              <w:rPr>
                <w:rFonts w:cs="Arial"/>
              </w:rPr>
              <w:t xml:space="preserve"> </w:t>
            </w:r>
            <w:r w:rsidR="009B666D" w:rsidRPr="009B666D">
              <w:rPr>
                <w:rFonts w:cs="Arial"/>
              </w:rPr>
              <w:t>aggregate of the allocated daily energy in kWh/day from the previous Gas Year divided by the number</w:t>
            </w:r>
            <w:r>
              <w:rPr>
                <w:rFonts w:cs="Arial"/>
              </w:rPr>
              <w:t xml:space="preserve"> </w:t>
            </w:r>
            <w:r w:rsidR="009B666D" w:rsidRPr="009B666D">
              <w:rPr>
                <w:rFonts w:cs="Arial"/>
              </w:rPr>
              <w:t>of days in the Gas Year and further divided by 75% to the NTS at the System Entry Point associated</w:t>
            </w:r>
            <w:r>
              <w:rPr>
                <w:rFonts w:cs="Arial"/>
              </w:rPr>
              <w:t xml:space="preserve"> </w:t>
            </w:r>
            <w:r w:rsidR="009B666D" w:rsidRPr="009B666D">
              <w:rPr>
                <w:rFonts w:cs="Arial"/>
              </w:rPr>
              <w:t>with such Connected Delivery Facility.</w:t>
            </w:r>
          </w:p>
          <w:p w:rsidR="009B666D" w:rsidRPr="009B666D" w:rsidRDefault="009B666D" w:rsidP="009B666D">
            <w:pPr>
              <w:spacing w:line="300" w:lineRule="atLeast"/>
              <w:ind w:left="149"/>
              <w:rPr>
                <w:rFonts w:cs="Arial"/>
              </w:rPr>
            </w:pPr>
            <w:r w:rsidRPr="009B666D">
              <w:rPr>
                <w:rFonts w:cs="Arial"/>
              </w:rPr>
              <w:t>^ means ‘to the power of’.</w:t>
            </w:r>
          </w:p>
          <w:p w:rsidR="00D5615E" w:rsidRDefault="009B666D" w:rsidP="009B666D">
            <w:pPr>
              <w:spacing w:line="300" w:lineRule="atLeast"/>
              <w:ind w:left="149"/>
              <w:rPr>
                <w:rFonts w:cs="Arial"/>
              </w:rPr>
            </w:pPr>
            <w:r w:rsidRPr="009B666D">
              <w:rPr>
                <w:rFonts w:cs="Arial"/>
              </w:rPr>
              <w:t>The update to the parameters would be effective for all sites availing of the OCC from the time of</w:t>
            </w:r>
            <w:r w:rsidR="00BA4F28">
              <w:rPr>
                <w:rFonts w:cs="Arial"/>
              </w:rPr>
              <w:t xml:space="preserve"> </w:t>
            </w:r>
            <w:r w:rsidRPr="009B666D">
              <w:rPr>
                <w:rFonts w:cs="Arial"/>
              </w:rPr>
              <w:t>implementation of the Mod and no further updates are envisaged prior to October 2019.</w:t>
            </w:r>
          </w:p>
          <w:p w:rsidR="009B666D" w:rsidRDefault="009B666D" w:rsidP="009B666D">
            <w:pPr>
              <w:spacing w:line="300" w:lineRule="atLeast"/>
              <w:ind w:left="149"/>
              <w:rPr>
                <w:rFonts w:cs="Arial"/>
              </w:rPr>
            </w:pPr>
            <w:r w:rsidRPr="009B666D">
              <w:rPr>
                <w:rFonts w:cs="Arial"/>
              </w:rPr>
              <w:lastRenderedPageBreak/>
              <w:t>Thereafter, an annual process would update M each April commencing April 2019 for effect from the following</w:t>
            </w:r>
            <w:r w:rsidR="0064174C">
              <w:rPr>
                <w:rFonts w:cs="Arial"/>
              </w:rPr>
              <w:t xml:space="preserve"> </w:t>
            </w:r>
            <w:r w:rsidRPr="009B666D">
              <w:rPr>
                <w:rFonts w:cs="Arial"/>
              </w:rPr>
              <w:t>October in the event that this Mod is not superseded by code changes necessary for EU TAR compliance.</w:t>
            </w:r>
          </w:p>
          <w:p w:rsidR="009B666D" w:rsidRPr="009B666D" w:rsidRDefault="009B666D" w:rsidP="009B666D">
            <w:pPr>
              <w:spacing w:line="300" w:lineRule="atLeast"/>
              <w:ind w:left="149"/>
              <w:rPr>
                <w:rFonts w:cs="Arial"/>
              </w:rPr>
            </w:pPr>
            <w:r w:rsidRPr="009B666D">
              <w:rPr>
                <w:rFonts w:cs="Arial"/>
              </w:rPr>
              <w:t>For the avoidance of doubt:</w:t>
            </w:r>
          </w:p>
          <w:p w:rsidR="009B666D" w:rsidRPr="009B666D" w:rsidRDefault="009B666D" w:rsidP="009B666D">
            <w:pPr>
              <w:spacing w:line="300" w:lineRule="atLeast"/>
              <w:ind w:left="149"/>
              <w:rPr>
                <w:rFonts w:cs="Arial"/>
              </w:rPr>
            </w:pPr>
            <w:r w:rsidRPr="009B666D">
              <w:rPr>
                <w:rFonts w:cs="Arial"/>
              </w:rPr>
              <w:t>(i) At the time of calculation of the charge rates (which will be subject to the 2 months’ notice of charges),</w:t>
            </w:r>
            <w:r w:rsidR="00BA4F28">
              <w:rPr>
                <w:rFonts w:cs="Arial"/>
              </w:rPr>
              <w:t xml:space="preserve"> </w:t>
            </w:r>
            <w:r w:rsidRPr="009B666D">
              <w:rPr>
                <w:rFonts w:cs="Arial"/>
              </w:rPr>
              <w:t xml:space="preserve">the average </w:t>
            </w:r>
            <w:r w:rsidR="00F125C3">
              <w:rPr>
                <w:rFonts w:cs="Arial"/>
              </w:rPr>
              <w:t xml:space="preserve">daily UDQO </w:t>
            </w:r>
            <w:r w:rsidRPr="009B666D">
              <w:rPr>
                <w:rFonts w:cs="Arial"/>
              </w:rPr>
              <w:t>will take the latest gas year for which data is available –</w:t>
            </w:r>
          </w:p>
          <w:p w:rsidR="009B666D" w:rsidRPr="009B666D" w:rsidRDefault="009B666D" w:rsidP="009B666D">
            <w:pPr>
              <w:spacing w:line="300" w:lineRule="atLeast"/>
              <w:ind w:left="149"/>
              <w:rPr>
                <w:rFonts w:cs="Arial"/>
              </w:rPr>
            </w:pPr>
            <w:r w:rsidRPr="009B666D">
              <w:rPr>
                <w:rFonts w:cs="Arial"/>
              </w:rPr>
              <w:t>For example</w:t>
            </w:r>
            <w:r w:rsidR="00F125C3">
              <w:rPr>
                <w:rFonts w:cs="Arial"/>
              </w:rPr>
              <w:t>,</w:t>
            </w:r>
            <w:r w:rsidRPr="009B666D">
              <w:rPr>
                <w:rFonts w:cs="Arial"/>
              </w:rPr>
              <w:t xml:space="preserve"> implementation anytime between 1</w:t>
            </w:r>
            <w:r w:rsidR="00F125C3">
              <w:rPr>
                <w:rFonts w:cs="Arial"/>
              </w:rPr>
              <w:t>st</w:t>
            </w:r>
            <w:r w:rsidRPr="009B666D">
              <w:rPr>
                <w:rFonts w:cs="Arial"/>
              </w:rPr>
              <w:t xml:space="preserve"> April and 1</w:t>
            </w:r>
            <w:r w:rsidR="00F125C3">
              <w:rPr>
                <w:rFonts w:cs="Arial"/>
              </w:rPr>
              <w:t>st</w:t>
            </w:r>
            <w:r w:rsidRPr="009B666D">
              <w:rPr>
                <w:rFonts w:cs="Arial"/>
              </w:rPr>
              <w:t xml:space="preserve"> October </w:t>
            </w:r>
            <w:r w:rsidR="00F125C3">
              <w:rPr>
                <w:rFonts w:cs="Arial"/>
              </w:rPr>
              <w:t>20</w:t>
            </w:r>
            <w:r w:rsidRPr="009B666D">
              <w:rPr>
                <w:rFonts w:cs="Arial"/>
              </w:rPr>
              <w:t>18 will use data from the Gas</w:t>
            </w:r>
            <w:r w:rsidR="00BA4F28">
              <w:rPr>
                <w:rFonts w:cs="Arial"/>
              </w:rPr>
              <w:t xml:space="preserve"> </w:t>
            </w:r>
            <w:r w:rsidRPr="009B666D">
              <w:rPr>
                <w:rFonts w:cs="Arial"/>
              </w:rPr>
              <w:t xml:space="preserve">Year </w:t>
            </w:r>
            <w:r w:rsidR="002958D5">
              <w:rPr>
                <w:rFonts w:cs="Arial"/>
              </w:rPr>
              <w:t>1</w:t>
            </w:r>
            <w:r w:rsidR="002958D5" w:rsidRPr="002958D5">
              <w:rPr>
                <w:rFonts w:cs="Arial"/>
                <w:vertAlign w:val="superscript"/>
              </w:rPr>
              <w:t>st</w:t>
            </w:r>
            <w:r w:rsidR="002958D5">
              <w:rPr>
                <w:rFonts w:cs="Arial"/>
              </w:rPr>
              <w:t xml:space="preserve"> </w:t>
            </w:r>
            <w:r w:rsidRPr="009B666D">
              <w:rPr>
                <w:rFonts w:cs="Arial"/>
              </w:rPr>
              <w:t xml:space="preserve">October </w:t>
            </w:r>
            <w:r w:rsidR="00F125C3">
              <w:rPr>
                <w:rFonts w:cs="Arial"/>
              </w:rPr>
              <w:t>20</w:t>
            </w:r>
            <w:r w:rsidRPr="009B666D">
              <w:rPr>
                <w:rFonts w:cs="Arial"/>
              </w:rPr>
              <w:t xml:space="preserve">16 to </w:t>
            </w:r>
            <w:r w:rsidR="002958D5">
              <w:rPr>
                <w:rFonts w:cs="Arial"/>
              </w:rPr>
              <w:t>30</w:t>
            </w:r>
            <w:r w:rsidR="002958D5" w:rsidRPr="002958D5">
              <w:rPr>
                <w:rFonts w:cs="Arial"/>
                <w:vertAlign w:val="superscript"/>
              </w:rPr>
              <w:t>th</w:t>
            </w:r>
            <w:r w:rsidR="002958D5">
              <w:rPr>
                <w:rFonts w:cs="Arial"/>
              </w:rPr>
              <w:t xml:space="preserve"> </w:t>
            </w:r>
            <w:r w:rsidRPr="009B666D">
              <w:rPr>
                <w:rFonts w:cs="Arial"/>
              </w:rPr>
              <w:t xml:space="preserve">September </w:t>
            </w:r>
            <w:r w:rsidR="00F125C3">
              <w:rPr>
                <w:rFonts w:cs="Arial"/>
              </w:rPr>
              <w:t>20</w:t>
            </w:r>
            <w:r w:rsidRPr="009B666D">
              <w:rPr>
                <w:rFonts w:cs="Arial"/>
              </w:rPr>
              <w:t>17.</w:t>
            </w:r>
          </w:p>
          <w:p w:rsidR="009B666D" w:rsidRPr="009B666D" w:rsidRDefault="009B666D" w:rsidP="009B666D">
            <w:pPr>
              <w:spacing w:line="300" w:lineRule="atLeast"/>
              <w:ind w:left="149"/>
              <w:rPr>
                <w:rFonts w:cs="Arial"/>
              </w:rPr>
            </w:pPr>
            <w:r w:rsidRPr="009B666D">
              <w:rPr>
                <w:rFonts w:cs="Arial"/>
              </w:rPr>
              <w:t xml:space="preserve">(ii) </w:t>
            </w:r>
            <w:r w:rsidR="00BA4F28">
              <w:rPr>
                <w:rFonts w:cs="Arial"/>
              </w:rPr>
              <w:t xml:space="preserve"> </w:t>
            </w:r>
            <w:r w:rsidRPr="009B666D">
              <w:rPr>
                <w:rFonts w:cs="Arial"/>
              </w:rPr>
              <w:t>M = (</w:t>
            </w:r>
            <w:r w:rsidR="0043727A" w:rsidRPr="009B666D">
              <w:rPr>
                <w:rFonts w:cs="Arial"/>
              </w:rPr>
              <w:t>ΣE</w:t>
            </w:r>
            <w:r w:rsidRPr="009B666D">
              <w:rPr>
                <w:rFonts w:cs="Arial"/>
              </w:rPr>
              <w:t xml:space="preserve">) / N x 100 / 75 where E is the </w:t>
            </w:r>
            <w:r w:rsidR="00BA4F28">
              <w:rPr>
                <w:rFonts w:cs="Arial"/>
              </w:rPr>
              <w:t>UDQO</w:t>
            </w:r>
            <w:r w:rsidRPr="009B666D">
              <w:rPr>
                <w:rFonts w:cs="Arial"/>
              </w:rPr>
              <w:t xml:space="preserve"> for each day of the relevant Gas Year</w:t>
            </w:r>
            <w:r w:rsidR="00BA4F28">
              <w:rPr>
                <w:rFonts w:cs="Arial"/>
              </w:rPr>
              <w:t xml:space="preserve"> </w:t>
            </w:r>
            <w:r w:rsidRPr="009B666D">
              <w:rPr>
                <w:rFonts w:cs="Arial"/>
              </w:rPr>
              <w:t xml:space="preserve">at the </w:t>
            </w:r>
            <w:r w:rsidR="0043727A">
              <w:rPr>
                <w:rFonts w:cs="Arial"/>
              </w:rPr>
              <w:t xml:space="preserve">NTS </w:t>
            </w:r>
            <w:r w:rsidRPr="009B666D">
              <w:rPr>
                <w:rFonts w:cs="Arial"/>
              </w:rPr>
              <w:t>exit point and N is the number of days in the relevant Gas Year</w:t>
            </w:r>
          </w:p>
          <w:p w:rsidR="009B666D" w:rsidRPr="009B666D" w:rsidRDefault="009B666D" w:rsidP="009B666D">
            <w:pPr>
              <w:spacing w:line="300" w:lineRule="atLeast"/>
              <w:ind w:left="149"/>
              <w:rPr>
                <w:rFonts w:cs="Arial"/>
              </w:rPr>
            </w:pPr>
            <w:r w:rsidRPr="009B666D">
              <w:rPr>
                <w:rFonts w:cs="Arial"/>
              </w:rPr>
              <w:t>(iii) The 75% divisor converts an annual daily load to a notional peak day load which determines an</w:t>
            </w:r>
            <w:r w:rsidR="00BA4F28">
              <w:rPr>
                <w:rFonts w:cs="Arial"/>
              </w:rPr>
              <w:t xml:space="preserve"> </w:t>
            </w:r>
            <w:r w:rsidRPr="009B666D">
              <w:rPr>
                <w:rFonts w:cs="Arial"/>
              </w:rPr>
              <w:t>appropriate pipe building cost estimate which is then used to derive the unit rate. The value of 75% is</w:t>
            </w:r>
            <w:r w:rsidR="00BA4F28">
              <w:rPr>
                <w:rFonts w:cs="Arial"/>
              </w:rPr>
              <w:t xml:space="preserve"> </w:t>
            </w:r>
            <w:r w:rsidRPr="009B666D">
              <w:rPr>
                <w:rFonts w:cs="Arial"/>
              </w:rPr>
              <w:t>consistent with the assumption embedded in the current OCC formula.</w:t>
            </w:r>
          </w:p>
          <w:p w:rsidR="009B666D" w:rsidRPr="009B666D" w:rsidRDefault="009B666D" w:rsidP="009B666D">
            <w:pPr>
              <w:spacing w:line="300" w:lineRule="atLeast"/>
              <w:ind w:left="149"/>
              <w:rPr>
                <w:rFonts w:cs="Arial"/>
              </w:rPr>
            </w:pPr>
            <w:r w:rsidRPr="009B666D">
              <w:rPr>
                <w:rFonts w:cs="Arial"/>
              </w:rPr>
              <w:t xml:space="preserve">(iv) A new site ceases to be new if at the annual update it has at least a full Gas Year’s </w:t>
            </w:r>
            <w:r w:rsidR="00BA4F28">
              <w:rPr>
                <w:rFonts w:cs="Arial"/>
              </w:rPr>
              <w:t xml:space="preserve">UDQO </w:t>
            </w:r>
            <w:r w:rsidRPr="009B666D">
              <w:rPr>
                <w:rFonts w:cs="Arial"/>
              </w:rPr>
              <w:t>history</w:t>
            </w:r>
            <w:r w:rsidR="00BA4F28">
              <w:rPr>
                <w:rFonts w:cs="Arial"/>
              </w:rPr>
              <w:t xml:space="preserve"> </w:t>
            </w:r>
            <w:r w:rsidRPr="009B666D">
              <w:rPr>
                <w:rFonts w:cs="Arial"/>
              </w:rPr>
              <w:t xml:space="preserve">(even though some </w:t>
            </w:r>
            <w:r w:rsidR="00BA4F28">
              <w:rPr>
                <w:rFonts w:cs="Arial"/>
              </w:rPr>
              <w:t xml:space="preserve">UDQO </w:t>
            </w:r>
            <w:r w:rsidRPr="009B666D">
              <w:rPr>
                <w:rFonts w:cs="Arial"/>
              </w:rPr>
              <w:t>could be zero)</w:t>
            </w:r>
          </w:p>
          <w:p w:rsidR="00F7139E" w:rsidRPr="00B2268C" w:rsidRDefault="009B666D" w:rsidP="0064174C">
            <w:pPr>
              <w:spacing w:line="300" w:lineRule="atLeast"/>
              <w:ind w:left="149"/>
              <w:rPr>
                <w:rFonts w:cs="Arial"/>
              </w:rPr>
            </w:pPr>
            <w:r w:rsidRPr="009B666D">
              <w:rPr>
                <w:rFonts w:cs="Arial"/>
              </w:rPr>
              <w:t>(v) M for a seasonal site will have its value calculated in the same way as a non-seasonal site and zero</w:t>
            </w:r>
            <w:r w:rsidR="00BA4F28">
              <w:rPr>
                <w:rFonts w:cs="Arial"/>
              </w:rPr>
              <w:t xml:space="preserve"> </w:t>
            </w:r>
            <w:r w:rsidRPr="009B666D">
              <w:rPr>
                <w:rFonts w:cs="Arial"/>
              </w:rPr>
              <w:t>allocation values will be included in the calculation of ΣE.</w:t>
            </w:r>
          </w:p>
        </w:tc>
      </w:tr>
      <w:tr w:rsidR="005864A3" w:rsidTr="007075D1">
        <w:trPr>
          <w:cantSplit/>
          <w:trHeight w:val="1972"/>
        </w:trPr>
        <w:tc>
          <w:tcPr>
            <w:tcW w:w="1694" w:type="dxa"/>
            <w:shd w:val="clear" w:color="auto" w:fill="B8CCE4" w:themeFill="accent1" w:themeFillTint="66"/>
          </w:tcPr>
          <w:p w:rsidR="005864A3" w:rsidRDefault="003B05CA" w:rsidP="005864A3">
            <w:pPr>
              <w:rPr>
                <w:b/>
              </w:rPr>
            </w:pPr>
            <w:r>
              <w:rPr>
                <w:b/>
              </w:rPr>
              <w:lastRenderedPageBreak/>
              <w:t xml:space="preserve">The Proposer’s </w:t>
            </w:r>
            <w:r w:rsidR="00FC6595">
              <w:rPr>
                <w:b/>
              </w:rPr>
              <w:t xml:space="preserve">Reason(s) for </w:t>
            </w:r>
            <w:r>
              <w:rPr>
                <w:b/>
              </w:rPr>
              <w:t xml:space="preserve">the </w:t>
            </w:r>
            <w:r w:rsidR="00FC6595">
              <w:rPr>
                <w:b/>
              </w:rPr>
              <w:t>proposed service change</w:t>
            </w:r>
          </w:p>
          <w:p w:rsidR="000B0E56" w:rsidRPr="00C2627B" w:rsidRDefault="000B0E56" w:rsidP="005864A3"/>
        </w:tc>
        <w:tc>
          <w:tcPr>
            <w:tcW w:w="8195" w:type="dxa"/>
            <w:gridSpan w:val="4"/>
          </w:tcPr>
          <w:p w:rsidR="00782813" w:rsidRDefault="0043727A" w:rsidP="00D171A6">
            <w:pPr>
              <w:autoSpaceDE w:val="0"/>
              <w:autoSpaceDN w:val="0"/>
              <w:adjustRightInd w:val="0"/>
            </w:pPr>
            <w:r>
              <w:rPr>
                <w:rFonts w:ascii="ArialMT" w:hAnsi="ArialMT" w:cs="ArialMT"/>
                <w:szCs w:val="20"/>
                <w:lang w:eastAsia="en-GB"/>
              </w:rPr>
              <w:t>Proposer’s Reasons can be found</w:t>
            </w:r>
            <w:r w:rsidR="008F7E5E">
              <w:rPr>
                <w:rFonts w:ascii="ArialMT" w:hAnsi="ArialMT" w:cs="ArialMT"/>
                <w:szCs w:val="20"/>
                <w:lang w:eastAsia="en-GB"/>
              </w:rPr>
              <w:t xml:space="preserve"> at</w:t>
            </w:r>
            <w:r>
              <w:rPr>
                <w:rFonts w:ascii="ArialMT" w:hAnsi="ArialMT" w:cs="ArialMT"/>
                <w:szCs w:val="20"/>
                <w:lang w:eastAsia="en-GB"/>
              </w:rPr>
              <w:t xml:space="preserve">: </w:t>
            </w:r>
            <w:hyperlink r:id="rId12" w:history="1">
              <w:r w:rsidR="00D163F5" w:rsidRPr="00D163F5">
                <w:rPr>
                  <w:rStyle w:val="Hyperlink"/>
                </w:rPr>
                <w:t>Joint Office 0636</w:t>
              </w:r>
              <w:r w:rsidR="00BE0AE1">
                <w:rPr>
                  <w:rStyle w:val="Hyperlink"/>
                </w:rPr>
                <w:t>C</w:t>
              </w:r>
            </w:hyperlink>
            <w:r w:rsidR="00D163F5">
              <w:t xml:space="preserve"> </w:t>
            </w:r>
          </w:p>
          <w:p w:rsidR="0000406F" w:rsidRDefault="0000406F" w:rsidP="00351467">
            <w:pPr>
              <w:spacing w:line="276" w:lineRule="auto"/>
            </w:pPr>
            <w:r>
              <w:t xml:space="preserve">It is proposed that the changes arising from this code modification be implemented </w:t>
            </w:r>
            <w:r w:rsidR="008F7E5E">
              <w:t>by 1st</w:t>
            </w:r>
            <w:r>
              <w:t xml:space="preserve"> October 2018 thereby saving up to </w:t>
            </w:r>
            <w:r w:rsidRPr="0000406F">
              <w:rPr>
                <w:b/>
              </w:rPr>
              <w:t>£223 million</w:t>
            </w:r>
            <w:r>
              <w:t xml:space="preserve"> in cross subsidies relative to the base case of waiting until October 2019. </w:t>
            </w:r>
          </w:p>
          <w:p w:rsidR="0000406F" w:rsidRPr="0000406F" w:rsidRDefault="0000406F" w:rsidP="00351467">
            <w:pPr>
              <w:spacing w:line="276" w:lineRule="auto"/>
            </w:pPr>
            <w:r>
              <w:t>All GB-EU Interconnector Points to be exempt from these changes until an enduring solution recognising the European Tariff Network Code requirements is implemented as anticipated under Modification Proposal 0621.</w:t>
            </w:r>
          </w:p>
        </w:tc>
      </w:tr>
      <w:tr w:rsidR="00B718F1" w:rsidTr="007075D1">
        <w:tc>
          <w:tcPr>
            <w:tcW w:w="3369"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782813" w:rsidP="006B35F1">
            <w:pPr>
              <w:rPr>
                <w:rFonts w:cs="Arial"/>
              </w:rPr>
            </w:pPr>
            <w:r>
              <w:rPr>
                <w:rFonts w:cs="Arial"/>
              </w:rPr>
              <w:t>In progress – Workgroup Report is required for consideration by the  Mod Panel on 1</w:t>
            </w:r>
            <w:r w:rsidR="006B35F1">
              <w:rPr>
                <w:rFonts w:cs="Arial"/>
              </w:rPr>
              <w:t>2</w:t>
            </w:r>
            <w:r w:rsidR="00D163F5" w:rsidRPr="00D163F5">
              <w:rPr>
                <w:rFonts w:cs="Arial"/>
                <w:vertAlign w:val="superscript"/>
              </w:rPr>
              <w:t>th</w:t>
            </w:r>
            <w:r w:rsidR="006B35F1">
              <w:rPr>
                <w:rFonts w:cs="Arial"/>
              </w:rPr>
              <w:t xml:space="preserve"> April</w:t>
            </w:r>
            <w:r w:rsidR="00D163F5">
              <w:rPr>
                <w:rFonts w:cs="Arial"/>
              </w:rPr>
              <w:t xml:space="preserve"> </w:t>
            </w:r>
            <w:r>
              <w:rPr>
                <w:rFonts w:cs="Arial"/>
              </w:rPr>
              <w:t>2018</w:t>
            </w:r>
          </w:p>
        </w:tc>
      </w:tr>
      <w:tr w:rsidR="001F148A" w:rsidTr="007075D1">
        <w:tc>
          <w:tcPr>
            <w:tcW w:w="3369"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A06BEC" w:rsidP="00D5615E">
            <w:pPr>
              <w:rPr>
                <w:rFonts w:cs="Arial"/>
              </w:rPr>
            </w:pPr>
            <w:r w:rsidRPr="00A06BEC">
              <w:rPr>
                <w:rFonts w:cs="Arial"/>
                <w:b/>
                <w:bCs/>
              </w:rPr>
              <w:t xml:space="preserve">UNC Modification </w:t>
            </w:r>
            <w:r w:rsidR="00385546">
              <w:rPr>
                <w:rFonts w:cs="Arial"/>
                <w:b/>
                <w:bCs/>
              </w:rPr>
              <w:t>0636 – Updating the parameters for the NTS Optional Commodity Charge</w:t>
            </w:r>
          </w:p>
        </w:tc>
      </w:tr>
      <w:tr w:rsidR="00B718F1" w:rsidTr="007075D1">
        <w:tc>
          <w:tcPr>
            <w:tcW w:w="3369"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Default="00F267F0" w:rsidP="00970BBA">
            <w:pPr>
              <w:spacing w:before="60" w:after="60"/>
              <w:rPr>
                <w:rFonts w:ascii="MS Gothic" w:eastAsia="MS Gothic" w:hAnsi="MS Gothic"/>
              </w:rPr>
            </w:pPr>
            <w:r>
              <w:rPr>
                <w:rFonts w:cs="Arial"/>
                <w:bCs/>
              </w:rPr>
              <w:t xml:space="preserve">See Mod </w:t>
            </w:r>
          </w:p>
        </w:tc>
      </w:tr>
      <w:tr w:rsidR="00B718F1" w:rsidTr="007075D1">
        <w:tc>
          <w:tcPr>
            <w:tcW w:w="3369"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Pr="00A06BEC" w:rsidRDefault="00D163F5" w:rsidP="002547AD">
            <w:pPr>
              <w:rPr>
                <w:rFonts w:eastAsia="MS Gothic" w:cs="Arial"/>
              </w:rPr>
            </w:pPr>
            <w:r>
              <w:rPr>
                <w:rFonts w:eastAsia="MS Gothic" w:cs="Arial"/>
              </w:rPr>
              <w:t>1</w:t>
            </w:r>
            <w:r w:rsidRPr="00D163F5">
              <w:rPr>
                <w:rFonts w:eastAsia="MS Gothic" w:cs="Arial"/>
                <w:vertAlign w:val="superscript"/>
              </w:rPr>
              <w:t>st</w:t>
            </w:r>
            <w:r>
              <w:rPr>
                <w:rFonts w:eastAsia="MS Gothic" w:cs="Arial"/>
              </w:rPr>
              <w:t xml:space="preserve"> October </w:t>
            </w:r>
            <w:r w:rsidR="00F267F0">
              <w:rPr>
                <w:rFonts w:eastAsia="MS Gothic" w:cs="Arial"/>
              </w:rPr>
              <w:t>2018</w:t>
            </w:r>
          </w:p>
        </w:tc>
      </w:tr>
      <w:tr w:rsidR="00B718F1" w:rsidTr="007075D1">
        <w:tc>
          <w:tcPr>
            <w:tcW w:w="3369"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C92351" w:rsidP="004363D0">
            <w:pPr>
              <w:rPr>
                <w:rFonts w:cs="Arial"/>
              </w:rPr>
            </w:pPr>
            <w:sdt>
              <w:sdtPr>
                <w:id w:val="-1452088850"/>
              </w:sdtPr>
              <w:sdtEndPr/>
              <w:sdtContent>
                <w:r w:rsidR="00782813">
                  <w:rPr>
                    <w:rFonts w:ascii="MS Gothic" w:eastAsia="MS Gothic" w:hAnsi="MS Gothic" w:hint="eastAsia"/>
                  </w:rPr>
                  <w:t>☒</w:t>
                </w:r>
              </w:sdtContent>
            </w:sdt>
            <w:r w:rsidR="00B718F1">
              <w:t>High</w:t>
            </w:r>
          </w:p>
          <w:p w:rsidR="00B718F1" w:rsidRDefault="00C92351" w:rsidP="004363D0">
            <w:sdt>
              <w:sdtPr>
                <w:id w:val="-918560144"/>
              </w:sdtPr>
              <w:sdtEndPr/>
              <w:sdtContent>
                <w:r w:rsidR="00E13C57">
                  <w:rPr>
                    <w:rFonts w:ascii="MS Gothic" w:eastAsia="MS Gothic" w:hAnsi="MS Gothic" w:hint="eastAsia"/>
                  </w:rPr>
                  <w:t>☐</w:t>
                </w:r>
              </w:sdtContent>
            </w:sdt>
            <w:r w:rsidR="00B718F1">
              <w:t>Medium</w:t>
            </w:r>
          </w:p>
          <w:p w:rsidR="00B718F1" w:rsidRDefault="00C92351" w:rsidP="004363D0">
            <w:sdt>
              <w:sdtPr>
                <w:id w:val="1202048263"/>
              </w:sdtPr>
              <w:sdtEndPr/>
              <w:sdtContent>
                <w:r w:rsidR="00B718F1">
                  <w:rPr>
                    <w:rFonts w:ascii="MS Gothic" w:eastAsia="MS Gothic" w:hAnsi="MS Gothic" w:hint="eastAsia"/>
                  </w:rPr>
                  <w:t>☐</w:t>
                </w:r>
              </w:sdtContent>
            </w:sdt>
            <w:r w:rsidR="00B718F1">
              <w:rPr>
                <w:rFonts w:cs="Arial"/>
              </w:rPr>
              <w:t>Low</w:t>
            </w:r>
          </w:p>
          <w:p w:rsidR="00B718F1" w:rsidRDefault="00B718F1" w:rsidP="005864A3">
            <w:pPr>
              <w:rPr>
                <w:rFonts w:ascii="MS Gothic" w:eastAsia="MS Gothic" w:hAnsi="MS Gothic"/>
              </w:rPr>
            </w:pPr>
            <w:r w:rsidRPr="0092424D">
              <w:t>Rationale for assessment:</w:t>
            </w:r>
            <w:r w:rsidR="00782813">
              <w:t xml:space="preserve"> High Impact Mod</w:t>
            </w:r>
          </w:p>
        </w:tc>
      </w:tr>
    </w:tbl>
    <w:p w:rsidR="009E710C" w:rsidRPr="009A2985" w:rsidRDefault="009E710C" w:rsidP="00F125C3">
      <w:pPr>
        <w:spacing w:before="0" w:after="0"/>
        <w:rPr>
          <w:b/>
          <w:bCs/>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tbl>
      <w:tblPr>
        <w:tblStyle w:val="TableGrid"/>
        <w:tblW w:w="9747" w:type="dxa"/>
        <w:tblLook w:val="04A0" w:firstRow="1" w:lastRow="0" w:firstColumn="1" w:lastColumn="0" w:noHBand="0" w:noVBand="1"/>
      </w:tblPr>
      <w:tblGrid>
        <w:gridCol w:w="4786"/>
        <w:gridCol w:w="4961"/>
      </w:tblGrid>
      <w:tr w:rsidR="00C22C88" w:rsidRPr="005633E5" w:rsidTr="00F7139E">
        <w:tc>
          <w:tcPr>
            <w:tcW w:w="4786"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4961" w:type="dxa"/>
          </w:tcPr>
          <w:p w:rsidR="00C22C88" w:rsidRPr="00B83A14" w:rsidRDefault="00C22C88" w:rsidP="004363D0">
            <w:pPr>
              <w:rPr>
                <w:b/>
              </w:rPr>
            </w:pPr>
            <w:r w:rsidRPr="00B83A14">
              <w:rPr>
                <w:b/>
              </w:rPr>
              <w:t>Evaluation Services</w:t>
            </w:r>
          </w:p>
          <w:p w:rsidR="00E6438A" w:rsidRDefault="00C92351" w:rsidP="004363D0">
            <w:sdt>
              <w:sdtPr>
                <w:id w:val="-686213400"/>
              </w:sdtPr>
              <w:sdtEndPr/>
              <w:sdtContent>
                <w:r w:rsidR="00C22C88">
                  <w:rPr>
                    <w:rFonts w:ascii="MS Gothic" w:eastAsia="MS Gothic" w:hAnsi="MS Gothic" w:hint="eastAsia"/>
                  </w:rPr>
                  <w:t>☐</w:t>
                </w:r>
              </w:sdtContent>
            </w:sdt>
            <w:r w:rsidR="00E6438A">
              <w:t>Initial Assessment</w:t>
            </w:r>
            <w:r w:rsidR="00CB0C1B">
              <w:t xml:space="preserve"> </w:t>
            </w:r>
          </w:p>
          <w:p w:rsidR="00C22C88" w:rsidRDefault="00C92351" w:rsidP="004363D0">
            <w:sdt>
              <w:sdtPr>
                <w:id w:val="1331867645"/>
              </w:sdtPr>
              <w:sdtEndPr/>
              <w:sdtContent>
                <w:r w:rsidR="008B2C2F">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C92351" w:rsidP="004363D0">
            <w:sdt>
              <w:sdtPr>
                <w:id w:val="851376898"/>
              </w:sdtPr>
              <w:sdtEndPr/>
              <w:sdtContent>
                <w:r w:rsidR="00C22C88">
                  <w:rPr>
                    <w:rFonts w:ascii="MS Gothic" w:eastAsia="MS Gothic" w:hAnsi="MS Gothic" w:hint="eastAsia"/>
                  </w:rPr>
                  <w:t>☐</w:t>
                </w:r>
              </w:sdtContent>
            </w:sdt>
            <w:r w:rsidR="00C22C88">
              <w:t>Firm Quote for Analysis</w:t>
            </w:r>
          </w:p>
          <w:p w:rsidR="00C22C88" w:rsidRPr="005633E5" w:rsidRDefault="00C92351" w:rsidP="004363D0">
            <w:pPr>
              <w:rPr>
                <w:color w:val="0070C0"/>
              </w:rPr>
            </w:pPr>
            <w:sdt>
              <w:sdtPr>
                <w:id w:val="-58095995"/>
              </w:sdtPr>
              <w:sdtEndPr/>
              <w:sdtContent>
                <w:r w:rsidR="008B2C2F">
                  <w:rPr>
                    <w:rFonts w:ascii="MS Gothic" w:eastAsia="MS Gothic" w:hAnsi="MS Gothic" w:hint="eastAsia"/>
                  </w:rPr>
                  <w:t>☐</w:t>
                </w:r>
              </w:sdtContent>
            </w:sdt>
            <w:r w:rsidR="00C22C88">
              <w:t xml:space="preserve">Firm Quote for both Analysis and Delivery </w:t>
            </w:r>
          </w:p>
        </w:tc>
      </w:tr>
      <w:tr w:rsidR="00B718F1" w:rsidRPr="005633E5" w:rsidTr="00F7139E">
        <w:tc>
          <w:tcPr>
            <w:tcW w:w="4786"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4961" w:type="dxa"/>
          </w:tcPr>
          <w:p w:rsidR="00B718F1" w:rsidRDefault="00C92351" w:rsidP="004363D0">
            <w:sdt>
              <w:sdtPr>
                <w:id w:val="1696040279"/>
              </w:sdtPr>
              <w:sdtEndPr/>
              <w:sdtContent>
                <w:r w:rsidR="00B718F1">
                  <w:rPr>
                    <w:rFonts w:ascii="MS Gothic" w:eastAsia="MS Gothic" w:hAnsi="MS Gothic" w:hint="eastAsia"/>
                  </w:rPr>
                  <w:t>☐</w:t>
                </w:r>
              </w:sdtContent>
            </w:sdt>
            <w:r w:rsidR="00B718F1">
              <w:t>Yes</w:t>
            </w:r>
          </w:p>
          <w:p w:rsidR="00B718F1" w:rsidRPr="00B83A14" w:rsidRDefault="00C92351" w:rsidP="004363D0">
            <w:pPr>
              <w:rPr>
                <w:b/>
              </w:rPr>
            </w:pPr>
            <w:sdt>
              <w:sdtPr>
                <w:id w:val="-1390867403"/>
              </w:sdtPr>
              <w:sdtEndPr/>
              <w:sdtContent>
                <w:r w:rsidR="00C3031F">
                  <w:rPr>
                    <w:rFonts w:ascii="MS Gothic" w:eastAsia="MS Gothic" w:hAnsi="MS Gothic" w:hint="eastAsia"/>
                  </w:rPr>
                  <w:t>☒</w:t>
                </w:r>
              </w:sdtContent>
            </w:sdt>
            <w:r w:rsidR="00B718F1">
              <w:t>No</w:t>
            </w:r>
          </w:p>
        </w:tc>
      </w:tr>
      <w:tr w:rsidR="000B0E56" w:rsidTr="00F7139E">
        <w:tc>
          <w:tcPr>
            <w:tcW w:w="4786"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4961" w:type="dxa"/>
          </w:tcPr>
          <w:p w:rsidR="000B0E56" w:rsidRDefault="00C92351" w:rsidP="000B0E56">
            <w:sdt>
              <w:sdtPr>
                <w:id w:val="1160112140"/>
              </w:sdtPr>
              <w:sdtEndPr/>
              <w:sdtContent>
                <w:r w:rsidR="00A06BEC">
                  <w:rPr>
                    <w:rFonts w:ascii="MS Gothic" w:eastAsia="MS Gothic" w:hAnsi="MS Gothic" w:hint="eastAsia"/>
                  </w:rPr>
                  <w:t>☒</w:t>
                </w:r>
              </w:sdtContent>
            </w:sdt>
            <w:r w:rsidR="000B0E56">
              <w:t xml:space="preserve">Yes </w:t>
            </w:r>
            <w:r w:rsidR="00B718F1">
              <w:t>(Mod Related)</w:t>
            </w:r>
          </w:p>
          <w:p w:rsidR="00B718F1" w:rsidRDefault="00C92351" w:rsidP="00B718F1">
            <w:sdt>
              <w:sdtPr>
                <w:id w:val="-40365571"/>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C92351" w:rsidP="000B0E56">
            <w:pPr>
              <w:rPr>
                <w:rFonts w:ascii="MS Gothic" w:eastAsia="MS Gothic" w:hAnsi="MS Gothic"/>
              </w:rPr>
            </w:pPr>
            <w:sdt>
              <w:sdtPr>
                <w:id w:val="1935010605"/>
              </w:sdtPr>
              <w:sdtEndPr/>
              <w:sdtContent>
                <w:r w:rsidR="000B0E56">
                  <w:rPr>
                    <w:rFonts w:ascii="MS Gothic" w:eastAsia="MS Gothic" w:hAnsi="MS Gothic" w:hint="eastAsia"/>
                  </w:rPr>
                  <w:t>☐</w:t>
                </w:r>
              </w:sdtContent>
            </w:sdt>
            <w:r w:rsidR="000B0E56">
              <w:t>No</w:t>
            </w:r>
          </w:p>
        </w:tc>
      </w:tr>
      <w:tr w:rsidR="000B0E56" w:rsidTr="00F7139E">
        <w:tc>
          <w:tcPr>
            <w:tcW w:w="4786"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4961" w:type="dxa"/>
          </w:tcPr>
          <w:p w:rsidR="000B0E56" w:rsidRDefault="00C92351" w:rsidP="00B174A5">
            <w:pPr>
              <w:rPr>
                <w:rFonts w:cs="Arial"/>
              </w:rPr>
            </w:pPr>
            <w:sdt>
              <w:sdtPr>
                <w:id w:val="-1112436449"/>
              </w:sdtPr>
              <w:sdtEndPr/>
              <w:sdtContent>
                <w:r w:rsidR="00C3031F">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rsidR="000B0E56" w:rsidRDefault="00C92351" w:rsidP="00B174A5">
            <w:sdt>
              <w:sdtPr>
                <w:id w:val="-1422410739"/>
              </w:sdtPr>
              <w:sdtEndPr/>
              <w:sdtContent>
                <w:r w:rsidR="00F02030">
                  <w:rPr>
                    <w:rFonts w:ascii="MS Gothic" w:eastAsia="MS Gothic" w:hAnsi="MS Gothic" w:hint="eastAsia"/>
                  </w:rPr>
                  <w:t>☐</w:t>
                </w:r>
              </w:sdtContent>
            </w:sdt>
            <w:r w:rsidR="000B0E56">
              <w:t>No</w:t>
            </w:r>
          </w:p>
          <w:p w:rsidR="000B0E56" w:rsidRDefault="000B0E56" w:rsidP="00B174A5">
            <w:r>
              <w:t>--------------------------------------------------------</w:t>
            </w:r>
            <w:r w:rsidR="002F7563">
              <w:t>--------------</w:t>
            </w:r>
          </w:p>
          <w:p w:rsidR="000B0E56" w:rsidRPr="0086357D" w:rsidRDefault="00C92351" w:rsidP="00B174A5">
            <w:pPr>
              <w:rPr>
                <w:rFonts w:cs="Arial"/>
              </w:rPr>
            </w:pPr>
            <w:sdt>
              <w:sdtPr>
                <w:id w:val="-1657831250"/>
              </w:sdtPr>
              <w:sdtEndPr/>
              <w:sdtContent>
                <w:r w:rsidR="00C3031F">
                  <w:rPr>
                    <w:rFonts w:ascii="MS Gothic" w:eastAsia="MS Gothic" w:hAnsi="MS Gothic" w:hint="eastAsia"/>
                  </w:rPr>
                  <w:t>☒</w:t>
                </w:r>
              </w:sdtContent>
            </w:sdt>
            <w:r w:rsidR="000B0E56" w:rsidRPr="0086357D">
              <w:rPr>
                <w:rFonts w:cs="Arial"/>
              </w:rPr>
              <w:t>Shippers</w:t>
            </w:r>
          </w:p>
          <w:p w:rsidR="000B0E56" w:rsidRPr="0086357D" w:rsidRDefault="00C92351" w:rsidP="00B174A5">
            <w:pPr>
              <w:rPr>
                <w:rFonts w:cs="Arial"/>
              </w:rPr>
            </w:pPr>
            <w:sdt>
              <w:sdtPr>
                <w:id w:val="-87461523"/>
              </w:sdtPr>
              <w:sdtEndPr/>
              <w:sdtContent>
                <w:r w:rsidR="008150D8">
                  <w:rPr>
                    <w:rFonts w:ascii="MS Gothic" w:eastAsia="MS Gothic" w:hAnsi="MS Gothic" w:hint="eastAsia"/>
                  </w:rPr>
                  <w:t>☒</w:t>
                </w:r>
              </w:sdtContent>
            </w:sdt>
            <w:r w:rsidR="000B0E56" w:rsidRPr="0086357D">
              <w:t>National Grid Transmission</w:t>
            </w:r>
          </w:p>
          <w:p w:rsidR="000B0E56" w:rsidRDefault="00C92351" w:rsidP="000B0E56">
            <w:pPr>
              <w:rPr>
                <w:rFonts w:cs="Arial"/>
                <w:bCs/>
                <w:szCs w:val="20"/>
              </w:rPr>
            </w:pPr>
            <w:sdt>
              <w:sdtPr>
                <w:id w:val="-1477137009"/>
              </w:sdtPr>
              <w:sdtEndPr/>
              <w:sdtContent>
                <w:r w:rsidR="002547AD">
                  <w:rPr>
                    <w:rFonts w:ascii="MS Gothic" w:eastAsia="MS Gothic" w:hAnsi="MS Gothic" w:hint="eastAsia"/>
                  </w:rPr>
                  <w:t>☐</w:t>
                </w:r>
              </w:sdtContent>
            </w:sdt>
            <w:r w:rsidR="00D01653">
              <w:rPr>
                <w:rFonts w:cs="Arial"/>
                <w:bCs/>
                <w:szCs w:val="20"/>
              </w:rPr>
              <w:t>Distribution Network Operators</w:t>
            </w:r>
          </w:p>
          <w:p w:rsidR="00D01653" w:rsidRDefault="00C92351" w:rsidP="0033042B">
            <w:sdt>
              <w:sdtPr>
                <w:id w:val="719947979"/>
              </w:sdtPr>
              <w:sdtEndPr/>
              <w:sdtContent>
                <w:r w:rsidR="002547AD">
                  <w:rPr>
                    <w:rFonts w:ascii="MS Gothic" w:eastAsia="MS Gothic" w:hAnsi="MS Gothic" w:hint="eastAsia"/>
                  </w:rPr>
                  <w:t>☐</w:t>
                </w:r>
              </w:sdtContent>
            </w:sdt>
            <w:r w:rsidR="0033042B">
              <w:rPr>
                <w:rFonts w:cs="Arial"/>
                <w:bCs/>
                <w:szCs w:val="20"/>
              </w:rPr>
              <w:t>I</w:t>
            </w:r>
            <w:r w:rsidR="00D01653">
              <w:rPr>
                <w:rFonts w:cs="Arial"/>
                <w:bCs/>
                <w:szCs w:val="20"/>
              </w:rPr>
              <w:t>GTs</w:t>
            </w:r>
          </w:p>
        </w:tc>
      </w:tr>
      <w:tr w:rsidR="000B0E56" w:rsidTr="00F7139E">
        <w:tc>
          <w:tcPr>
            <w:tcW w:w="4786"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4961" w:type="dxa"/>
          </w:tcPr>
          <w:p w:rsidR="000B0E56" w:rsidRDefault="00C92351" w:rsidP="00B174A5">
            <w:pPr>
              <w:rPr>
                <w:rFonts w:cs="Arial"/>
              </w:rPr>
            </w:pPr>
            <w:sdt>
              <w:sdtPr>
                <w:id w:val="1809434693"/>
              </w:sdtPr>
              <w:sdtEndPr/>
              <w:sdtContent>
                <w:r w:rsidR="000B0E56">
                  <w:rPr>
                    <w:rFonts w:ascii="MS Gothic" w:eastAsia="MS Gothic" w:hAnsi="MS Gothic" w:hint="eastAsia"/>
                  </w:rPr>
                  <w:t>☐</w:t>
                </w:r>
              </w:sdtContent>
            </w:sdt>
            <w:r w:rsidR="000B0E56">
              <w:rPr>
                <w:rFonts w:cs="Arial"/>
              </w:rPr>
              <w:t>Yes (please give details)</w:t>
            </w:r>
          </w:p>
          <w:p w:rsidR="000B0E56" w:rsidRDefault="00C92351" w:rsidP="00B174A5">
            <w:pPr>
              <w:rPr>
                <w:rFonts w:cs="Arial"/>
              </w:rPr>
            </w:pPr>
            <w:sdt>
              <w:sdtPr>
                <w:id w:val="1923596732"/>
              </w:sdtPr>
              <w:sdtEndPr/>
              <w:sdtContent>
                <w:r w:rsidR="00C3031F">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F7139E">
        <w:trPr>
          <w:trHeight w:val="279"/>
        </w:trPr>
        <w:tc>
          <w:tcPr>
            <w:tcW w:w="9747" w:type="dxa"/>
            <w:gridSpan w:val="2"/>
            <w:shd w:val="clear" w:color="auto" w:fill="B8CCE4" w:themeFill="accent1" w:themeFillTint="66"/>
          </w:tcPr>
          <w:p w:rsidR="008E51D1" w:rsidRPr="00F7139E" w:rsidRDefault="008E51D1" w:rsidP="002F7563">
            <w:pPr>
              <w:pStyle w:val="ListParagraph"/>
              <w:numPr>
                <w:ilvl w:val="0"/>
                <w:numId w:val="7"/>
              </w:numPr>
              <w:spacing w:before="60" w:after="60"/>
              <w:contextualSpacing w:val="0"/>
              <w:rPr>
                <w:rFonts w:cs="Arial"/>
              </w:rPr>
            </w:pPr>
            <w:r w:rsidRPr="00C2627B">
              <w:rPr>
                <w:rFonts w:cs="Arial"/>
              </w:rPr>
              <w:t>Customer view of impacted service area(s)</w:t>
            </w:r>
          </w:p>
        </w:tc>
      </w:tr>
      <w:tr w:rsidR="008E51D1" w:rsidTr="0043727A">
        <w:trPr>
          <w:trHeight w:val="412"/>
        </w:trPr>
        <w:tc>
          <w:tcPr>
            <w:tcW w:w="9747" w:type="dxa"/>
            <w:gridSpan w:val="2"/>
            <w:shd w:val="clear" w:color="auto" w:fill="auto"/>
          </w:tcPr>
          <w:p w:rsidR="003F3E99" w:rsidRDefault="00D171A6" w:rsidP="00794BB6">
            <w:pPr>
              <w:pStyle w:val="Default"/>
              <w:spacing w:before="120" w:after="120"/>
              <w:rPr>
                <w:rFonts w:eastAsia="MS Gothic"/>
              </w:rPr>
            </w:pPr>
            <w:r>
              <w:rPr>
                <w:rFonts w:eastAsia="MS Gothic"/>
                <w:sz w:val="20"/>
              </w:rPr>
              <w:t xml:space="preserve">This will potentially </w:t>
            </w:r>
            <w:r w:rsidRPr="00D171A6">
              <w:rPr>
                <w:rFonts w:eastAsia="MS Gothic"/>
                <w:sz w:val="20"/>
              </w:rPr>
              <w:t xml:space="preserve">impact DSC BCM Service </w:t>
            </w:r>
            <w:r>
              <w:rPr>
                <w:rFonts w:eastAsia="MS Gothic"/>
                <w:sz w:val="20"/>
              </w:rPr>
              <w:t>A</w:t>
            </w:r>
            <w:r w:rsidRPr="00D171A6">
              <w:rPr>
                <w:rFonts w:eastAsia="MS Gothic"/>
                <w:sz w:val="20"/>
              </w:rPr>
              <w:t>rea 7</w:t>
            </w:r>
          </w:p>
        </w:tc>
      </w:tr>
      <w:tr w:rsidR="008E51D1" w:rsidTr="00C2627B">
        <w:tc>
          <w:tcPr>
            <w:tcW w:w="9747" w:type="dxa"/>
            <w:gridSpan w:val="2"/>
            <w:shd w:val="clear" w:color="auto" w:fill="B8CCE4" w:themeFill="accent1" w:themeFillTint="66"/>
          </w:tcPr>
          <w:p w:rsidR="008E51D1" w:rsidRPr="00C2627B" w:rsidRDefault="008E51D1" w:rsidP="002F7563">
            <w:pPr>
              <w:pStyle w:val="ListParagraph"/>
              <w:numPr>
                <w:ilvl w:val="0"/>
                <w:numId w:val="7"/>
              </w:numPr>
              <w:spacing w:before="60" w:after="60"/>
              <w:contextualSpacing w:val="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3F3E99" w:rsidRPr="008B2C2F" w:rsidRDefault="0064174C" w:rsidP="002F7563">
            <w:pPr>
              <w:spacing w:before="60" w:after="60"/>
              <w:rPr>
                <w:rFonts w:eastAsia="MS Gothic" w:cs="Arial"/>
              </w:rPr>
            </w:pPr>
            <w:r>
              <w:rPr>
                <w:rFonts w:eastAsia="MS Gothic" w:cs="Arial"/>
              </w:rPr>
              <w:lastRenderedPageBreak/>
              <w:t>U</w:t>
            </w:r>
            <w:r w:rsidR="00D171A6">
              <w:rPr>
                <w:rFonts w:eastAsia="MS Gothic" w:cs="Arial"/>
              </w:rPr>
              <w:t>nknown</w:t>
            </w:r>
          </w:p>
        </w:tc>
      </w:tr>
      <w:tr w:rsidR="00B718F1" w:rsidTr="004363D0">
        <w:tc>
          <w:tcPr>
            <w:tcW w:w="9747" w:type="dxa"/>
            <w:gridSpan w:val="2"/>
            <w:shd w:val="clear" w:color="auto" w:fill="B8CCE4" w:themeFill="accent1" w:themeFillTint="66"/>
          </w:tcPr>
          <w:p w:rsidR="00B718F1" w:rsidRDefault="00B718F1" w:rsidP="002F7563">
            <w:pPr>
              <w:spacing w:before="60" w:after="60"/>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2F7563">
            <w:pPr>
              <w:spacing w:before="60" w:after="60"/>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64174C" w:rsidP="002F7563">
            <w:pPr>
              <w:spacing w:before="60" w:after="60"/>
              <w:rPr>
                <w:rFonts w:cs="Arial"/>
                <w:szCs w:val="20"/>
              </w:rPr>
            </w:pPr>
            <w:r>
              <w:rPr>
                <w:rFonts w:cs="Arial"/>
                <w:szCs w:val="20"/>
              </w:rPr>
              <w:t>U</w:t>
            </w:r>
            <w:r w:rsidR="00D171A6">
              <w:rPr>
                <w:rFonts w:cs="Arial"/>
                <w:szCs w:val="20"/>
              </w:rPr>
              <w:t>nknown</w:t>
            </w:r>
          </w:p>
        </w:tc>
      </w:tr>
      <w:tr w:rsidR="00C15A8F" w:rsidTr="00C2627B">
        <w:tc>
          <w:tcPr>
            <w:tcW w:w="9747" w:type="dxa"/>
            <w:gridSpan w:val="2"/>
            <w:shd w:val="clear" w:color="auto" w:fill="B8CCE4" w:themeFill="accent1" w:themeFillTint="66"/>
          </w:tcPr>
          <w:p w:rsidR="00C15A8F" w:rsidRDefault="00C15A8F" w:rsidP="002F7563">
            <w:pPr>
              <w:spacing w:before="60" w:after="60"/>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64174C" w:rsidP="002F7563">
            <w:pPr>
              <w:spacing w:before="60" w:after="60"/>
              <w:rPr>
                <w:rFonts w:cs="Arial"/>
                <w:szCs w:val="20"/>
              </w:rPr>
            </w:pPr>
            <w:r>
              <w:rPr>
                <w:rFonts w:cs="Arial"/>
                <w:szCs w:val="20"/>
              </w:rPr>
              <w:t>U</w:t>
            </w:r>
            <w:r w:rsidR="00D171A6">
              <w:rPr>
                <w:rFonts w:cs="Arial"/>
                <w:szCs w:val="20"/>
              </w:rPr>
              <w:t>nknown</w:t>
            </w:r>
          </w:p>
        </w:tc>
      </w:tr>
      <w:tr w:rsidR="00C15A8F" w:rsidTr="00C2627B">
        <w:tc>
          <w:tcPr>
            <w:tcW w:w="9747" w:type="dxa"/>
            <w:gridSpan w:val="2"/>
            <w:shd w:val="clear" w:color="auto" w:fill="B8CCE4" w:themeFill="accent1" w:themeFillTint="66"/>
          </w:tcPr>
          <w:p w:rsidR="00C15A8F" w:rsidRDefault="00C15A8F" w:rsidP="002F7563">
            <w:pPr>
              <w:spacing w:before="60" w:after="60"/>
              <w:rPr>
                <w:rFonts w:ascii="MS Gothic" w:eastAsia="MS Gothic" w:hAnsi="MS Gothic"/>
              </w:rPr>
            </w:pPr>
            <w:r w:rsidRPr="00C2627B">
              <w:rPr>
                <w:b/>
              </w:rPr>
              <w:t>Impacts to UK</w:t>
            </w:r>
            <w:r w:rsidR="002547AD">
              <w:rPr>
                <w:b/>
              </w:rPr>
              <w:t>-</w:t>
            </w:r>
            <w:r w:rsidRPr="00C2627B">
              <w:rPr>
                <w:b/>
              </w:rPr>
              <w:t>L</w:t>
            </w:r>
            <w:r>
              <w:rPr>
                <w:b/>
              </w:rPr>
              <w:t>ink</w:t>
            </w:r>
            <w:r w:rsidRPr="00C2627B">
              <w:rPr>
                <w:b/>
              </w:rPr>
              <w:t xml:space="preserve"> System or File Formats</w:t>
            </w:r>
          </w:p>
        </w:tc>
      </w:tr>
      <w:tr w:rsidR="00C15A8F" w:rsidTr="00C2627B">
        <w:tc>
          <w:tcPr>
            <w:tcW w:w="9747" w:type="dxa"/>
            <w:gridSpan w:val="2"/>
            <w:shd w:val="clear" w:color="auto" w:fill="auto"/>
          </w:tcPr>
          <w:p w:rsidR="0064174C" w:rsidRPr="0064174C" w:rsidRDefault="0064174C" w:rsidP="0064174C">
            <w:pPr>
              <w:pStyle w:val="ListParagraph"/>
              <w:numPr>
                <w:ilvl w:val="0"/>
                <w:numId w:val="21"/>
              </w:numPr>
              <w:spacing w:before="60" w:after="60"/>
              <w:ind w:left="284" w:hanging="284"/>
              <w:rPr>
                <w:rFonts w:cs="Arial"/>
                <w:color w:val="0000FF"/>
              </w:rPr>
            </w:pPr>
            <w:r w:rsidRPr="0064174C">
              <w:rPr>
                <w:rFonts w:cs="Arial"/>
                <w:b/>
              </w:rPr>
              <w:t>0636</w:t>
            </w:r>
            <w:r w:rsidR="00BE0AE1">
              <w:rPr>
                <w:rFonts w:cs="Arial"/>
                <w:b/>
              </w:rPr>
              <w:t>C</w:t>
            </w:r>
            <w:r>
              <w:rPr>
                <w:rFonts w:cs="Arial"/>
              </w:rPr>
              <w:t xml:space="preserve">: </w:t>
            </w:r>
            <w:r w:rsidRPr="0064174C">
              <w:rPr>
                <w:rFonts w:cs="Arial"/>
              </w:rPr>
              <w:t xml:space="preserve">Anticipated changes required to hold NTS Optional Commodity rates based on </w:t>
            </w:r>
            <w:r w:rsidRPr="0064174C">
              <w:rPr>
                <w:rFonts w:cs="Arial"/>
                <w:color w:val="8064A2" w:themeColor="accent4"/>
              </w:rPr>
              <w:t xml:space="preserve">two separate </w:t>
            </w:r>
            <w:r>
              <w:rPr>
                <w:rFonts w:cs="Arial"/>
                <w:color w:val="8064A2" w:themeColor="accent4"/>
              </w:rPr>
              <w:t xml:space="preserve">NTS Optional Commodity </w:t>
            </w:r>
            <w:r w:rsidRPr="0064174C">
              <w:rPr>
                <w:rFonts w:cs="Arial"/>
                <w:color w:val="8064A2" w:themeColor="accent4"/>
              </w:rPr>
              <w:t xml:space="preserve">arrangements </w:t>
            </w:r>
            <w:r w:rsidRPr="0064174C">
              <w:rPr>
                <w:rFonts w:cs="Arial"/>
              </w:rPr>
              <w:t>(rates) i.e. GB-EU Interconnector point</w:t>
            </w:r>
            <w:r>
              <w:rPr>
                <w:rFonts w:cs="Arial"/>
              </w:rPr>
              <w:t>s and non-Interconnector points.</w:t>
            </w:r>
          </w:p>
          <w:p w:rsidR="0064174C" w:rsidRDefault="0064174C" w:rsidP="0064174C">
            <w:pPr>
              <w:pStyle w:val="ListParagraph"/>
              <w:spacing w:before="60" w:after="60"/>
              <w:ind w:left="1080"/>
              <w:rPr>
                <w:rFonts w:cs="Arial"/>
              </w:rPr>
            </w:pPr>
          </w:p>
          <w:p w:rsidR="0064174C" w:rsidRDefault="0064174C" w:rsidP="0064174C">
            <w:pPr>
              <w:pStyle w:val="ListParagraph"/>
              <w:spacing w:before="60" w:after="60"/>
              <w:ind w:left="0"/>
              <w:rPr>
                <w:rFonts w:cs="Arial"/>
              </w:rPr>
            </w:pPr>
            <w:r w:rsidRPr="0064174C">
              <w:rPr>
                <w:rFonts w:cs="Arial"/>
              </w:rPr>
              <w:t xml:space="preserve">2. </w:t>
            </w:r>
            <w:r>
              <w:rPr>
                <w:rFonts w:cs="Arial"/>
              </w:rPr>
              <w:t xml:space="preserve"> </w:t>
            </w:r>
            <w:r w:rsidRPr="0064174C">
              <w:rPr>
                <w:rFonts w:cs="Arial"/>
                <w:b/>
              </w:rPr>
              <w:t>0636:</w:t>
            </w:r>
            <w:r w:rsidRPr="0064174C">
              <w:rPr>
                <w:rFonts w:cs="Arial"/>
              </w:rPr>
              <w:t xml:space="preserve"> </w:t>
            </w:r>
            <w:r w:rsidR="007D34CB" w:rsidRPr="0064174C">
              <w:rPr>
                <w:rFonts w:cs="Arial"/>
              </w:rPr>
              <w:t xml:space="preserve">In addition </w:t>
            </w:r>
            <w:r w:rsidR="00DC3BE8" w:rsidRPr="0064174C">
              <w:rPr>
                <w:rFonts w:cs="Arial"/>
              </w:rPr>
              <w:t>to amending certain fixed values within the Optional Commodity Charge</w:t>
            </w:r>
            <w:r>
              <w:rPr>
                <w:rFonts w:cs="Arial"/>
              </w:rPr>
              <w:t xml:space="preserve"> </w:t>
            </w:r>
            <w:r w:rsidR="00DC3BE8" w:rsidRPr="0064174C">
              <w:rPr>
                <w:rFonts w:cs="Arial"/>
              </w:rPr>
              <w:t xml:space="preserve">formula, the </w:t>
            </w:r>
          </w:p>
          <w:p w:rsidR="0064174C" w:rsidRDefault="0064174C" w:rsidP="0064174C">
            <w:pPr>
              <w:pStyle w:val="ListParagraph"/>
              <w:spacing w:before="60" w:after="60"/>
              <w:ind w:left="0"/>
              <w:rPr>
                <w:rFonts w:cs="Arial"/>
              </w:rPr>
            </w:pPr>
            <w:r>
              <w:rPr>
                <w:rFonts w:cs="Arial"/>
              </w:rPr>
              <w:t xml:space="preserve">     </w:t>
            </w:r>
            <w:r w:rsidR="00DC3BE8" w:rsidRPr="0064174C">
              <w:rPr>
                <w:rFonts w:cs="Arial"/>
              </w:rPr>
              <w:t>v</w:t>
            </w:r>
            <w:r w:rsidR="008B2C2F" w:rsidRPr="0064174C">
              <w:rPr>
                <w:rFonts w:cs="Arial"/>
              </w:rPr>
              <w:t>alue currently recorded against ‘M’ in the charging methodology for the derivation</w:t>
            </w:r>
            <w:r>
              <w:rPr>
                <w:rFonts w:cs="Arial"/>
              </w:rPr>
              <w:t xml:space="preserve"> </w:t>
            </w:r>
            <w:r w:rsidR="008B2C2F" w:rsidRPr="0064174C">
              <w:rPr>
                <w:rFonts w:cs="Arial"/>
              </w:rPr>
              <w:t xml:space="preserve">of MNEPOR </w:t>
            </w:r>
            <w:r>
              <w:rPr>
                <w:rFonts w:cs="Arial"/>
              </w:rPr>
              <w:t xml:space="preserve">  </w:t>
            </w:r>
          </w:p>
          <w:p w:rsidR="0064174C" w:rsidRDefault="0064174C" w:rsidP="0064174C">
            <w:pPr>
              <w:pStyle w:val="ListParagraph"/>
              <w:spacing w:before="60" w:after="60"/>
              <w:ind w:left="0"/>
              <w:rPr>
                <w:rFonts w:cs="Arial"/>
              </w:rPr>
            </w:pPr>
            <w:r>
              <w:rPr>
                <w:rFonts w:cs="Arial"/>
              </w:rPr>
              <w:t xml:space="preserve">     </w:t>
            </w:r>
            <w:r w:rsidR="008B2C2F" w:rsidRPr="0064174C">
              <w:rPr>
                <w:rFonts w:cs="Arial"/>
              </w:rPr>
              <w:t>(Maximum NTS Exit Point Offtake Rate) will be replaced to reflect a new value as</w:t>
            </w:r>
            <w:r>
              <w:rPr>
                <w:rFonts w:cs="Arial"/>
              </w:rPr>
              <w:t xml:space="preserve"> </w:t>
            </w:r>
            <w:r w:rsidR="008B2C2F" w:rsidRPr="0064174C">
              <w:rPr>
                <w:rFonts w:cs="Arial"/>
              </w:rPr>
              <w:t xml:space="preserve">determined by the </w:t>
            </w:r>
          </w:p>
          <w:p w:rsidR="00D171A6" w:rsidRDefault="0064174C" w:rsidP="0064174C">
            <w:pPr>
              <w:pStyle w:val="ListParagraph"/>
              <w:spacing w:before="60" w:after="60"/>
              <w:ind w:left="0"/>
              <w:rPr>
                <w:rFonts w:cs="Arial"/>
              </w:rPr>
            </w:pPr>
            <w:r>
              <w:rPr>
                <w:rFonts w:cs="Arial"/>
              </w:rPr>
              <w:t xml:space="preserve">     </w:t>
            </w:r>
            <w:r w:rsidR="008B2C2F" w:rsidRPr="0064174C">
              <w:rPr>
                <w:rFonts w:cs="Arial"/>
              </w:rPr>
              <w:t xml:space="preserve">modification proposal solution.  </w:t>
            </w:r>
            <w:r w:rsidR="00C3031F" w:rsidRPr="0064174C">
              <w:rPr>
                <w:rFonts w:cs="Arial"/>
              </w:rPr>
              <w:t xml:space="preserve"> </w:t>
            </w:r>
          </w:p>
          <w:p w:rsidR="00D171A6" w:rsidRPr="0064174C" w:rsidRDefault="003110FB" w:rsidP="0064174C">
            <w:pPr>
              <w:pStyle w:val="ListParagraph"/>
              <w:spacing w:before="60" w:after="60"/>
              <w:ind w:left="284"/>
              <w:rPr>
                <w:rFonts w:cs="Arial"/>
                <w:color w:val="0000FF"/>
              </w:rPr>
            </w:pPr>
            <w:r w:rsidRPr="0064174C">
              <w:rPr>
                <w:rFonts w:cs="Arial"/>
              </w:rPr>
              <w:t xml:space="preserve">  </w:t>
            </w:r>
          </w:p>
        </w:tc>
      </w:tr>
      <w:tr w:rsidR="00C15A8F" w:rsidTr="00C2627B">
        <w:tc>
          <w:tcPr>
            <w:tcW w:w="9747" w:type="dxa"/>
            <w:gridSpan w:val="2"/>
            <w:shd w:val="clear" w:color="auto" w:fill="B8CCE4" w:themeFill="accent1" w:themeFillTint="66"/>
          </w:tcPr>
          <w:p w:rsidR="00C15A8F" w:rsidRDefault="00C15A8F" w:rsidP="002F7563">
            <w:pPr>
              <w:spacing w:before="60" w:after="6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C15A8F" w:rsidP="002F7563">
            <w:pPr>
              <w:spacing w:before="60" w:after="60"/>
              <w:rPr>
                <w:rFonts w:cs="Arial"/>
                <w:color w:val="0000FF"/>
              </w:rPr>
            </w:pPr>
          </w:p>
        </w:tc>
      </w:tr>
      <w:tr w:rsidR="00C15A8F" w:rsidTr="00C2627B">
        <w:tc>
          <w:tcPr>
            <w:tcW w:w="9747" w:type="dxa"/>
            <w:gridSpan w:val="2"/>
            <w:shd w:val="clear" w:color="auto" w:fill="B8CCE4" w:themeFill="accent1" w:themeFillTint="66"/>
          </w:tcPr>
          <w:p w:rsidR="00C15A8F" w:rsidRDefault="00C15A8F" w:rsidP="002F7563">
            <w:pPr>
              <w:spacing w:before="60" w:after="60"/>
              <w:rPr>
                <w:rFonts w:ascii="MS Gothic" w:eastAsia="MS Gothic" w:hAnsi="MS Gothic"/>
              </w:rPr>
            </w:pPr>
            <w:r w:rsidRPr="00C2627B">
              <w:rPr>
                <w:b/>
              </w:rPr>
              <w:t>Impacts to Gemini System</w:t>
            </w:r>
          </w:p>
        </w:tc>
      </w:tr>
      <w:tr w:rsidR="00C15A8F" w:rsidTr="00F7139E">
        <w:trPr>
          <w:trHeight w:val="531"/>
        </w:trPr>
        <w:tc>
          <w:tcPr>
            <w:tcW w:w="9747" w:type="dxa"/>
            <w:gridSpan w:val="2"/>
            <w:shd w:val="clear" w:color="auto" w:fill="auto"/>
          </w:tcPr>
          <w:p w:rsidR="003110FB" w:rsidRPr="003110FB" w:rsidRDefault="0043727A" w:rsidP="00BE0AE1">
            <w:pPr>
              <w:pStyle w:val="ListParagraph"/>
              <w:numPr>
                <w:ilvl w:val="0"/>
                <w:numId w:val="22"/>
              </w:numPr>
              <w:spacing w:before="60" w:after="60"/>
              <w:ind w:left="284" w:hanging="284"/>
            </w:pPr>
            <w:r w:rsidRPr="0043727A">
              <w:rPr>
                <w:b/>
              </w:rPr>
              <w:t>0636</w:t>
            </w:r>
            <w:r w:rsidR="00BE0AE1">
              <w:rPr>
                <w:b/>
              </w:rPr>
              <w:t>C</w:t>
            </w:r>
            <w:r w:rsidRPr="0043727A">
              <w:rPr>
                <w:b/>
              </w:rPr>
              <w:t>:</w:t>
            </w:r>
            <w:r>
              <w:t xml:space="preserve"> </w:t>
            </w:r>
            <w:r w:rsidR="00D171A6" w:rsidRPr="003110FB">
              <w:t xml:space="preserve">Anticipated changes required to </w:t>
            </w:r>
            <w:r w:rsidR="003110FB" w:rsidRPr="003110FB">
              <w:t xml:space="preserve">hold </w:t>
            </w:r>
            <w:r w:rsidR="00D171A6" w:rsidRPr="003110FB">
              <w:t xml:space="preserve">NTS Optional </w:t>
            </w:r>
            <w:r w:rsidR="003110FB">
              <w:t xml:space="preserve">Commodity </w:t>
            </w:r>
            <w:r w:rsidR="003110FB" w:rsidRPr="003110FB">
              <w:t xml:space="preserve">rates </w:t>
            </w:r>
            <w:r w:rsidR="00D171A6" w:rsidRPr="003110FB">
              <w:t xml:space="preserve">based on </w:t>
            </w:r>
            <w:r w:rsidR="00D171A6" w:rsidRPr="0043727A">
              <w:rPr>
                <w:color w:val="8064A2" w:themeColor="accent4"/>
              </w:rPr>
              <w:t xml:space="preserve">two separate </w:t>
            </w:r>
            <w:r w:rsidRPr="0043727A">
              <w:rPr>
                <w:color w:val="8064A2" w:themeColor="accent4"/>
              </w:rPr>
              <w:t xml:space="preserve">NTS Optional Commodity </w:t>
            </w:r>
            <w:r w:rsidR="00D171A6" w:rsidRPr="0043727A">
              <w:rPr>
                <w:color w:val="8064A2" w:themeColor="accent4"/>
              </w:rPr>
              <w:t>arrangements</w:t>
            </w:r>
            <w:r w:rsidR="00D171A6" w:rsidRPr="003110FB">
              <w:t xml:space="preserve"> </w:t>
            </w:r>
            <w:r w:rsidR="003110FB">
              <w:t xml:space="preserve">(rates) </w:t>
            </w:r>
            <w:r w:rsidR="00D171A6" w:rsidRPr="003110FB">
              <w:t xml:space="preserve">i.e. GB-EU Interconnector </w:t>
            </w:r>
            <w:r w:rsidR="003110FB" w:rsidRPr="003110FB">
              <w:t xml:space="preserve">points </w:t>
            </w:r>
            <w:r w:rsidR="00D171A6" w:rsidRPr="003110FB">
              <w:t xml:space="preserve">and non-Interconnector </w:t>
            </w:r>
            <w:r w:rsidR="003110FB" w:rsidRPr="003110FB">
              <w:t>points.</w:t>
            </w:r>
            <w:r w:rsidR="00D171A6" w:rsidRPr="003110FB">
              <w:t xml:space="preserve">  </w:t>
            </w:r>
          </w:p>
        </w:tc>
      </w:tr>
      <w:tr w:rsidR="00C15A8F" w:rsidTr="00C2627B">
        <w:tc>
          <w:tcPr>
            <w:tcW w:w="9747" w:type="dxa"/>
            <w:gridSpan w:val="2"/>
            <w:shd w:val="clear" w:color="auto" w:fill="B8CCE4" w:themeFill="accent1" w:themeFillTint="66"/>
          </w:tcPr>
          <w:p w:rsidR="00C15A8F" w:rsidRPr="00201A44" w:rsidRDefault="00C15A8F" w:rsidP="002F7563">
            <w:pPr>
              <w:spacing w:before="60" w:after="60"/>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563821" w:rsidP="00EA2B2E">
            <w:pPr>
              <w:spacing w:before="60" w:after="60"/>
              <w:rPr>
                <w:rFonts w:cs="Arial"/>
                <w:color w:val="0000FF"/>
              </w:rPr>
            </w:pPr>
            <w:r>
              <w:rPr>
                <w:rFonts w:cs="Arial"/>
              </w:rPr>
              <w:t>Given the timescale for potential implementation (1</w:t>
            </w:r>
            <w:r w:rsidRPr="00563821">
              <w:rPr>
                <w:rFonts w:cs="Arial"/>
                <w:vertAlign w:val="superscript"/>
              </w:rPr>
              <w:t>st</w:t>
            </w:r>
            <w:r>
              <w:rPr>
                <w:rFonts w:cs="Arial"/>
              </w:rPr>
              <w:t xml:space="preserve"> October 2018) w</w:t>
            </w:r>
            <w:r w:rsidRPr="00563821">
              <w:rPr>
                <w:rFonts w:cs="Arial"/>
              </w:rPr>
              <w:t xml:space="preserve">e </w:t>
            </w:r>
            <w:r>
              <w:rPr>
                <w:rFonts w:cs="Arial"/>
              </w:rPr>
              <w:t>kindly request Xoserve considers potential interim (manual workaround) and enduring (system) solutions for 0636</w:t>
            </w:r>
            <w:r w:rsidR="00EA2B2E">
              <w:rPr>
                <w:rFonts w:cs="Arial"/>
              </w:rPr>
              <w:t>C</w:t>
            </w:r>
            <w:r>
              <w:rPr>
                <w:rFonts w:cs="Arial"/>
              </w:rPr>
              <w:t>.</w:t>
            </w:r>
          </w:p>
        </w:tc>
      </w:tr>
      <w:bookmarkEnd w:id="1"/>
      <w:bookmarkEnd w:id="2"/>
    </w:tbl>
    <w:p w:rsidR="00C31489" w:rsidRDefault="00C31489">
      <w:pPr>
        <w:spacing w:before="0" w:after="0"/>
        <w:rPr>
          <w:rFonts w:cs="Arial"/>
        </w:rPr>
      </w:pPr>
    </w:p>
    <w:p w:rsidR="002F7563" w:rsidRDefault="002F7563">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844"/>
        <w:gridCol w:w="4784"/>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C92351" w:rsidP="004363D0">
            <w:sdt>
              <w:sdtPr>
                <w:id w:val="-779880648"/>
              </w:sdtPr>
              <w:sdtEndPr/>
              <w:sdtContent>
                <w:r w:rsidR="00122341">
                  <w:rPr>
                    <w:rFonts w:ascii="MS Gothic" w:eastAsia="MS Gothic" w:hAnsi="MS Gothic" w:hint="eastAsia"/>
                  </w:rPr>
                  <w:t>☒</w:t>
                </w:r>
              </w:sdtContent>
            </w:sdt>
            <w:r w:rsidR="00C22C88">
              <w:t>Yes</w:t>
            </w:r>
          </w:p>
          <w:p w:rsidR="00C22C88" w:rsidRDefault="00C92351" w:rsidP="004363D0">
            <w:sdt>
              <w:sdtPr>
                <w:id w:val="-1763217411"/>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A35B4" w:rsidRDefault="00DA1E11" w:rsidP="00C2627B">
      <w:pPr>
        <w:pStyle w:val="BodyText3"/>
        <w:widowControl w:val="0"/>
        <w:spacing w:before="0" w:after="0"/>
        <w:jc w:val="center"/>
        <w:rPr>
          <w:rFonts w:ascii="Arial" w:hAnsi="Arial" w:cs="Arial"/>
          <w:b/>
          <w:bCs/>
          <w:iCs/>
          <w:szCs w:val="20"/>
          <w:u w:val="none"/>
        </w:rPr>
      </w:pPr>
      <w:r w:rsidRPr="00CA35B4">
        <w:rPr>
          <w:rFonts w:ascii="Arial" w:hAnsi="Arial" w:cs="Arial"/>
          <w:iCs/>
          <w:szCs w:val="20"/>
          <w:u w:val="none"/>
        </w:rPr>
        <w:t xml:space="preserve">Where Xoserve becomes aware of any inaccuracies or omissions in, or updates required to, this Report it shall notify the </w:t>
      </w:r>
      <w:r w:rsidR="0036327B">
        <w:rPr>
          <w:rFonts w:ascii="Arial" w:hAnsi="Arial" w:cs="Arial"/>
          <w:iCs/>
          <w:szCs w:val="20"/>
          <w:u w:val="none"/>
        </w:rPr>
        <w:t>Change Manager’s Committee (ChMC)</w:t>
      </w:r>
      <w:r w:rsidRPr="00CA35B4">
        <w:rPr>
          <w:rFonts w:ascii="Arial" w:hAnsi="Arial" w:cs="Arial"/>
          <w:iCs/>
          <w:szCs w:val="20"/>
          <w:u w:val="none"/>
        </w:rPr>
        <w:t xml:space="preser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w:t>
      </w:r>
      <w:r w:rsidR="0036327B">
        <w:rPr>
          <w:rFonts w:cs="Arial"/>
          <w:iCs/>
          <w:szCs w:val="20"/>
          <w:lang w:val="en-US"/>
        </w:rPr>
        <w:t>8</w:t>
      </w:r>
      <w:r w:rsidRPr="00C2627B">
        <w:rPr>
          <w:rFonts w:cs="Arial"/>
          <w:iCs/>
          <w:szCs w:val="20"/>
          <w:lang w:val="en-US"/>
        </w:rPr>
        <w:t xml:space="preserve">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lastRenderedPageBreak/>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F7139E" w:rsidRDefault="00DE2B4F" w:rsidP="006D1C0F">
            <w:pPr>
              <w:spacing w:before="60" w:after="60"/>
              <w:rPr>
                <w:rFonts w:cs="Arial"/>
                <w:bCs/>
                <w:iCs/>
                <w:szCs w:val="20"/>
                <w:lang w:val="en-US"/>
              </w:rPr>
            </w:pPr>
            <w:r w:rsidRPr="00C2627B">
              <w:rPr>
                <w:rFonts w:cs="Arial"/>
                <w:b/>
                <w:bCs/>
              </w:rPr>
              <w:t>Change</w:t>
            </w:r>
            <w:r w:rsidR="00F330CD">
              <w:rPr>
                <w:rFonts w:cs="Arial"/>
                <w:b/>
                <w:bCs/>
              </w:rPr>
              <w:t xml:space="preserve"> Assessment</w:t>
            </w:r>
          </w:p>
          <w:p w:rsidR="00120D3B" w:rsidRDefault="00120D3B" w:rsidP="00120D3B">
            <w:pPr>
              <w:spacing w:beforeLines="40" w:before="96" w:afterLines="40" w:after="96"/>
            </w:pPr>
            <w:r w:rsidRPr="00120D3B">
              <w:rPr>
                <w:rFonts w:cs="Arial"/>
                <w:bCs/>
              </w:rPr>
              <w:t>The</w:t>
            </w:r>
            <w:r>
              <w:rPr>
                <w:rFonts w:cs="Arial"/>
                <w:bCs/>
              </w:rPr>
              <w:t xml:space="preserve"> UNC Modification 0636C (formally 0636D) proposes that the </w:t>
            </w:r>
            <w:r>
              <w:t xml:space="preserve">NTS Optional Commodity charge formula </w:t>
            </w:r>
            <w:r w:rsidR="003401AE">
              <w:t xml:space="preserve">where an Option Commodity Charge Route includes an </w:t>
            </w:r>
            <w:r>
              <w:t>Interconnector Point (</w:t>
            </w:r>
            <w:r w:rsidR="00C73D58">
              <w:t xml:space="preserve">Entry </w:t>
            </w:r>
            <w:r w:rsidR="003401AE">
              <w:t>or</w:t>
            </w:r>
            <w:r w:rsidR="00C73D58">
              <w:t xml:space="preserve"> </w:t>
            </w:r>
            <w:r>
              <w:t>Exit) should be charged using the current formula as follows:</w:t>
            </w:r>
          </w:p>
          <w:p w:rsidR="00120D3B" w:rsidRDefault="00120D3B" w:rsidP="00120D3B">
            <w:pPr>
              <w:spacing w:beforeLines="40" w:before="96" w:afterLines="40" w:after="96"/>
            </w:pPr>
          </w:p>
          <w:p w:rsidR="00120D3B" w:rsidRDefault="00120D3B" w:rsidP="00120D3B">
            <w:pPr>
              <w:spacing w:beforeLines="40" w:before="96" w:afterLines="40" w:after="96"/>
            </w:pPr>
            <w:r>
              <w:t xml:space="preserve"> p/kWh = 1203 x M ^-0.834 x D + 363 x M ^-0.654</w:t>
            </w:r>
          </w:p>
          <w:p w:rsidR="00120D3B" w:rsidRDefault="00120D3B" w:rsidP="00120D3B">
            <w:pPr>
              <w:spacing w:beforeLines="40" w:before="96" w:afterLines="40" w:after="96"/>
            </w:pPr>
          </w:p>
          <w:p w:rsidR="00120D3B" w:rsidRDefault="003401AE" w:rsidP="00120D3B">
            <w:pPr>
              <w:spacing w:beforeLines="40" w:before="96" w:afterLines="40" w:after="96"/>
            </w:pPr>
            <w:r>
              <w:rPr>
                <w:rFonts w:cs="Arial"/>
                <w:bCs/>
              </w:rPr>
              <w:t>All other</w:t>
            </w:r>
            <w:r>
              <w:t xml:space="preserve"> Option Commodity Charge Routes</w:t>
            </w:r>
            <w:r w:rsidR="00120D3B">
              <w:t xml:space="preserve"> </w:t>
            </w:r>
            <w:r>
              <w:t xml:space="preserve">that do not include an Interconnector Point (Entry or Exit) </w:t>
            </w:r>
            <w:r w:rsidR="00120D3B">
              <w:t>should be charged using the proposed formula as follows:</w:t>
            </w:r>
          </w:p>
          <w:p w:rsidR="00120D3B" w:rsidRDefault="00120D3B" w:rsidP="00120D3B">
            <w:pPr>
              <w:spacing w:beforeLines="40" w:before="96" w:afterLines="40" w:after="96"/>
            </w:pPr>
          </w:p>
          <w:p w:rsidR="00120D3B" w:rsidRDefault="00120D3B" w:rsidP="00120D3B">
            <w:pPr>
              <w:spacing w:beforeLines="40" w:before="96" w:afterLines="40" w:after="96"/>
            </w:pPr>
            <w:r>
              <w:t>p/kWh = 1247 x M ^-0.78 x D + 1422 x M ^-0.708</w:t>
            </w:r>
          </w:p>
          <w:p w:rsidR="00120D3B" w:rsidRDefault="00120D3B" w:rsidP="00120D3B">
            <w:pPr>
              <w:spacing w:beforeLines="40" w:before="96" w:afterLines="40" w:after="96"/>
            </w:pPr>
          </w:p>
          <w:p w:rsidR="00065D6E" w:rsidRPr="00065D6E" w:rsidRDefault="00065D6E" w:rsidP="00120D3B">
            <w:pPr>
              <w:spacing w:beforeLines="40" w:before="96" w:afterLines="40" w:after="96"/>
              <w:rPr>
                <w:b/>
                <w:u w:val="single"/>
              </w:rPr>
            </w:pPr>
            <w:r w:rsidRPr="00065D6E">
              <w:rPr>
                <w:b/>
                <w:u w:val="single"/>
              </w:rPr>
              <w:t>Billing Impacts</w:t>
            </w:r>
          </w:p>
          <w:p w:rsidR="00A019CE" w:rsidRDefault="00A019CE" w:rsidP="00120D3B">
            <w:pPr>
              <w:spacing w:beforeLines="40" w:before="96" w:afterLines="40" w:after="96"/>
            </w:pPr>
            <w:r>
              <w:t xml:space="preserve">The billing system will require changes to recognise whether to bill for an Interconnector Point or </w:t>
            </w:r>
            <w:r w:rsidR="007D5C07">
              <w:t>non- Interconnector Points using the separate formulas</w:t>
            </w:r>
            <w:r>
              <w:t xml:space="preserve">. </w:t>
            </w:r>
          </w:p>
          <w:p w:rsidR="002E18F6" w:rsidRDefault="002E18F6" w:rsidP="00120D3B">
            <w:pPr>
              <w:spacing w:beforeLines="40" w:before="96" w:afterLines="40" w:after="96"/>
            </w:pPr>
          </w:p>
          <w:p w:rsidR="002E18F6" w:rsidRDefault="002E18F6" w:rsidP="002E18F6">
            <w:pPr>
              <w:spacing w:beforeLines="40" w:before="96" w:afterLines="40" w:after="96"/>
            </w:pPr>
            <w:r>
              <w:t>This impacts both Commodity and Reconciliation, with the following impacts:</w:t>
            </w:r>
          </w:p>
          <w:p w:rsidR="002F7563" w:rsidRDefault="002E18F6" w:rsidP="002E18F6">
            <w:pPr>
              <w:pStyle w:val="ListParagraph"/>
              <w:numPr>
                <w:ilvl w:val="0"/>
                <w:numId w:val="25"/>
              </w:numPr>
              <w:spacing w:beforeLines="40" w:before="96" w:afterLines="40" w:after="96"/>
              <w:rPr>
                <w:rFonts w:cs="Arial"/>
                <w:bCs/>
              </w:rPr>
            </w:pPr>
            <w:r>
              <w:rPr>
                <w:rFonts w:cs="Arial"/>
                <w:bCs/>
              </w:rPr>
              <w:t>Billing configuration changes for 3 new charge type codes (Charge, adjustment and Reconciliation), new price keys, new rates and new rate types.</w:t>
            </w:r>
          </w:p>
          <w:p w:rsidR="002E18F6" w:rsidRDefault="002E18F6" w:rsidP="002E18F6">
            <w:pPr>
              <w:pStyle w:val="ListParagraph"/>
              <w:numPr>
                <w:ilvl w:val="0"/>
                <w:numId w:val="25"/>
              </w:numPr>
              <w:spacing w:beforeLines="40" w:before="96" w:afterLines="40" w:after="96"/>
              <w:rPr>
                <w:rFonts w:cs="Arial"/>
                <w:bCs/>
              </w:rPr>
            </w:pPr>
            <w:r>
              <w:rPr>
                <w:rFonts w:cs="Arial"/>
                <w:bCs/>
              </w:rPr>
              <w:t>Changes to the pre-bill report</w:t>
            </w:r>
            <w:r w:rsidR="00065D6E">
              <w:rPr>
                <w:rFonts w:cs="Arial"/>
                <w:bCs/>
              </w:rPr>
              <w:t xml:space="preserve"> for the introduction of the new charge codes</w:t>
            </w:r>
            <w:r>
              <w:rPr>
                <w:rFonts w:cs="Arial"/>
                <w:bCs/>
              </w:rPr>
              <w:t xml:space="preserve"> </w:t>
            </w:r>
          </w:p>
          <w:p w:rsidR="00065D6E" w:rsidRDefault="00065D6E" w:rsidP="00065D6E">
            <w:pPr>
              <w:pStyle w:val="ListParagraph"/>
              <w:numPr>
                <w:ilvl w:val="0"/>
                <w:numId w:val="25"/>
              </w:numPr>
              <w:spacing w:beforeLines="40" w:before="96" w:afterLines="40" w:after="96"/>
              <w:rPr>
                <w:rFonts w:cs="Arial"/>
                <w:bCs/>
              </w:rPr>
            </w:pPr>
            <w:r>
              <w:rPr>
                <w:rFonts w:cs="Arial"/>
                <w:bCs/>
              </w:rPr>
              <w:t>Changes to the PCD templates for the new charge codes</w:t>
            </w:r>
          </w:p>
          <w:p w:rsidR="00065D6E" w:rsidRDefault="00065D6E" w:rsidP="00065D6E">
            <w:pPr>
              <w:spacing w:beforeLines="40" w:before="96" w:afterLines="40" w:after="96"/>
              <w:rPr>
                <w:rFonts w:cs="Arial"/>
                <w:bCs/>
              </w:rPr>
            </w:pPr>
          </w:p>
          <w:p w:rsidR="00065D6E" w:rsidRPr="00065D6E" w:rsidRDefault="00065D6E" w:rsidP="00065D6E">
            <w:pPr>
              <w:spacing w:beforeLines="40" w:before="96" w:afterLines="40" w:after="96"/>
              <w:rPr>
                <w:rFonts w:cs="Arial"/>
                <w:b/>
                <w:bCs/>
                <w:u w:val="single"/>
              </w:rPr>
            </w:pPr>
            <w:r w:rsidRPr="00065D6E">
              <w:rPr>
                <w:rFonts w:cs="Arial"/>
                <w:b/>
                <w:bCs/>
                <w:u w:val="single"/>
              </w:rPr>
              <w:t>SPA Impacts</w:t>
            </w:r>
          </w:p>
          <w:p w:rsidR="00065D6E" w:rsidRDefault="00065D6E" w:rsidP="00065D6E">
            <w:pPr>
              <w:spacing w:beforeLines="40" w:before="96" w:afterLines="40" w:after="96"/>
              <w:rPr>
                <w:rFonts w:cs="Arial"/>
                <w:bCs/>
              </w:rPr>
            </w:pPr>
            <w:r>
              <w:rPr>
                <w:rFonts w:cs="Arial"/>
                <w:bCs/>
              </w:rPr>
              <w:t>The following will be impacted:</w:t>
            </w:r>
          </w:p>
          <w:p w:rsidR="00065D6E" w:rsidRDefault="00065D6E" w:rsidP="00065D6E">
            <w:pPr>
              <w:pStyle w:val="ListParagraph"/>
              <w:numPr>
                <w:ilvl w:val="0"/>
                <w:numId w:val="26"/>
              </w:numPr>
              <w:spacing w:beforeLines="40" w:before="96" w:afterLines="40" w:after="96"/>
              <w:rPr>
                <w:rFonts w:cs="Arial"/>
                <w:bCs/>
              </w:rPr>
            </w:pPr>
            <w:r>
              <w:rPr>
                <w:rFonts w:cs="Arial"/>
                <w:bCs/>
              </w:rPr>
              <w:t>Nominations</w:t>
            </w:r>
          </w:p>
          <w:p w:rsidR="00065D6E" w:rsidRDefault="00065D6E" w:rsidP="00065D6E">
            <w:pPr>
              <w:pStyle w:val="ListParagraph"/>
              <w:numPr>
                <w:ilvl w:val="0"/>
                <w:numId w:val="26"/>
              </w:numPr>
              <w:spacing w:beforeLines="40" w:before="96" w:afterLines="40" w:after="96"/>
              <w:rPr>
                <w:rFonts w:cs="Arial"/>
                <w:bCs/>
              </w:rPr>
            </w:pPr>
            <w:r>
              <w:rPr>
                <w:rFonts w:cs="Arial"/>
                <w:bCs/>
              </w:rPr>
              <w:t>Confirmations</w:t>
            </w:r>
          </w:p>
          <w:p w:rsidR="00065D6E" w:rsidRDefault="00065D6E" w:rsidP="00065D6E">
            <w:pPr>
              <w:pStyle w:val="ListParagraph"/>
              <w:numPr>
                <w:ilvl w:val="0"/>
                <w:numId w:val="26"/>
              </w:numPr>
              <w:spacing w:beforeLines="40" w:before="96" w:afterLines="40" w:after="96"/>
              <w:rPr>
                <w:rFonts w:cs="Arial"/>
                <w:bCs/>
              </w:rPr>
            </w:pPr>
            <w:r>
              <w:rPr>
                <w:rFonts w:cs="Arial"/>
                <w:bCs/>
              </w:rPr>
              <w:t>SSMP Nominations</w:t>
            </w:r>
          </w:p>
          <w:p w:rsidR="00065D6E" w:rsidRDefault="00065D6E" w:rsidP="00065D6E">
            <w:pPr>
              <w:pStyle w:val="ListParagraph"/>
              <w:numPr>
                <w:ilvl w:val="0"/>
                <w:numId w:val="26"/>
              </w:numPr>
              <w:spacing w:beforeLines="40" w:before="96" w:afterLines="40" w:after="96"/>
              <w:rPr>
                <w:rFonts w:cs="Arial"/>
                <w:bCs/>
              </w:rPr>
            </w:pPr>
            <w:r>
              <w:rPr>
                <w:rFonts w:cs="Arial"/>
                <w:bCs/>
              </w:rPr>
              <w:t>SSMP Confirmations</w:t>
            </w:r>
          </w:p>
          <w:p w:rsidR="00065D6E" w:rsidRDefault="00065D6E" w:rsidP="00065D6E">
            <w:pPr>
              <w:pStyle w:val="ListParagraph"/>
              <w:numPr>
                <w:ilvl w:val="0"/>
                <w:numId w:val="26"/>
              </w:numPr>
              <w:spacing w:beforeLines="40" w:before="96" w:afterLines="40" w:after="96"/>
              <w:rPr>
                <w:rFonts w:cs="Arial"/>
                <w:bCs/>
              </w:rPr>
            </w:pPr>
            <w:r>
              <w:rPr>
                <w:rFonts w:cs="Arial"/>
                <w:bCs/>
              </w:rPr>
              <w:t>SAP contract change process</w:t>
            </w:r>
          </w:p>
          <w:p w:rsidR="00065D6E" w:rsidRDefault="00065D6E" w:rsidP="00065D6E">
            <w:pPr>
              <w:pStyle w:val="ListParagraph"/>
              <w:numPr>
                <w:ilvl w:val="0"/>
                <w:numId w:val="26"/>
              </w:numPr>
              <w:spacing w:beforeLines="40" w:before="96" w:afterLines="40" w:after="96"/>
              <w:rPr>
                <w:rFonts w:cs="Arial"/>
                <w:bCs/>
              </w:rPr>
            </w:pPr>
            <w:r>
              <w:rPr>
                <w:rFonts w:cs="Arial"/>
                <w:bCs/>
              </w:rPr>
              <w:t>Gemini work item</w:t>
            </w:r>
          </w:p>
          <w:p w:rsidR="00065D6E" w:rsidRDefault="00065D6E" w:rsidP="00065D6E">
            <w:pPr>
              <w:spacing w:beforeLines="40" w:before="96" w:afterLines="40" w:after="96"/>
              <w:rPr>
                <w:rFonts w:cs="Arial"/>
                <w:bCs/>
              </w:rPr>
            </w:pPr>
          </w:p>
          <w:p w:rsidR="00065D6E" w:rsidRPr="00065D6E" w:rsidRDefault="00065D6E" w:rsidP="00065D6E">
            <w:pPr>
              <w:spacing w:beforeLines="40" w:before="96" w:afterLines="40" w:after="96"/>
              <w:rPr>
                <w:rFonts w:cs="Arial"/>
                <w:b/>
                <w:bCs/>
                <w:u w:val="single"/>
              </w:rPr>
            </w:pPr>
            <w:r w:rsidRPr="00065D6E">
              <w:rPr>
                <w:rFonts w:cs="Arial"/>
                <w:b/>
                <w:bCs/>
                <w:u w:val="single"/>
              </w:rPr>
              <w:t>Gemini system</w:t>
            </w:r>
          </w:p>
          <w:p w:rsidR="00065D6E" w:rsidRDefault="00065D6E" w:rsidP="00065D6E">
            <w:pPr>
              <w:spacing w:beforeLines="40" w:before="96" w:afterLines="40" w:after="96"/>
              <w:rPr>
                <w:rFonts w:cs="Arial"/>
                <w:bCs/>
              </w:rPr>
            </w:pPr>
            <w:r>
              <w:rPr>
                <w:rFonts w:cs="Arial"/>
                <w:bCs/>
              </w:rPr>
              <w:t>Changes are likely to be required to Gemini, these will include:</w:t>
            </w:r>
          </w:p>
          <w:p w:rsidR="00065D6E" w:rsidRDefault="00065D6E" w:rsidP="00065D6E">
            <w:pPr>
              <w:pStyle w:val="ListParagraph"/>
              <w:numPr>
                <w:ilvl w:val="0"/>
                <w:numId w:val="27"/>
              </w:numPr>
              <w:spacing w:beforeLines="40" w:before="96" w:afterLines="40" w:after="96"/>
              <w:rPr>
                <w:rFonts w:cs="Arial"/>
                <w:bCs/>
              </w:rPr>
            </w:pPr>
            <w:r>
              <w:rPr>
                <w:rFonts w:cs="Arial"/>
                <w:bCs/>
              </w:rPr>
              <w:t>Changes to Short Haul charge and Short Haul rebate charge creation process</w:t>
            </w:r>
          </w:p>
          <w:p w:rsidR="00134717" w:rsidRDefault="00065D6E" w:rsidP="00065D6E">
            <w:pPr>
              <w:pStyle w:val="ListParagraph"/>
              <w:numPr>
                <w:ilvl w:val="0"/>
                <w:numId w:val="27"/>
              </w:numPr>
              <w:spacing w:beforeLines="40" w:before="96" w:afterLines="40" w:after="96"/>
              <w:rPr>
                <w:rFonts w:cs="Arial"/>
                <w:bCs/>
              </w:rPr>
            </w:pPr>
            <w:r>
              <w:rPr>
                <w:rFonts w:cs="Arial"/>
                <w:bCs/>
              </w:rPr>
              <w:t>Changes to th</w:t>
            </w:r>
            <w:r w:rsidR="00134717">
              <w:rPr>
                <w:rFonts w:cs="Arial"/>
                <w:bCs/>
              </w:rPr>
              <w:t>e</w:t>
            </w:r>
            <w:r>
              <w:rPr>
                <w:rFonts w:cs="Arial"/>
                <w:bCs/>
              </w:rPr>
              <w:t xml:space="preserve"> monthly</w:t>
            </w:r>
            <w:r w:rsidR="00134717">
              <w:rPr>
                <w:rFonts w:cs="Arial"/>
                <w:bCs/>
              </w:rPr>
              <w:t xml:space="preserve"> invoice generation process</w:t>
            </w:r>
          </w:p>
          <w:p w:rsidR="00065D6E" w:rsidRPr="00065D6E" w:rsidRDefault="00134717" w:rsidP="00065D6E">
            <w:pPr>
              <w:pStyle w:val="ListParagraph"/>
              <w:numPr>
                <w:ilvl w:val="0"/>
                <w:numId w:val="27"/>
              </w:numPr>
              <w:spacing w:beforeLines="40" w:before="96" w:afterLines="40" w:after="96"/>
              <w:rPr>
                <w:rFonts w:cs="Arial"/>
                <w:bCs/>
              </w:rPr>
            </w:pPr>
            <w:r>
              <w:rPr>
                <w:rFonts w:cs="Arial"/>
                <w:bCs/>
              </w:rPr>
              <w:t xml:space="preserve">Changes to the Gemini screens that display the charges  </w:t>
            </w:r>
          </w:p>
          <w:p w:rsidR="00065D6E" w:rsidRPr="00065D6E" w:rsidRDefault="00065D6E" w:rsidP="00065D6E">
            <w:pPr>
              <w:spacing w:beforeLines="40" w:before="96" w:afterLines="40" w:after="96"/>
              <w:rPr>
                <w:rFonts w:cs="Arial"/>
                <w:bCs/>
              </w:rPr>
            </w:pPr>
          </w:p>
          <w:p w:rsidR="00065D6E" w:rsidRPr="00065D6E" w:rsidRDefault="00065D6E" w:rsidP="00065D6E">
            <w:pPr>
              <w:spacing w:beforeLines="40" w:before="96" w:afterLines="40" w:after="96"/>
              <w:rPr>
                <w:rFonts w:cs="Arial"/>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lastRenderedPageBreak/>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E433AD" w:rsidRDefault="00710797" w:rsidP="009005FE">
            <w:pPr>
              <w:rPr>
                <w:rFonts w:cs="Arial"/>
              </w:rPr>
            </w:pPr>
            <w:r w:rsidRPr="00B53BD2">
              <w:rPr>
                <w:rFonts w:cs="Arial"/>
              </w:rPr>
              <w:t xml:space="preserve">The solution will cost at least </w:t>
            </w:r>
            <w:r w:rsidR="00696929" w:rsidRPr="00696929">
              <w:rPr>
                <w:rFonts w:cs="Arial"/>
              </w:rPr>
              <w:t>£</w:t>
            </w:r>
            <w:r w:rsidR="00C73D58">
              <w:rPr>
                <w:rFonts w:cs="Arial"/>
              </w:rPr>
              <w:t>100</w:t>
            </w:r>
            <w:r w:rsidR="00696929">
              <w:rPr>
                <w:rFonts w:cs="Arial"/>
              </w:rPr>
              <w:t>k</w:t>
            </w:r>
            <w:r w:rsidRPr="0043727A">
              <w:rPr>
                <w:rFonts w:cs="Arial"/>
              </w:rPr>
              <w:t>,</w:t>
            </w:r>
            <w:r w:rsidRPr="00B53BD2">
              <w:rPr>
                <w:rFonts w:cs="Arial"/>
              </w:rPr>
              <w:t xml:space="preserve"> but probably not more than </w:t>
            </w:r>
            <w:r w:rsidRPr="00696929">
              <w:rPr>
                <w:rFonts w:cs="Arial"/>
              </w:rPr>
              <w:t>£</w:t>
            </w:r>
            <w:r w:rsidR="00696929">
              <w:rPr>
                <w:rFonts w:cs="Arial"/>
              </w:rPr>
              <w:t>1</w:t>
            </w:r>
            <w:r w:rsidR="00C73D58">
              <w:rPr>
                <w:rFonts w:cs="Arial"/>
              </w:rPr>
              <w:t>15</w:t>
            </w:r>
            <w:r w:rsidR="00696929">
              <w:rPr>
                <w:rFonts w:cs="Arial"/>
              </w:rPr>
              <w:t>k</w:t>
            </w:r>
            <w:r>
              <w:rPr>
                <w:rFonts w:cs="Arial"/>
                <w:b/>
              </w:rPr>
              <w:t xml:space="preserve"> </w:t>
            </w:r>
            <w:r w:rsidRPr="00F7139E">
              <w:rPr>
                <w:rFonts w:cs="Arial"/>
              </w:rPr>
              <w:t>to develop</w:t>
            </w:r>
            <w:r w:rsidR="00585BAB">
              <w:rPr>
                <w:rFonts w:cs="Arial"/>
              </w:rPr>
              <w:t>.</w:t>
            </w:r>
          </w:p>
          <w:p w:rsidR="00347AB3" w:rsidRPr="003863E4" w:rsidRDefault="00696929" w:rsidP="009005FE">
            <w:pPr>
              <w:rPr>
                <w:rFonts w:cs="Arial"/>
              </w:rPr>
            </w:pPr>
            <w:r>
              <w:rPr>
                <w:rFonts w:cs="Arial"/>
              </w:rPr>
              <w:t>An offline interim solution has been considered, however the costs are likely to more than the online system solution and could not be delivered any sooner.</w:t>
            </w:r>
          </w:p>
        </w:tc>
      </w:tr>
      <w:tr w:rsidR="00D459F0" w:rsidRPr="006E323D" w:rsidTr="00C2627B">
        <w:trPr>
          <w:cantSplit/>
        </w:trPr>
        <w:tc>
          <w:tcPr>
            <w:tcW w:w="9889" w:type="dxa"/>
            <w:tcMar>
              <w:top w:w="28" w:type="dxa"/>
              <w:bottom w:w="28" w:type="dxa"/>
            </w:tcMar>
          </w:tcPr>
          <w:p w:rsidR="00572923" w:rsidRPr="00C2627B" w:rsidRDefault="00D459F0" w:rsidP="00696929">
            <w:pPr>
              <w:spacing w:before="60" w:after="60"/>
              <w:rPr>
                <w:rFonts w:cs="Arial"/>
                <w:b/>
                <w:bCs/>
              </w:rPr>
            </w:pPr>
            <w:r w:rsidRPr="00C2627B">
              <w:rPr>
                <w:rFonts w:cs="Arial"/>
                <w:b/>
                <w:bCs/>
              </w:rPr>
              <w:t>Change Costs (on-going</w:t>
            </w:r>
            <w:r w:rsidR="004308EA">
              <w:rPr>
                <w:rFonts w:cs="Arial"/>
                <w:b/>
                <w:bCs/>
              </w:rPr>
              <w:t>):</w:t>
            </w:r>
            <w:r w:rsidR="00696929">
              <w:rPr>
                <w:rFonts w:cs="Arial"/>
                <w:b/>
                <w:bCs/>
              </w:rPr>
              <w:t xml:space="preserve">  </w:t>
            </w:r>
            <w:r w:rsidR="00696929" w:rsidRPr="00696929">
              <w:rPr>
                <w:rFonts w:cs="Arial"/>
                <w:bCs/>
              </w:rPr>
              <w:t>There are annual on-going costs</w:t>
            </w:r>
            <w:r w:rsidR="00696929">
              <w:rPr>
                <w:rFonts w:cs="Arial"/>
                <w:bCs/>
              </w:rPr>
              <w:t>,</w:t>
            </w:r>
            <w:r w:rsidR="00696929" w:rsidRPr="00696929">
              <w:rPr>
                <w:rFonts w:cs="Arial"/>
                <w:bCs/>
              </w:rPr>
              <w:t xml:space="preserve"> but these are likely to less than ½ day for 1 FTE per annum</w:t>
            </w:r>
            <w:r w:rsidR="00696929">
              <w:rPr>
                <w:rFonts w:cs="Arial"/>
                <w:bCs/>
              </w:rPr>
              <w:t>.</w:t>
            </w: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2E7673" w:rsidRPr="00C2627B" w:rsidRDefault="007A4FC4" w:rsidP="0014098F">
            <w:pPr>
              <w:pStyle w:val="ListParagraph"/>
              <w:numPr>
                <w:ilvl w:val="0"/>
                <w:numId w:val="17"/>
              </w:numPr>
              <w:spacing w:before="60" w:after="60"/>
              <w:ind w:left="284" w:hanging="284"/>
              <w:rPr>
                <w:rFonts w:cs="Arial"/>
                <w:b/>
                <w:bCs/>
              </w:rPr>
            </w:pPr>
            <w:r w:rsidRPr="00AC14EF">
              <w:rPr>
                <w:rFonts w:cs="Arial"/>
                <w:bCs/>
                <w:color w:val="0D0D0D" w:themeColor="text1" w:themeTint="F2"/>
              </w:rPr>
              <w:t xml:space="preserve">The strategy adopted for Post Nexus change is a Release strategy (changes grouped and implemented together at a set date) and it is expected that this change would form part of a </w:t>
            </w:r>
            <w:r>
              <w:rPr>
                <w:rFonts w:cs="Arial"/>
                <w:bCs/>
                <w:color w:val="0D0D0D" w:themeColor="text1" w:themeTint="F2"/>
              </w:rPr>
              <w:t xml:space="preserve">major </w:t>
            </w:r>
            <w:r w:rsidRPr="00AC14EF">
              <w:rPr>
                <w:rFonts w:cs="Arial"/>
                <w:bCs/>
                <w:color w:val="0D0D0D" w:themeColor="text1" w:themeTint="F2"/>
              </w:rPr>
              <w:t>Release</w:t>
            </w:r>
            <w:r w:rsidR="0014098F">
              <w:rPr>
                <w:rFonts w:cs="Arial"/>
                <w:bCs/>
                <w:color w:val="0D0D0D" w:themeColor="text1" w:themeTint="F2"/>
              </w:rPr>
              <w:t>.  Consideration for inclusion in a Release will be made when the Change Proposal is submitted to the Change Management Committee (ChMC)</w:t>
            </w:r>
            <w:r w:rsidR="00585BAB">
              <w:rPr>
                <w:rFonts w:cs="Arial"/>
                <w:bCs/>
                <w:color w:val="0D0D0D" w:themeColor="text1" w:themeTint="F2"/>
              </w:rPr>
              <w:t>.</w:t>
            </w:r>
            <w:r w:rsidR="0014098F">
              <w:rPr>
                <w:rFonts w:cs="Arial"/>
                <w:bCs/>
                <w:color w:val="0D0D0D" w:themeColor="text1" w:themeTint="F2"/>
              </w:rPr>
              <w:t xml:space="preserve">  </w:t>
            </w:r>
          </w:p>
        </w:tc>
      </w:tr>
      <w:tr w:rsidR="00DE2B4F" w:rsidRPr="006E323D" w:rsidTr="00C2627B">
        <w:trPr>
          <w:cantSplit/>
        </w:trPr>
        <w:tc>
          <w:tcPr>
            <w:tcW w:w="9889" w:type="dxa"/>
            <w:tcMar>
              <w:top w:w="28" w:type="dxa"/>
              <w:bottom w:w="28" w:type="dxa"/>
            </w:tcMar>
          </w:tcPr>
          <w:p w:rsidR="00E433AD" w:rsidRDefault="00EA36E8" w:rsidP="00EA36E8">
            <w:pPr>
              <w:spacing w:before="60" w:after="60"/>
              <w:rPr>
                <w:rFonts w:cs="Arial"/>
                <w:b/>
                <w:bCs/>
              </w:rPr>
            </w:pPr>
            <w:r>
              <w:rPr>
                <w:rFonts w:cs="Arial"/>
                <w:b/>
                <w:bCs/>
              </w:rPr>
              <w:t>Assumptions:</w:t>
            </w:r>
          </w:p>
          <w:p w:rsidR="00134717" w:rsidRPr="00EA36E8" w:rsidRDefault="00134717" w:rsidP="002B42F4">
            <w:pPr>
              <w:numPr>
                <w:ilvl w:val="0"/>
                <w:numId w:val="10"/>
              </w:numPr>
              <w:spacing w:after="0"/>
              <w:rPr>
                <w:rFonts w:cs="Arial"/>
                <w:b/>
                <w:bCs/>
              </w:rPr>
            </w:pPr>
            <w:r w:rsidRPr="00134717">
              <w:t>LDZ sites will use the nominated DMSOQ value in place of MNEPOR</w:t>
            </w:r>
            <w:r w:rsidR="0014098F">
              <w:t>.</w:t>
            </w: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t>Constraints:</w:t>
            </w:r>
          </w:p>
          <w:p w:rsidR="00390528" w:rsidRPr="006E323D" w:rsidRDefault="00892385" w:rsidP="00C73D58">
            <w:pPr>
              <w:pStyle w:val="ListParagraph"/>
              <w:numPr>
                <w:ilvl w:val="0"/>
                <w:numId w:val="10"/>
              </w:numPr>
              <w:spacing w:after="0"/>
              <w:ind w:left="284" w:hanging="284"/>
              <w:contextualSpacing w:val="0"/>
              <w:rPr>
                <w:rFonts w:cs="Arial"/>
                <w:b/>
                <w:bCs/>
              </w:rPr>
            </w:pPr>
            <w:r>
              <w:rPr>
                <w:rFonts w:cs="Arial"/>
                <w:bCs/>
              </w:rPr>
              <w:t>A Price change notification would be required.</w:t>
            </w:r>
            <w:r w:rsidR="00C73D58">
              <w:rPr>
                <w:rFonts w:cs="Arial"/>
                <w:bCs/>
              </w:rPr>
              <w:t xml:space="preserve"> </w:t>
            </w:r>
          </w:p>
        </w:tc>
      </w:tr>
      <w:tr w:rsidR="006D1C0F" w:rsidRPr="006E323D" w:rsidTr="00C2627B">
        <w:trPr>
          <w:cantSplit/>
        </w:trPr>
        <w:tc>
          <w:tcPr>
            <w:tcW w:w="9889" w:type="dxa"/>
            <w:tcMar>
              <w:top w:w="28" w:type="dxa"/>
              <w:bottom w:w="28" w:type="dxa"/>
            </w:tcMar>
          </w:tcPr>
          <w:p w:rsidR="00E433AD" w:rsidRDefault="002547AD" w:rsidP="0043727A">
            <w:pPr>
              <w:spacing w:after="0"/>
              <w:rPr>
                <w:rFonts w:cs="Arial"/>
                <w:b/>
                <w:bCs/>
              </w:rPr>
            </w:pPr>
            <w:r>
              <w:rPr>
                <w:rFonts w:cs="Arial"/>
                <w:b/>
                <w:bCs/>
              </w:rPr>
              <w:t>Observations:</w:t>
            </w:r>
          </w:p>
          <w:p w:rsidR="002B42F4" w:rsidRPr="00892385" w:rsidRDefault="00892385" w:rsidP="00892385">
            <w:pPr>
              <w:pStyle w:val="ListParagraph"/>
              <w:numPr>
                <w:ilvl w:val="0"/>
                <w:numId w:val="10"/>
              </w:numPr>
              <w:spacing w:after="0"/>
              <w:rPr>
                <w:rFonts w:cs="Arial"/>
                <w:bCs/>
              </w:rPr>
            </w:pPr>
            <w:r>
              <w:rPr>
                <w:rFonts w:cs="Arial"/>
                <w:bCs/>
              </w:rPr>
              <w:t>It is likely that SAP BW reports are affected and require changes.  However, due to time and resource constraints the number and materiality of reports has not been analysed.</w:t>
            </w:r>
          </w:p>
        </w:tc>
      </w:tr>
    </w:tbl>
    <w:p w:rsidR="001C4A3A" w:rsidRDefault="001C4A3A">
      <w:pPr>
        <w:spacing w:before="0" w:after="0"/>
        <w:rPr>
          <w:rFonts w:cs="Arial"/>
        </w:rPr>
      </w:pPr>
    </w:p>
    <w:p w:rsidR="00F7139E" w:rsidRDefault="00F7139E" w:rsidP="001C4A3A">
      <w:pPr>
        <w:spacing w:before="0" w:after="0"/>
        <w:rPr>
          <w:rFonts w:cs="Arial"/>
        </w:rPr>
      </w:pPr>
    </w:p>
    <w:p w:rsidR="00F7139E" w:rsidRDefault="00F7139E" w:rsidP="001C4A3A">
      <w:pPr>
        <w:spacing w:before="0" w:after="0"/>
        <w:rPr>
          <w:rFonts w:cs="Arial"/>
        </w:rPr>
      </w:pPr>
    </w:p>
    <w:p w:rsidR="00F7139E" w:rsidRDefault="00F7139E" w:rsidP="001C4A3A">
      <w:pPr>
        <w:spacing w:before="0" w:after="0"/>
        <w:rPr>
          <w:rFonts w:cs="Arial"/>
        </w:rPr>
      </w:pPr>
    </w:p>
    <w:p w:rsidR="00F7139E" w:rsidRDefault="00F7139E" w:rsidP="001C4A3A">
      <w:pPr>
        <w:spacing w:before="0" w:after="0"/>
        <w:rPr>
          <w:rFonts w:cs="Arial"/>
        </w:rPr>
      </w:pPr>
    </w:p>
    <w:p w:rsidR="00F7139E" w:rsidRDefault="00F7139E" w:rsidP="001C4A3A">
      <w:pPr>
        <w:spacing w:before="0" w:after="0"/>
        <w:rPr>
          <w:rFonts w:cs="Arial"/>
        </w:rPr>
      </w:pPr>
    </w:p>
    <w:p w:rsidR="00F7139E" w:rsidRDefault="00F7139E" w:rsidP="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3B01F6" w:rsidP="003B01F6">
            <w:pPr>
              <w:spacing w:before="0" w:after="0"/>
              <w:rPr>
                <w:rFonts w:cs="Arial"/>
              </w:rPr>
            </w:pPr>
            <w:r>
              <w:rPr>
                <w:rFonts w:cs="Arial"/>
              </w:rPr>
              <w:t>.box.</w:t>
            </w:r>
            <w:r w:rsidR="00742715">
              <w:rPr>
                <w:rFonts w:cs="Arial"/>
              </w:rPr>
              <w:t>xoserve.</w:t>
            </w:r>
            <w:r>
              <w:rPr>
                <w:rFonts w:cs="Arial"/>
              </w:rPr>
              <w:t>portfolioOffice</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1373D">
            <w:pPr>
              <w:pStyle w:val="TOC2"/>
            </w:pP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773"/>
        <w:gridCol w:w="4855"/>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6D1C0F">
            <w:pPr>
              <w:pStyle w:val="Header"/>
              <w:numPr>
                <w:ilvl w:val="0"/>
                <w:numId w:val="3"/>
              </w:numPr>
              <w:tabs>
                <w:tab w:val="clear" w:pos="4153"/>
                <w:tab w:val="clear" w:pos="8306"/>
              </w:tabs>
              <w:spacing w:before="0" w:after="0"/>
              <w:rPr>
                <w:rFonts w:cs="Arial"/>
              </w:rPr>
            </w:pPr>
            <w:r w:rsidRPr="00C2627B">
              <w:rPr>
                <w:rFonts w:cs="Arial"/>
              </w:rPr>
              <w:t>CDSP Service Description</w:t>
            </w:r>
          </w:p>
          <w:p w:rsidR="00EA2692" w:rsidRDefault="00216331" w:rsidP="006D1C0F">
            <w:pPr>
              <w:pStyle w:val="Header"/>
              <w:numPr>
                <w:ilvl w:val="0"/>
                <w:numId w:val="3"/>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C92351" w:rsidP="00812D88">
            <w:sdt>
              <w:sdtPr>
                <w:id w:val="-408613711"/>
              </w:sdtPr>
              <w:sdtEndPr/>
              <w:sdtContent>
                <w:r w:rsidR="00812D88">
                  <w:rPr>
                    <w:rFonts w:ascii="MS Gothic" w:eastAsia="MS Gothic" w:hAnsi="MS Gothic" w:hint="eastAsia"/>
                  </w:rPr>
                  <w:t>☐</w:t>
                </w:r>
              </w:sdtContent>
            </w:sdt>
            <w:r w:rsidR="00612611">
              <w:t>Yes</w:t>
            </w:r>
          </w:p>
          <w:p w:rsidR="00812D88" w:rsidRPr="00A1373D" w:rsidRDefault="00C92351" w:rsidP="00C2627B">
            <w:sdt>
              <w:sdtPr>
                <w:id w:val="575010256"/>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C92351" w:rsidP="00612611">
            <w:sdt>
              <w:sdtPr>
                <w:id w:val="338743586"/>
              </w:sdtPr>
              <w:sdtEndPr/>
              <w:sdtContent>
                <w:r w:rsidR="00612611">
                  <w:rPr>
                    <w:rFonts w:ascii="MS Gothic" w:eastAsia="MS Gothic" w:hAnsi="MS Gothic" w:hint="eastAsia"/>
                  </w:rPr>
                  <w:t>☐</w:t>
                </w:r>
              </w:sdtContent>
            </w:sdt>
            <w:r w:rsidR="00612611">
              <w:t>Yes</w:t>
            </w:r>
          </w:p>
          <w:p w:rsidR="00612611" w:rsidRPr="00A1373D" w:rsidRDefault="00C92351" w:rsidP="00612611">
            <w:sdt>
              <w:sdtPr>
                <w:id w:val="1883832723"/>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C92351" w:rsidP="00612611">
            <w:sdt>
              <w:sdtPr>
                <w:id w:val="1720326888"/>
              </w:sdtPr>
              <w:sdtEndPr/>
              <w:sdtContent>
                <w:r w:rsidR="00612611">
                  <w:rPr>
                    <w:rFonts w:ascii="MS Gothic" w:eastAsia="MS Gothic" w:hAnsi="MS Gothic" w:hint="eastAsia"/>
                  </w:rPr>
                  <w:t>☐</w:t>
                </w:r>
              </w:sdtContent>
            </w:sdt>
            <w:r w:rsidR="00612611">
              <w:t>Yes</w:t>
            </w:r>
          </w:p>
          <w:p w:rsidR="00612611" w:rsidRPr="00A1373D" w:rsidRDefault="00C92351" w:rsidP="00612611">
            <w:sdt>
              <w:sdtPr>
                <w:id w:val="2101369091"/>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lastRenderedPageBreak/>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This should refer to whether the proposing party considers the service change to relate to an existing service area or whether is constitutes a new service area.</w:t>
            </w:r>
          </w:p>
        </w:tc>
        <w:tc>
          <w:tcPr>
            <w:tcW w:w="5103" w:type="dxa"/>
            <w:shd w:val="clear" w:color="auto" w:fill="auto"/>
          </w:tcPr>
          <w:p w:rsidR="00612611" w:rsidRDefault="00C92351" w:rsidP="00612611">
            <w:sdt>
              <w:sdtPr>
                <w:id w:val="468093069"/>
              </w:sdtPr>
              <w:sdtEndPr/>
              <w:sdtContent>
                <w:r w:rsidR="00612611">
                  <w:rPr>
                    <w:rFonts w:ascii="MS Gothic" w:eastAsia="MS Gothic" w:hAnsi="MS Gothic" w:hint="eastAsia"/>
                  </w:rPr>
                  <w:t>☐</w:t>
                </w:r>
              </w:sdtContent>
            </w:sdt>
            <w:r w:rsidR="00612611">
              <w:t>Yes</w:t>
            </w:r>
          </w:p>
          <w:p w:rsidR="00612611" w:rsidRPr="00A1373D" w:rsidRDefault="00C92351" w:rsidP="00612611">
            <w:sdt>
              <w:sdtPr>
                <w:id w:val="-303857010"/>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C92351" w:rsidP="00612611">
            <w:sdt>
              <w:sdtPr>
                <w:id w:val="-1357654414"/>
              </w:sdtPr>
              <w:sdtEndPr/>
              <w:sdtContent>
                <w:r w:rsidR="00612611">
                  <w:rPr>
                    <w:rFonts w:ascii="MS Gothic" w:eastAsia="MS Gothic" w:hAnsi="MS Gothic" w:hint="eastAsia"/>
                  </w:rPr>
                  <w:t>☐</w:t>
                </w:r>
              </w:sdtContent>
            </w:sdt>
            <w:r w:rsidR="00612611">
              <w:t>Yes</w:t>
            </w:r>
          </w:p>
          <w:p w:rsidR="00612611" w:rsidRPr="00A1373D" w:rsidRDefault="00C92351" w:rsidP="00612611">
            <w:sdt>
              <w:sdtPr>
                <w:id w:val="1062996843"/>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773"/>
        <w:gridCol w:w="4855"/>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6D1C0F">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C92351" w:rsidP="005B6F98">
            <w:sdt>
              <w:sdtPr>
                <w:id w:val="233818100"/>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C92351" w:rsidP="00C2627B">
            <w:pPr>
              <w:pStyle w:val="TOC2"/>
            </w:pPr>
            <w:sdt>
              <w:sdtPr>
                <w:id w:val="837435035"/>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6D1C0F">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6D1C0F">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6D1C0F">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lastRenderedPageBreak/>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rsidTr="00C2627B">
        <w:trPr>
          <w:trHeight w:val="1529"/>
        </w:trPr>
        <w:tc>
          <w:tcPr>
            <w:tcW w:w="10008" w:type="dxa"/>
            <w:shd w:val="clear" w:color="auto" w:fill="auto"/>
            <w:tcMar>
              <w:top w:w="57" w:type="dxa"/>
              <w:bottom w:w="57" w:type="dxa"/>
            </w:tcMar>
          </w:tcPr>
          <w:p w:rsidR="005B6F98" w:rsidRDefault="00C92351" w:rsidP="005B6F98">
            <w:sdt>
              <w:sdtPr>
                <w:id w:val="1035935620"/>
              </w:sdtPr>
              <w:sdtEndPr/>
              <w:sdtContent>
                <w:r w:rsidR="005B6F98">
                  <w:rPr>
                    <w:rFonts w:ascii="MS Gothic" w:eastAsia="MS Gothic" w:hAnsi="MS Gothic" w:hint="eastAsia"/>
                  </w:rPr>
                  <w:t>☐</w:t>
                </w:r>
              </w:sdtContent>
            </w:sdt>
            <w:r w:rsidR="005B6F98">
              <w:t>Yes (please give detail below)</w:t>
            </w:r>
          </w:p>
          <w:p w:rsidR="00B477D2" w:rsidRPr="00B174A5" w:rsidRDefault="00C92351" w:rsidP="00C2627B">
            <w:pPr>
              <w:pStyle w:val="TOC2"/>
            </w:pPr>
            <w:sdt>
              <w:sdtPr>
                <w:id w:val="1223494572"/>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773"/>
        <w:gridCol w:w="4855"/>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lastRenderedPageBreak/>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C92351" w:rsidP="005B6F98">
            <w:sdt>
              <w:sdtPr>
                <w:id w:val="912897466"/>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C92351" w:rsidP="00C2627B">
            <w:pPr>
              <w:pStyle w:val="TOC2"/>
            </w:pPr>
            <w:sdt>
              <w:sdtPr>
                <w:id w:val="215557342"/>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777"/>
        <w:gridCol w:w="4851"/>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787"/>
        <w:gridCol w:w="7841"/>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64174C">
      <w:headerReference w:type="default" r:id="rId13"/>
      <w:footerReference w:type="default" r:id="rId14"/>
      <w:type w:val="continuous"/>
      <w:pgSz w:w="11906" w:h="16838" w:code="9"/>
      <w:pgMar w:top="1276" w:right="1134" w:bottom="2835" w:left="1134" w:header="709" w:footer="544"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351" w:rsidRDefault="00C92351">
      <w:r>
        <w:separator/>
      </w:r>
    </w:p>
  </w:endnote>
  <w:endnote w:type="continuationSeparator" w:id="0">
    <w:p w:rsidR="00C92351" w:rsidRDefault="00C92351">
      <w:r>
        <w:continuationSeparator/>
      </w:r>
    </w:p>
  </w:endnote>
  <w:endnote w:type="continuationNotice" w:id="1">
    <w:p w:rsidR="00C92351" w:rsidRDefault="00C923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FC4" w:rsidRDefault="007A4FC4"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A32A7C">
      <w:rPr>
        <w:rFonts w:ascii="Franklin Gothic Book" w:hAnsi="Franklin Gothic Book" w:cs="Tahoma"/>
        <w:noProof/>
        <w:sz w:val="16"/>
        <w:lang w:val="en-US"/>
      </w:rPr>
      <w:t>12</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A32A7C">
      <w:rPr>
        <w:rFonts w:ascii="Franklin Gothic Book" w:hAnsi="Franklin Gothic Book" w:cs="Tahoma"/>
        <w:noProof/>
        <w:sz w:val="16"/>
        <w:lang w:val="en-US"/>
      </w:rPr>
      <w:t>27</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351" w:rsidRDefault="00C92351">
      <w:r>
        <w:separator/>
      </w:r>
    </w:p>
  </w:footnote>
  <w:footnote w:type="continuationSeparator" w:id="0">
    <w:p w:rsidR="00C92351" w:rsidRDefault="00C92351">
      <w:r>
        <w:continuationSeparator/>
      </w:r>
    </w:p>
  </w:footnote>
  <w:footnote w:type="continuationNotice" w:id="1">
    <w:p w:rsidR="00C92351" w:rsidRDefault="00C923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FC4" w:rsidRPr="00C2627B" w:rsidRDefault="007A4FC4">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6EE0BC8"/>
    <w:multiLevelType w:val="hybridMultilevel"/>
    <w:tmpl w:val="4DC84BE0"/>
    <w:lvl w:ilvl="0" w:tplc="4EDA9A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33938"/>
    <w:multiLevelType w:val="hybridMultilevel"/>
    <w:tmpl w:val="852205A2"/>
    <w:lvl w:ilvl="0" w:tplc="9424A1A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A5B43"/>
    <w:multiLevelType w:val="hybridMultilevel"/>
    <w:tmpl w:val="4C8CFC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A352470"/>
    <w:multiLevelType w:val="hybridMultilevel"/>
    <w:tmpl w:val="216ED87A"/>
    <w:lvl w:ilvl="0" w:tplc="84FC29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21EB0"/>
    <w:multiLevelType w:val="hybridMultilevel"/>
    <w:tmpl w:val="E66E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6164C"/>
    <w:multiLevelType w:val="hybridMultilevel"/>
    <w:tmpl w:val="0554A71E"/>
    <w:lvl w:ilvl="0" w:tplc="98E28B06">
      <w:start w:val="1"/>
      <w:numFmt w:val="decimal"/>
      <w:lvlText w:val="%1."/>
      <w:lvlJc w:val="left"/>
      <w:pPr>
        <w:ind w:left="509" w:hanging="360"/>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7"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37933D77"/>
    <w:multiLevelType w:val="hybridMultilevel"/>
    <w:tmpl w:val="FC0ACB90"/>
    <w:lvl w:ilvl="0" w:tplc="54C813CC">
      <w:start w:val="1"/>
      <w:numFmt w:val="lowerRoman"/>
      <w:lvlText w:val="(%1)"/>
      <w:lvlJc w:val="left"/>
      <w:pPr>
        <w:ind w:left="1874" w:hanging="72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1" w15:restartNumberingAfterBreak="0">
    <w:nsid w:val="380420F6"/>
    <w:multiLevelType w:val="hybridMultilevel"/>
    <w:tmpl w:val="7D7C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2140B3"/>
    <w:multiLevelType w:val="hybridMultilevel"/>
    <w:tmpl w:val="9B38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80D7D"/>
    <w:multiLevelType w:val="hybridMultilevel"/>
    <w:tmpl w:val="5590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64032"/>
    <w:multiLevelType w:val="hybridMultilevel"/>
    <w:tmpl w:val="142E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9119B"/>
    <w:multiLevelType w:val="hybridMultilevel"/>
    <w:tmpl w:val="72F6C626"/>
    <w:lvl w:ilvl="0" w:tplc="57AE2546">
      <w:numFmt w:val="bullet"/>
      <w:lvlText w:val=""/>
      <w:lvlJc w:val="left"/>
      <w:pPr>
        <w:ind w:left="509" w:hanging="360"/>
      </w:pPr>
      <w:rPr>
        <w:rFonts w:ascii="Symbol" w:eastAsia="Times New Roman" w:hAnsi="Symbol" w:cs="Arial" w:hint="default"/>
      </w:rPr>
    </w:lvl>
    <w:lvl w:ilvl="1" w:tplc="08090003" w:tentative="1">
      <w:start w:val="1"/>
      <w:numFmt w:val="bullet"/>
      <w:lvlText w:val="o"/>
      <w:lvlJc w:val="left"/>
      <w:pPr>
        <w:ind w:left="1229" w:hanging="360"/>
      </w:pPr>
      <w:rPr>
        <w:rFonts w:ascii="Courier New" w:hAnsi="Courier New" w:cs="Courier New" w:hint="default"/>
      </w:rPr>
    </w:lvl>
    <w:lvl w:ilvl="2" w:tplc="08090005" w:tentative="1">
      <w:start w:val="1"/>
      <w:numFmt w:val="bullet"/>
      <w:lvlText w:val=""/>
      <w:lvlJc w:val="left"/>
      <w:pPr>
        <w:ind w:left="1949" w:hanging="360"/>
      </w:pPr>
      <w:rPr>
        <w:rFonts w:ascii="Wingdings" w:hAnsi="Wingdings" w:hint="default"/>
      </w:rPr>
    </w:lvl>
    <w:lvl w:ilvl="3" w:tplc="08090001" w:tentative="1">
      <w:start w:val="1"/>
      <w:numFmt w:val="bullet"/>
      <w:lvlText w:val=""/>
      <w:lvlJc w:val="left"/>
      <w:pPr>
        <w:ind w:left="2669" w:hanging="360"/>
      </w:pPr>
      <w:rPr>
        <w:rFonts w:ascii="Symbol" w:hAnsi="Symbol" w:hint="default"/>
      </w:rPr>
    </w:lvl>
    <w:lvl w:ilvl="4" w:tplc="08090003" w:tentative="1">
      <w:start w:val="1"/>
      <w:numFmt w:val="bullet"/>
      <w:lvlText w:val="o"/>
      <w:lvlJc w:val="left"/>
      <w:pPr>
        <w:ind w:left="3389" w:hanging="360"/>
      </w:pPr>
      <w:rPr>
        <w:rFonts w:ascii="Courier New" w:hAnsi="Courier New" w:cs="Courier New" w:hint="default"/>
      </w:rPr>
    </w:lvl>
    <w:lvl w:ilvl="5" w:tplc="08090005" w:tentative="1">
      <w:start w:val="1"/>
      <w:numFmt w:val="bullet"/>
      <w:lvlText w:val=""/>
      <w:lvlJc w:val="left"/>
      <w:pPr>
        <w:ind w:left="4109" w:hanging="360"/>
      </w:pPr>
      <w:rPr>
        <w:rFonts w:ascii="Wingdings" w:hAnsi="Wingdings" w:hint="default"/>
      </w:rPr>
    </w:lvl>
    <w:lvl w:ilvl="6" w:tplc="08090001" w:tentative="1">
      <w:start w:val="1"/>
      <w:numFmt w:val="bullet"/>
      <w:lvlText w:val=""/>
      <w:lvlJc w:val="left"/>
      <w:pPr>
        <w:ind w:left="4829" w:hanging="360"/>
      </w:pPr>
      <w:rPr>
        <w:rFonts w:ascii="Symbol" w:hAnsi="Symbol" w:hint="default"/>
      </w:rPr>
    </w:lvl>
    <w:lvl w:ilvl="7" w:tplc="08090003" w:tentative="1">
      <w:start w:val="1"/>
      <w:numFmt w:val="bullet"/>
      <w:lvlText w:val="o"/>
      <w:lvlJc w:val="left"/>
      <w:pPr>
        <w:ind w:left="5549" w:hanging="360"/>
      </w:pPr>
      <w:rPr>
        <w:rFonts w:ascii="Courier New" w:hAnsi="Courier New" w:cs="Courier New" w:hint="default"/>
      </w:rPr>
    </w:lvl>
    <w:lvl w:ilvl="8" w:tplc="08090005" w:tentative="1">
      <w:start w:val="1"/>
      <w:numFmt w:val="bullet"/>
      <w:lvlText w:val=""/>
      <w:lvlJc w:val="left"/>
      <w:pPr>
        <w:ind w:left="6269" w:hanging="360"/>
      </w:pPr>
      <w:rPr>
        <w:rFonts w:ascii="Wingdings" w:hAnsi="Wingdings" w:hint="default"/>
      </w:rPr>
    </w:lvl>
  </w:abstractNum>
  <w:abstractNum w:abstractNumId="16" w15:restartNumberingAfterBreak="0">
    <w:nsid w:val="62675B6A"/>
    <w:multiLevelType w:val="hybridMultilevel"/>
    <w:tmpl w:val="DDD82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9E3A48"/>
    <w:multiLevelType w:val="hybridMultilevel"/>
    <w:tmpl w:val="B712B734"/>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E46F7"/>
    <w:multiLevelType w:val="hybridMultilevel"/>
    <w:tmpl w:val="5694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B3E03"/>
    <w:multiLevelType w:val="hybridMultilevel"/>
    <w:tmpl w:val="5382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03FE6"/>
    <w:multiLevelType w:val="hybridMultilevel"/>
    <w:tmpl w:val="8CEE0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5417B"/>
    <w:multiLevelType w:val="hybridMultilevel"/>
    <w:tmpl w:val="EEACD420"/>
    <w:lvl w:ilvl="0" w:tplc="B88C850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DA4E30"/>
    <w:multiLevelType w:val="hybridMultilevel"/>
    <w:tmpl w:val="4320B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34BF7"/>
    <w:multiLevelType w:val="hybridMultilevel"/>
    <w:tmpl w:val="239ED214"/>
    <w:lvl w:ilvl="0" w:tplc="507AB22E">
      <w:start w:val="1"/>
      <w:numFmt w:val="lowerLetter"/>
      <w:lvlText w:val="%1)"/>
      <w:lvlJc w:val="left"/>
      <w:pPr>
        <w:ind w:left="509" w:hanging="360"/>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24"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93B85"/>
    <w:multiLevelType w:val="hybridMultilevel"/>
    <w:tmpl w:val="2B1C473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24"/>
  </w:num>
  <w:num w:numId="3">
    <w:abstractNumId w:val="25"/>
  </w:num>
  <w:num w:numId="4">
    <w:abstractNumId w:val="9"/>
  </w:num>
  <w:num w:numId="5">
    <w:abstractNumId w:val="8"/>
  </w:num>
  <w:num w:numId="6">
    <w:abstractNumId w:val="7"/>
  </w:num>
  <w:num w:numId="7">
    <w:abstractNumId w:val="17"/>
  </w:num>
  <w:num w:numId="8">
    <w:abstractNumId w:val="16"/>
  </w:num>
  <w:num w:numId="9">
    <w:abstractNumId w:val="12"/>
  </w:num>
  <w:num w:numId="10">
    <w:abstractNumId w:val="20"/>
  </w:num>
  <w:num w:numId="11">
    <w:abstractNumId w:val="14"/>
  </w:num>
  <w:num w:numId="12">
    <w:abstractNumId w:val="11"/>
  </w:num>
  <w:num w:numId="13">
    <w:abstractNumId w:val="19"/>
  </w:num>
  <w:num w:numId="14">
    <w:abstractNumId w:val="4"/>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10"/>
  </w:num>
  <w:num w:numId="20">
    <w:abstractNumId w:val="2"/>
  </w:num>
  <w:num w:numId="21">
    <w:abstractNumId w:val="21"/>
  </w:num>
  <w:num w:numId="22">
    <w:abstractNumId w:val="22"/>
  </w:num>
  <w:num w:numId="23">
    <w:abstractNumId w:val="23"/>
  </w:num>
  <w:num w:numId="24">
    <w:abstractNumId w:val="15"/>
  </w:num>
  <w:num w:numId="25">
    <w:abstractNumId w:val="26"/>
  </w:num>
  <w:num w:numId="26">
    <w:abstractNumId w:val="13"/>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930"/>
    <w:rsid w:val="00000AA7"/>
    <w:rsid w:val="000029FE"/>
    <w:rsid w:val="0000406F"/>
    <w:rsid w:val="00010099"/>
    <w:rsid w:val="000127A0"/>
    <w:rsid w:val="00013275"/>
    <w:rsid w:val="00016B85"/>
    <w:rsid w:val="00016E26"/>
    <w:rsid w:val="00020A27"/>
    <w:rsid w:val="000211E8"/>
    <w:rsid w:val="00026C5D"/>
    <w:rsid w:val="000320C1"/>
    <w:rsid w:val="00034E5B"/>
    <w:rsid w:val="000378E3"/>
    <w:rsid w:val="00047282"/>
    <w:rsid w:val="00050B2A"/>
    <w:rsid w:val="00054ED9"/>
    <w:rsid w:val="000553C8"/>
    <w:rsid w:val="00064510"/>
    <w:rsid w:val="0006587D"/>
    <w:rsid w:val="00065D6E"/>
    <w:rsid w:val="00066B30"/>
    <w:rsid w:val="00071124"/>
    <w:rsid w:val="000711DC"/>
    <w:rsid w:val="00075C7E"/>
    <w:rsid w:val="00084956"/>
    <w:rsid w:val="000A1E23"/>
    <w:rsid w:val="000A3B3E"/>
    <w:rsid w:val="000B0E56"/>
    <w:rsid w:val="000B7FA6"/>
    <w:rsid w:val="000C49B0"/>
    <w:rsid w:val="000D211A"/>
    <w:rsid w:val="000E6703"/>
    <w:rsid w:val="000F0E97"/>
    <w:rsid w:val="000F5554"/>
    <w:rsid w:val="000F5F56"/>
    <w:rsid w:val="00107CE4"/>
    <w:rsid w:val="00120D3B"/>
    <w:rsid w:val="00121A50"/>
    <w:rsid w:val="00122341"/>
    <w:rsid w:val="00126D26"/>
    <w:rsid w:val="00133FC8"/>
    <w:rsid w:val="00134717"/>
    <w:rsid w:val="00135F27"/>
    <w:rsid w:val="0014098F"/>
    <w:rsid w:val="00140ABB"/>
    <w:rsid w:val="00142F79"/>
    <w:rsid w:val="00143CAC"/>
    <w:rsid w:val="00171578"/>
    <w:rsid w:val="001772D4"/>
    <w:rsid w:val="00181592"/>
    <w:rsid w:val="001A3D51"/>
    <w:rsid w:val="001C1450"/>
    <w:rsid w:val="001C3DB8"/>
    <w:rsid w:val="001C4A3A"/>
    <w:rsid w:val="001C4E99"/>
    <w:rsid w:val="001C5234"/>
    <w:rsid w:val="001D7273"/>
    <w:rsid w:val="001E4FE4"/>
    <w:rsid w:val="001E60FE"/>
    <w:rsid w:val="001E634A"/>
    <w:rsid w:val="001F148A"/>
    <w:rsid w:val="00201A44"/>
    <w:rsid w:val="0021055F"/>
    <w:rsid w:val="00216331"/>
    <w:rsid w:val="00217A31"/>
    <w:rsid w:val="00225933"/>
    <w:rsid w:val="002268F7"/>
    <w:rsid w:val="002318F1"/>
    <w:rsid w:val="0023336B"/>
    <w:rsid w:val="00234B18"/>
    <w:rsid w:val="00235257"/>
    <w:rsid w:val="00236E2D"/>
    <w:rsid w:val="0024029E"/>
    <w:rsid w:val="002405EC"/>
    <w:rsid w:val="0024110C"/>
    <w:rsid w:val="0025305D"/>
    <w:rsid w:val="002547AD"/>
    <w:rsid w:val="00255547"/>
    <w:rsid w:val="002570F7"/>
    <w:rsid w:val="002626EC"/>
    <w:rsid w:val="002676DD"/>
    <w:rsid w:val="00274F66"/>
    <w:rsid w:val="0028078F"/>
    <w:rsid w:val="00280E74"/>
    <w:rsid w:val="0028414E"/>
    <w:rsid w:val="002958D5"/>
    <w:rsid w:val="002A2B49"/>
    <w:rsid w:val="002A6755"/>
    <w:rsid w:val="002B42F4"/>
    <w:rsid w:val="002C1C1A"/>
    <w:rsid w:val="002C28FD"/>
    <w:rsid w:val="002C5027"/>
    <w:rsid w:val="002D0BA9"/>
    <w:rsid w:val="002D150A"/>
    <w:rsid w:val="002D322E"/>
    <w:rsid w:val="002D60E3"/>
    <w:rsid w:val="002E0DF7"/>
    <w:rsid w:val="002E18F6"/>
    <w:rsid w:val="002E344F"/>
    <w:rsid w:val="002E3CFA"/>
    <w:rsid w:val="002E5D61"/>
    <w:rsid w:val="002E7673"/>
    <w:rsid w:val="002F1630"/>
    <w:rsid w:val="002F7563"/>
    <w:rsid w:val="002F7864"/>
    <w:rsid w:val="00310CC7"/>
    <w:rsid w:val="003110FB"/>
    <w:rsid w:val="00315518"/>
    <w:rsid w:val="00316210"/>
    <w:rsid w:val="00323206"/>
    <w:rsid w:val="00326172"/>
    <w:rsid w:val="0033042B"/>
    <w:rsid w:val="003401AE"/>
    <w:rsid w:val="00340F8F"/>
    <w:rsid w:val="00347AB3"/>
    <w:rsid w:val="00351467"/>
    <w:rsid w:val="003554EA"/>
    <w:rsid w:val="00361867"/>
    <w:rsid w:val="0036327B"/>
    <w:rsid w:val="00364BE4"/>
    <w:rsid w:val="00366F6C"/>
    <w:rsid w:val="00370B7D"/>
    <w:rsid w:val="003720A1"/>
    <w:rsid w:val="003750D2"/>
    <w:rsid w:val="00375123"/>
    <w:rsid w:val="00376B42"/>
    <w:rsid w:val="00377349"/>
    <w:rsid w:val="0037736A"/>
    <w:rsid w:val="0038023E"/>
    <w:rsid w:val="00385546"/>
    <w:rsid w:val="003863E4"/>
    <w:rsid w:val="00390528"/>
    <w:rsid w:val="003928F7"/>
    <w:rsid w:val="0039350F"/>
    <w:rsid w:val="003973D9"/>
    <w:rsid w:val="003A2387"/>
    <w:rsid w:val="003A28D4"/>
    <w:rsid w:val="003B01F6"/>
    <w:rsid w:val="003B05CA"/>
    <w:rsid w:val="003B307D"/>
    <w:rsid w:val="003B3BE9"/>
    <w:rsid w:val="003B6EDF"/>
    <w:rsid w:val="003D3782"/>
    <w:rsid w:val="003D50F5"/>
    <w:rsid w:val="003D603D"/>
    <w:rsid w:val="003D6204"/>
    <w:rsid w:val="003D6BF6"/>
    <w:rsid w:val="003E243C"/>
    <w:rsid w:val="003E62C3"/>
    <w:rsid w:val="003F3E99"/>
    <w:rsid w:val="0040380F"/>
    <w:rsid w:val="00404845"/>
    <w:rsid w:val="00407388"/>
    <w:rsid w:val="004129E3"/>
    <w:rsid w:val="00413D29"/>
    <w:rsid w:val="00420160"/>
    <w:rsid w:val="004204A5"/>
    <w:rsid w:val="00422446"/>
    <w:rsid w:val="004267E0"/>
    <w:rsid w:val="004308EA"/>
    <w:rsid w:val="00431D9F"/>
    <w:rsid w:val="00434D48"/>
    <w:rsid w:val="004363D0"/>
    <w:rsid w:val="0043727A"/>
    <w:rsid w:val="00443923"/>
    <w:rsid w:val="004464D0"/>
    <w:rsid w:val="00467380"/>
    <w:rsid w:val="00471003"/>
    <w:rsid w:val="00472358"/>
    <w:rsid w:val="0047238E"/>
    <w:rsid w:val="00475007"/>
    <w:rsid w:val="00476818"/>
    <w:rsid w:val="00483136"/>
    <w:rsid w:val="004934FC"/>
    <w:rsid w:val="00496C10"/>
    <w:rsid w:val="00496D5F"/>
    <w:rsid w:val="004A096A"/>
    <w:rsid w:val="004A21B9"/>
    <w:rsid w:val="004A7CF0"/>
    <w:rsid w:val="004B40B2"/>
    <w:rsid w:val="004B76EC"/>
    <w:rsid w:val="004D39A9"/>
    <w:rsid w:val="004D7CE0"/>
    <w:rsid w:val="004E06C6"/>
    <w:rsid w:val="004E5FE5"/>
    <w:rsid w:val="004F7514"/>
    <w:rsid w:val="00504193"/>
    <w:rsid w:val="00505969"/>
    <w:rsid w:val="00514E60"/>
    <w:rsid w:val="0052732D"/>
    <w:rsid w:val="005324CD"/>
    <w:rsid w:val="00535D16"/>
    <w:rsid w:val="00540158"/>
    <w:rsid w:val="005607FB"/>
    <w:rsid w:val="00562648"/>
    <w:rsid w:val="0056353A"/>
    <w:rsid w:val="0056378A"/>
    <w:rsid w:val="00563821"/>
    <w:rsid w:val="00567D5C"/>
    <w:rsid w:val="00572472"/>
    <w:rsid w:val="00572923"/>
    <w:rsid w:val="0057358B"/>
    <w:rsid w:val="00575DDD"/>
    <w:rsid w:val="0058151E"/>
    <w:rsid w:val="00585BAB"/>
    <w:rsid w:val="005864A3"/>
    <w:rsid w:val="00586A77"/>
    <w:rsid w:val="005927CE"/>
    <w:rsid w:val="005A1918"/>
    <w:rsid w:val="005B160E"/>
    <w:rsid w:val="005B288A"/>
    <w:rsid w:val="005B5667"/>
    <w:rsid w:val="005B6F98"/>
    <w:rsid w:val="005C0CB4"/>
    <w:rsid w:val="005C3C06"/>
    <w:rsid w:val="005D20EC"/>
    <w:rsid w:val="005D2300"/>
    <w:rsid w:val="005E500C"/>
    <w:rsid w:val="005F0694"/>
    <w:rsid w:val="005F2345"/>
    <w:rsid w:val="005F518C"/>
    <w:rsid w:val="006031F7"/>
    <w:rsid w:val="00603FAC"/>
    <w:rsid w:val="006057A2"/>
    <w:rsid w:val="006112C0"/>
    <w:rsid w:val="00612611"/>
    <w:rsid w:val="00612928"/>
    <w:rsid w:val="00617C74"/>
    <w:rsid w:val="006200E1"/>
    <w:rsid w:val="00621A36"/>
    <w:rsid w:val="00630842"/>
    <w:rsid w:val="00637C80"/>
    <w:rsid w:val="0064174C"/>
    <w:rsid w:val="00646C1E"/>
    <w:rsid w:val="00647ABD"/>
    <w:rsid w:val="006540C8"/>
    <w:rsid w:val="006546C9"/>
    <w:rsid w:val="00654D83"/>
    <w:rsid w:val="00666B73"/>
    <w:rsid w:val="006760EC"/>
    <w:rsid w:val="0067692C"/>
    <w:rsid w:val="00685B83"/>
    <w:rsid w:val="00692A86"/>
    <w:rsid w:val="006959FE"/>
    <w:rsid w:val="00696929"/>
    <w:rsid w:val="006A6D09"/>
    <w:rsid w:val="006B35F1"/>
    <w:rsid w:val="006B3BAD"/>
    <w:rsid w:val="006B6862"/>
    <w:rsid w:val="006B6AC8"/>
    <w:rsid w:val="006B7B62"/>
    <w:rsid w:val="006C6091"/>
    <w:rsid w:val="006C73B2"/>
    <w:rsid w:val="006D1582"/>
    <w:rsid w:val="006D1836"/>
    <w:rsid w:val="006D1BBA"/>
    <w:rsid w:val="006D1C0F"/>
    <w:rsid w:val="006D1FA4"/>
    <w:rsid w:val="006D6B16"/>
    <w:rsid w:val="006E323D"/>
    <w:rsid w:val="006E452D"/>
    <w:rsid w:val="006F14B9"/>
    <w:rsid w:val="006F5040"/>
    <w:rsid w:val="007023EE"/>
    <w:rsid w:val="007075D1"/>
    <w:rsid w:val="00710797"/>
    <w:rsid w:val="00711D41"/>
    <w:rsid w:val="00734D1C"/>
    <w:rsid w:val="00740D01"/>
    <w:rsid w:val="00742715"/>
    <w:rsid w:val="0074390D"/>
    <w:rsid w:val="00746EEA"/>
    <w:rsid w:val="00747378"/>
    <w:rsid w:val="00754151"/>
    <w:rsid w:val="00777E6E"/>
    <w:rsid w:val="007811B0"/>
    <w:rsid w:val="00782062"/>
    <w:rsid w:val="00782813"/>
    <w:rsid w:val="00793175"/>
    <w:rsid w:val="00794BB6"/>
    <w:rsid w:val="007A4FC4"/>
    <w:rsid w:val="007A589C"/>
    <w:rsid w:val="007B546E"/>
    <w:rsid w:val="007B6066"/>
    <w:rsid w:val="007C0023"/>
    <w:rsid w:val="007C0113"/>
    <w:rsid w:val="007C26CF"/>
    <w:rsid w:val="007C75A8"/>
    <w:rsid w:val="007D34CB"/>
    <w:rsid w:val="007D5910"/>
    <w:rsid w:val="007D5C07"/>
    <w:rsid w:val="007D7414"/>
    <w:rsid w:val="007D7746"/>
    <w:rsid w:val="007E670E"/>
    <w:rsid w:val="00800028"/>
    <w:rsid w:val="0080360F"/>
    <w:rsid w:val="00811A86"/>
    <w:rsid w:val="00812D88"/>
    <w:rsid w:val="0081302A"/>
    <w:rsid w:val="008132DA"/>
    <w:rsid w:val="008150D8"/>
    <w:rsid w:val="0081547D"/>
    <w:rsid w:val="008168F4"/>
    <w:rsid w:val="008240EE"/>
    <w:rsid w:val="0083290E"/>
    <w:rsid w:val="00837992"/>
    <w:rsid w:val="008413B8"/>
    <w:rsid w:val="008422A8"/>
    <w:rsid w:val="00847D02"/>
    <w:rsid w:val="0085070F"/>
    <w:rsid w:val="00851E20"/>
    <w:rsid w:val="00857D91"/>
    <w:rsid w:val="0086357D"/>
    <w:rsid w:val="00864241"/>
    <w:rsid w:val="00864E21"/>
    <w:rsid w:val="00876F25"/>
    <w:rsid w:val="008905F8"/>
    <w:rsid w:val="00892385"/>
    <w:rsid w:val="008B2C2F"/>
    <w:rsid w:val="008B567D"/>
    <w:rsid w:val="008C3248"/>
    <w:rsid w:val="008D2AE5"/>
    <w:rsid w:val="008E0927"/>
    <w:rsid w:val="008E51D1"/>
    <w:rsid w:val="008F70CD"/>
    <w:rsid w:val="008F7E5E"/>
    <w:rsid w:val="009005FE"/>
    <w:rsid w:val="00901917"/>
    <w:rsid w:val="00922FDF"/>
    <w:rsid w:val="0092424D"/>
    <w:rsid w:val="0092674F"/>
    <w:rsid w:val="009379E1"/>
    <w:rsid w:val="00942332"/>
    <w:rsid w:val="00944C85"/>
    <w:rsid w:val="00950E7D"/>
    <w:rsid w:val="00953AE2"/>
    <w:rsid w:val="009619B0"/>
    <w:rsid w:val="00970BBA"/>
    <w:rsid w:val="0097751D"/>
    <w:rsid w:val="009843B9"/>
    <w:rsid w:val="009849D4"/>
    <w:rsid w:val="00987175"/>
    <w:rsid w:val="009A63CE"/>
    <w:rsid w:val="009A69F0"/>
    <w:rsid w:val="009A6DF2"/>
    <w:rsid w:val="009B4625"/>
    <w:rsid w:val="009B666D"/>
    <w:rsid w:val="009C1A5E"/>
    <w:rsid w:val="009D109D"/>
    <w:rsid w:val="009E710C"/>
    <w:rsid w:val="00A019CE"/>
    <w:rsid w:val="00A02E74"/>
    <w:rsid w:val="00A06BEC"/>
    <w:rsid w:val="00A06D85"/>
    <w:rsid w:val="00A1373D"/>
    <w:rsid w:val="00A1661C"/>
    <w:rsid w:val="00A20898"/>
    <w:rsid w:val="00A3164A"/>
    <w:rsid w:val="00A32A7C"/>
    <w:rsid w:val="00A36FB2"/>
    <w:rsid w:val="00A40C2E"/>
    <w:rsid w:val="00A5459A"/>
    <w:rsid w:val="00A56D06"/>
    <w:rsid w:val="00A70317"/>
    <w:rsid w:val="00A73B76"/>
    <w:rsid w:val="00A83F43"/>
    <w:rsid w:val="00A8684B"/>
    <w:rsid w:val="00A96501"/>
    <w:rsid w:val="00AA4083"/>
    <w:rsid w:val="00AA5083"/>
    <w:rsid w:val="00AB372F"/>
    <w:rsid w:val="00AB4DE0"/>
    <w:rsid w:val="00AC14EF"/>
    <w:rsid w:val="00AC29DF"/>
    <w:rsid w:val="00AC41AF"/>
    <w:rsid w:val="00AE0A3C"/>
    <w:rsid w:val="00AE1FC9"/>
    <w:rsid w:val="00AE4083"/>
    <w:rsid w:val="00AE5D80"/>
    <w:rsid w:val="00AF1B8F"/>
    <w:rsid w:val="00AF1D37"/>
    <w:rsid w:val="00AF37F5"/>
    <w:rsid w:val="00AF52A8"/>
    <w:rsid w:val="00AF7358"/>
    <w:rsid w:val="00B004D6"/>
    <w:rsid w:val="00B04164"/>
    <w:rsid w:val="00B10431"/>
    <w:rsid w:val="00B13E6D"/>
    <w:rsid w:val="00B174A5"/>
    <w:rsid w:val="00B2268C"/>
    <w:rsid w:val="00B26E66"/>
    <w:rsid w:val="00B36D5F"/>
    <w:rsid w:val="00B3770A"/>
    <w:rsid w:val="00B477D2"/>
    <w:rsid w:val="00B553AB"/>
    <w:rsid w:val="00B623E9"/>
    <w:rsid w:val="00B718F1"/>
    <w:rsid w:val="00B71F43"/>
    <w:rsid w:val="00B74309"/>
    <w:rsid w:val="00B8665A"/>
    <w:rsid w:val="00BA4F28"/>
    <w:rsid w:val="00BB29D3"/>
    <w:rsid w:val="00BC1337"/>
    <w:rsid w:val="00BC2BA7"/>
    <w:rsid w:val="00BD4128"/>
    <w:rsid w:val="00BD63BE"/>
    <w:rsid w:val="00BD73FA"/>
    <w:rsid w:val="00BE0AE1"/>
    <w:rsid w:val="00BE28E3"/>
    <w:rsid w:val="00BF04CA"/>
    <w:rsid w:val="00BF374C"/>
    <w:rsid w:val="00BF59F5"/>
    <w:rsid w:val="00C0731B"/>
    <w:rsid w:val="00C130FB"/>
    <w:rsid w:val="00C15A8F"/>
    <w:rsid w:val="00C22C88"/>
    <w:rsid w:val="00C2627B"/>
    <w:rsid w:val="00C3031F"/>
    <w:rsid w:val="00C3060D"/>
    <w:rsid w:val="00C31489"/>
    <w:rsid w:val="00C34557"/>
    <w:rsid w:val="00C370C0"/>
    <w:rsid w:val="00C41F6C"/>
    <w:rsid w:val="00C43A65"/>
    <w:rsid w:val="00C43CFC"/>
    <w:rsid w:val="00C45A88"/>
    <w:rsid w:val="00C4630F"/>
    <w:rsid w:val="00C53883"/>
    <w:rsid w:val="00C5576F"/>
    <w:rsid w:val="00C73D58"/>
    <w:rsid w:val="00C76F95"/>
    <w:rsid w:val="00C803AD"/>
    <w:rsid w:val="00C864A0"/>
    <w:rsid w:val="00C869A2"/>
    <w:rsid w:val="00C92351"/>
    <w:rsid w:val="00C964DC"/>
    <w:rsid w:val="00CA0EA1"/>
    <w:rsid w:val="00CA1C2F"/>
    <w:rsid w:val="00CA3368"/>
    <w:rsid w:val="00CA35B4"/>
    <w:rsid w:val="00CA5B96"/>
    <w:rsid w:val="00CB0C1B"/>
    <w:rsid w:val="00CB48FB"/>
    <w:rsid w:val="00CB7120"/>
    <w:rsid w:val="00CC0BDE"/>
    <w:rsid w:val="00CC59D1"/>
    <w:rsid w:val="00CD0F3C"/>
    <w:rsid w:val="00CD26C1"/>
    <w:rsid w:val="00CD4949"/>
    <w:rsid w:val="00CE1298"/>
    <w:rsid w:val="00CE3F65"/>
    <w:rsid w:val="00D01653"/>
    <w:rsid w:val="00D144CB"/>
    <w:rsid w:val="00D163F5"/>
    <w:rsid w:val="00D171A6"/>
    <w:rsid w:val="00D20BF4"/>
    <w:rsid w:val="00D32FAC"/>
    <w:rsid w:val="00D371E2"/>
    <w:rsid w:val="00D459F0"/>
    <w:rsid w:val="00D46890"/>
    <w:rsid w:val="00D54563"/>
    <w:rsid w:val="00D5615E"/>
    <w:rsid w:val="00D568FF"/>
    <w:rsid w:val="00D57155"/>
    <w:rsid w:val="00D664DB"/>
    <w:rsid w:val="00D7170C"/>
    <w:rsid w:val="00D72A25"/>
    <w:rsid w:val="00D74E2A"/>
    <w:rsid w:val="00D76154"/>
    <w:rsid w:val="00D772FC"/>
    <w:rsid w:val="00D803D5"/>
    <w:rsid w:val="00D83FFA"/>
    <w:rsid w:val="00D85BCD"/>
    <w:rsid w:val="00D90ECD"/>
    <w:rsid w:val="00D911AC"/>
    <w:rsid w:val="00D930A1"/>
    <w:rsid w:val="00D97647"/>
    <w:rsid w:val="00DA08D2"/>
    <w:rsid w:val="00DA1E11"/>
    <w:rsid w:val="00DC03F5"/>
    <w:rsid w:val="00DC3BE8"/>
    <w:rsid w:val="00DC5F56"/>
    <w:rsid w:val="00DD00DF"/>
    <w:rsid w:val="00DD7601"/>
    <w:rsid w:val="00DE0824"/>
    <w:rsid w:val="00DE2B4F"/>
    <w:rsid w:val="00DE3CFD"/>
    <w:rsid w:val="00DE6422"/>
    <w:rsid w:val="00E03D58"/>
    <w:rsid w:val="00E13C57"/>
    <w:rsid w:val="00E15342"/>
    <w:rsid w:val="00E2745B"/>
    <w:rsid w:val="00E31E78"/>
    <w:rsid w:val="00E343DB"/>
    <w:rsid w:val="00E40EE9"/>
    <w:rsid w:val="00E427F2"/>
    <w:rsid w:val="00E433AD"/>
    <w:rsid w:val="00E4412F"/>
    <w:rsid w:val="00E451A6"/>
    <w:rsid w:val="00E60B04"/>
    <w:rsid w:val="00E6438A"/>
    <w:rsid w:val="00E65BAC"/>
    <w:rsid w:val="00E660DD"/>
    <w:rsid w:val="00E72699"/>
    <w:rsid w:val="00E7628F"/>
    <w:rsid w:val="00E9111D"/>
    <w:rsid w:val="00EA2692"/>
    <w:rsid w:val="00EA2B2E"/>
    <w:rsid w:val="00EA36E8"/>
    <w:rsid w:val="00EB3672"/>
    <w:rsid w:val="00EB40EF"/>
    <w:rsid w:val="00EC54D2"/>
    <w:rsid w:val="00EC691F"/>
    <w:rsid w:val="00EC7DE4"/>
    <w:rsid w:val="00ED3B2D"/>
    <w:rsid w:val="00EE1861"/>
    <w:rsid w:val="00EE3828"/>
    <w:rsid w:val="00EE3947"/>
    <w:rsid w:val="00EE587B"/>
    <w:rsid w:val="00EE7BBD"/>
    <w:rsid w:val="00EF0161"/>
    <w:rsid w:val="00EF3D4E"/>
    <w:rsid w:val="00F02030"/>
    <w:rsid w:val="00F125C3"/>
    <w:rsid w:val="00F1306E"/>
    <w:rsid w:val="00F152A6"/>
    <w:rsid w:val="00F243DC"/>
    <w:rsid w:val="00F252FD"/>
    <w:rsid w:val="00F267F0"/>
    <w:rsid w:val="00F330CD"/>
    <w:rsid w:val="00F401CC"/>
    <w:rsid w:val="00F43C01"/>
    <w:rsid w:val="00F450E2"/>
    <w:rsid w:val="00F47696"/>
    <w:rsid w:val="00F54165"/>
    <w:rsid w:val="00F55C31"/>
    <w:rsid w:val="00F7139E"/>
    <w:rsid w:val="00F725B7"/>
    <w:rsid w:val="00F941E1"/>
    <w:rsid w:val="00F95FA4"/>
    <w:rsid w:val="00F96A16"/>
    <w:rsid w:val="00FA37AB"/>
    <w:rsid w:val="00FB6965"/>
    <w:rsid w:val="00FC0EAD"/>
    <w:rsid w:val="00FC6595"/>
    <w:rsid w:val="00FC7184"/>
    <w:rsid w:val="00FC7E60"/>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810518-1C13-9B45-A061-4CCF44CC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uiPriority w:val="99"/>
    <w:rsid w:val="00217A31"/>
    <w:rPr>
      <w:sz w:val="16"/>
      <w:szCs w:val="16"/>
    </w:rPr>
  </w:style>
  <w:style w:type="paragraph" w:styleId="CommentText">
    <w:name w:val="annotation text"/>
    <w:basedOn w:val="Normal"/>
    <w:link w:val="CommentTextChar"/>
    <w:uiPriority w:val="99"/>
    <w:rsid w:val="00217A31"/>
    <w:rPr>
      <w:szCs w:val="20"/>
    </w:rPr>
  </w:style>
  <w:style w:type="character" w:customStyle="1" w:styleId="CommentTextChar">
    <w:name w:val="Comment Text Char"/>
    <w:basedOn w:val="DefaultParagraphFont"/>
    <w:link w:val="CommentText"/>
    <w:uiPriority w:val="99"/>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Default">
    <w:name w:val="Default"/>
    <w:rsid w:val="004E06C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270">
      <w:bodyDiv w:val="1"/>
      <w:marLeft w:val="0"/>
      <w:marRight w:val="0"/>
      <w:marTop w:val="0"/>
      <w:marBottom w:val="0"/>
      <w:divBdr>
        <w:top w:val="none" w:sz="0" w:space="0" w:color="auto"/>
        <w:left w:val="none" w:sz="0" w:space="0" w:color="auto"/>
        <w:bottom w:val="none" w:sz="0" w:space="0" w:color="auto"/>
        <w:right w:val="none" w:sz="0" w:space="0" w:color="auto"/>
      </w:divBdr>
    </w:div>
    <w:div w:id="865600233">
      <w:bodyDiv w:val="1"/>
      <w:marLeft w:val="0"/>
      <w:marRight w:val="0"/>
      <w:marTop w:val="0"/>
      <w:marBottom w:val="0"/>
      <w:divBdr>
        <w:top w:val="none" w:sz="0" w:space="0" w:color="auto"/>
        <w:left w:val="none" w:sz="0" w:space="0" w:color="auto"/>
        <w:bottom w:val="none" w:sz="0" w:space="0" w:color="auto"/>
        <w:right w:val="none" w:sz="0" w:space="0" w:color="auto"/>
      </w:divBdr>
    </w:div>
    <w:div w:id="996687492">
      <w:bodyDiv w:val="1"/>
      <w:marLeft w:val="0"/>
      <w:marRight w:val="0"/>
      <w:marTop w:val="0"/>
      <w:marBottom w:val="0"/>
      <w:divBdr>
        <w:top w:val="none" w:sz="0" w:space="0" w:color="auto"/>
        <w:left w:val="none" w:sz="0" w:space="0" w:color="auto"/>
        <w:bottom w:val="none" w:sz="0" w:space="0" w:color="auto"/>
        <w:right w:val="none" w:sz="0" w:space="0" w:color="auto"/>
      </w:divBdr>
    </w:div>
    <w:div w:id="1185898524">
      <w:bodyDiv w:val="1"/>
      <w:marLeft w:val="0"/>
      <w:marRight w:val="0"/>
      <w:marTop w:val="0"/>
      <w:marBottom w:val="0"/>
      <w:divBdr>
        <w:top w:val="none" w:sz="0" w:space="0" w:color="auto"/>
        <w:left w:val="none" w:sz="0" w:space="0" w:color="auto"/>
        <w:bottom w:val="none" w:sz="0" w:space="0" w:color="auto"/>
        <w:right w:val="none" w:sz="0" w:space="0" w:color="auto"/>
      </w:divBdr>
    </w:div>
    <w:div w:id="1511874129">
      <w:bodyDiv w:val="1"/>
      <w:marLeft w:val="0"/>
      <w:marRight w:val="0"/>
      <w:marTop w:val="0"/>
      <w:marBottom w:val="0"/>
      <w:divBdr>
        <w:top w:val="none" w:sz="0" w:space="0" w:color="auto"/>
        <w:left w:val="none" w:sz="0" w:space="0" w:color="auto"/>
        <w:bottom w:val="none" w:sz="0" w:space="0" w:color="auto"/>
        <w:right w:val="none" w:sz="0" w:space="0" w:color="auto"/>
      </w:divBdr>
    </w:div>
    <w:div w:id="1954290990">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asgovernance.co.uk/sites/default/files/ggf/book/2018-03/Modification%200636D%20V1.0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4AA8"/>
    <w:rsid w:val="0007754D"/>
    <w:rsid w:val="000E7D78"/>
    <w:rsid w:val="00192166"/>
    <w:rsid w:val="00211BF7"/>
    <w:rsid w:val="00321D48"/>
    <w:rsid w:val="003D3DA7"/>
    <w:rsid w:val="00475E12"/>
    <w:rsid w:val="004B5B85"/>
    <w:rsid w:val="004C5568"/>
    <w:rsid w:val="004F71E0"/>
    <w:rsid w:val="00516387"/>
    <w:rsid w:val="00582877"/>
    <w:rsid w:val="005B1D3B"/>
    <w:rsid w:val="005C7E65"/>
    <w:rsid w:val="005E1276"/>
    <w:rsid w:val="005E53AE"/>
    <w:rsid w:val="005E69B7"/>
    <w:rsid w:val="0063330A"/>
    <w:rsid w:val="00637014"/>
    <w:rsid w:val="00656F81"/>
    <w:rsid w:val="006A1E39"/>
    <w:rsid w:val="006C23F8"/>
    <w:rsid w:val="006D7C3F"/>
    <w:rsid w:val="00795058"/>
    <w:rsid w:val="00812FD2"/>
    <w:rsid w:val="00832960"/>
    <w:rsid w:val="008A6EE4"/>
    <w:rsid w:val="008E4A3C"/>
    <w:rsid w:val="00945E6A"/>
    <w:rsid w:val="009E210B"/>
    <w:rsid w:val="009F1D6A"/>
    <w:rsid w:val="00A16CB0"/>
    <w:rsid w:val="00A95C09"/>
    <w:rsid w:val="00B86D90"/>
    <w:rsid w:val="00C1788D"/>
    <w:rsid w:val="00CB73A5"/>
    <w:rsid w:val="00D90A70"/>
    <w:rsid w:val="00DA796A"/>
    <w:rsid w:val="00E04C8D"/>
    <w:rsid w:val="00E0602D"/>
    <w:rsid w:val="00E30228"/>
    <w:rsid w:val="00E773B7"/>
    <w:rsid w:val="00EA0EB7"/>
    <w:rsid w:val="00F34AA8"/>
    <w:rsid w:val="00F632D7"/>
    <w:rsid w:val="00FC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4.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5.xml><?xml version="1.0" encoding="utf-8"?>
<ds:datastoreItem xmlns:ds="http://schemas.openxmlformats.org/officeDocument/2006/customXml" ds:itemID="{8AF6F969-B96A-2B40-B4D8-EF6B74BD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27</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Cuin</cp:lastModifiedBy>
  <cp:revision>2</cp:revision>
  <cp:lastPrinted>2018-04-04T08:45:00Z</cp:lastPrinted>
  <dcterms:created xsi:type="dcterms:W3CDTF">2018-04-05T12:36:00Z</dcterms:created>
  <dcterms:modified xsi:type="dcterms:W3CDTF">2018-04-05T12:36:00Z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1785608462</vt:i4>
  </property>
  <property fmtid="{D5CDD505-2E9C-101B-9397-08002B2CF9AE}" pid="4" name="_EmailSubject">
    <vt:lpwstr>xrn4631 - UNC Modification 0636C - Updating the parameters for the NTS Optional Commodity Charge - ROM response</vt:lpwstr>
  </property>
  <property fmtid="{D5CDD505-2E9C-101B-9397-08002B2CF9AE}" pid="5" name="_AuthorEmail">
    <vt:lpwstr>murray.thomson@xoserve.com</vt:lpwstr>
  </property>
  <property fmtid="{D5CDD505-2E9C-101B-9397-08002B2CF9AE}" pid="6" name="_AuthorEmailDisplayName">
    <vt:lpwstr>Thomson, Murray</vt:lpwstr>
  </property>
  <property fmtid="{D5CDD505-2E9C-101B-9397-08002B2CF9AE}" pid="7" name="_PreviousAdHocReviewCycleID">
    <vt:i4>-719465389</vt:i4>
  </property>
</Properties>
</file>