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highlight w:val="yellow"/>
          <w:u w:val="single"/>
        </w:rPr>
        <w:t>4 May</w:t>
      </w:r>
      <w:ins w:id="0" w:author="Dentons" w:date="2018-05-03T16:52:00Z">
        <w:r>
          <w:rPr>
            <w:highlight w:val="yellow"/>
            <w:u w:val="single"/>
          </w:rPr>
          <w:t xml:space="preserve"> </w:t>
        </w:r>
      </w:ins>
      <w:r>
        <w:rPr>
          <w:highlight w:val="yellow"/>
          <w:u w:val="single"/>
        </w:rPr>
        <w:t>2018</w:t>
      </w:r>
    </w:p>
    <w:p>
      <w:pPr>
        <w:jc w:val="center"/>
        <w:rPr>
          <w:b/>
        </w:rPr>
      </w:pPr>
    </w:p>
    <w:p>
      <w:pPr>
        <w:jc w:val="center"/>
        <w:rPr>
          <w:b/>
        </w:rPr>
      </w:pPr>
      <w:r>
        <w:rPr>
          <w:b/>
        </w:rPr>
        <w:t>MODIFICATION 0636A</w:t>
      </w:r>
    </w:p>
    <w:p>
      <w:pPr>
        <w:jc w:val="center"/>
        <w:rPr>
          <w:b/>
        </w:rPr>
      </w:pPr>
    </w:p>
    <w:p>
      <w:pPr>
        <w:jc w:val="center"/>
        <w:rPr>
          <w:b/>
        </w:rPr>
      </w:pPr>
      <w:r>
        <w:rPr>
          <w:b/>
        </w:rPr>
        <w:t>UPDATING PARAMETERS FOR THE NTS OPTIONAL COMMODITY CHARGE</w:t>
      </w:r>
    </w:p>
    <w:p>
      <w:pPr>
        <w:jc w:val="center"/>
        <w:rPr>
          <w:b/>
        </w:rPr>
      </w:pPr>
    </w:p>
    <w:p>
      <w:pPr>
        <w:jc w:val="center"/>
        <w:rPr>
          <w:b/>
        </w:rPr>
      </w:pPr>
    </w:p>
    <w:p>
      <w:r>
        <w:t>Proposed Legal Text</w:t>
      </w:r>
    </w:p>
    <w:p/>
    <w:p>
      <w:pPr>
        <w:rPr>
          <w:b/>
        </w:rPr>
      </w:pPr>
      <w:r>
        <w:rPr>
          <w:b/>
        </w:rPr>
        <w:t>TRANSPORTATION PRINCIPAL DOCUMENT</w:t>
      </w:r>
    </w:p>
    <w:p>
      <w:pPr>
        <w:rPr>
          <w:b/>
        </w:rPr>
      </w:pPr>
    </w:p>
    <w:p>
      <w:pPr>
        <w:rPr>
          <w:b/>
        </w:rPr>
      </w:pPr>
      <w:r>
        <w:rPr>
          <w:b/>
        </w:rPr>
        <w:t>SECTION B – SYSTEM CAPACITY</w:t>
      </w:r>
    </w:p>
    <w:p/>
    <w:p>
      <w:pPr>
        <w:ind w:left="720" w:hanging="720"/>
        <w:rPr>
          <w:i/>
        </w:rPr>
      </w:pPr>
      <w:r>
        <w:rPr>
          <w:i/>
        </w:rPr>
        <w:t>Amend paragraph 3.12.8(b) to read as follows:</w:t>
      </w:r>
    </w:p>
    <w:p>
      <w:pPr>
        <w:ind w:left="720" w:hanging="720"/>
        <w:rPr>
          <w:i/>
        </w:rPr>
      </w:pPr>
    </w:p>
    <w:p>
      <w:pPr>
        <w:ind w:left="720" w:hanging="720"/>
      </w:pPr>
      <w:r>
        <w:t>(b)</w:t>
      </w:r>
      <w:r>
        <w:tab/>
        <w:t>an "</w:t>
      </w:r>
      <w:r>
        <w:rPr>
          <w:b/>
        </w:rPr>
        <w:t>Eligible Exit Point</w:t>
      </w:r>
      <w:r>
        <w:t>" is a System Exit Point which is not a Storage Connection Point</w:t>
      </w:r>
      <w:ins w:id="1" w:author="Dentons" w:date="2018-03-13T15:12:00Z">
        <w:r>
          <w:t xml:space="preserve"> and which is </w:t>
        </w:r>
      </w:ins>
      <w:ins w:id="2" w:author="Dentons" w:date="2018-03-13T15:13:00Z">
        <w:r>
          <w:t>n</w:t>
        </w:r>
      </w:ins>
      <w:ins w:id="3" w:author="Dentons" w:date="2018-03-13T15:12:00Z">
        <w:r>
          <w:t xml:space="preserve">ot more than one hundred and fifteen </w:t>
        </w:r>
      </w:ins>
      <w:ins w:id="4" w:author="Dentons" w:date="2018-03-13T15:36:00Z">
        <w:r>
          <w:t>kilometres</w:t>
        </w:r>
      </w:ins>
      <w:ins w:id="5" w:author="Dentons" w:date="2018-03-13T15:12:00Z">
        <w:r>
          <w:t xml:space="preserve"> (115km) </w:t>
        </w:r>
      </w:ins>
      <w:ins w:id="6" w:author="Dentons" w:date="2018-03-13T15:41:00Z">
        <w:r>
          <w:t xml:space="preserve">distant </w:t>
        </w:r>
      </w:ins>
      <w:ins w:id="7" w:author="Dentons" w:date="2018-03-13T15:12:00Z">
        <w:r>
          <w:t>from the Eligible Entry Point</w:t>
        </w:r>
      </w:ins>
      <w:r>
        <w:t>;</w:t>
      </w:r>
    </w:p>
    <w:p>
      <w:pPr>
        <w:rPr>
          <w:i/>
        </w:rPr>
      </w:pPr>
    </w:p>
    <w:p>
      <w:pPr>
        <w:rPr>
          <w:i/>
        </w:rPr>
      </w:pPr>
      <w:r>
        <w:rPr>
          <w:i/>
        </w:rPr>
        <w:t>Amend paragraph 3.12.10 to read as follows:</w:t>
      </w:r>
    </w:p>
    <w:p/>
    <w:p>
      <w:pPr>
        <w:ind w:left="720" w:hanging="720"/>
      </w:pPr>
      <w:r>
        <w:t>3.12.10</w:t>
      </w:r>
      <w:r>
        <w:tab/>
        <w:t xml:space="preserve">For the purposes of paragraphs 3.12.9 to 3.12.14 (inclusive), the capacity of </w:t>
      </w:r>
      <w:del w:id="8" w:author="Dentons" w:date="2018-03-13T12:32:00Z">
        <w:r>
          <w:delText xml:space="preserve">the </w:delText>
        </w:r>
      </w:del>
      <w:r>
        <w:t xml:space="preserve">a Specified Exit Point shall be </w:t>
      </w:r>
      <w:del w:id="9" w:author="Dentons" w:date="2018-03-13T12:32:00Z">
        <w:r>
          <w:delText xml:space="preserve">the Supply Point Capacity, provided </w:delText>
        </w:r>
      </w:del>
      <w:del w:id="10" w:author="Dentons" w:date="2018-03-13T12:33:00Z">
        <w:r>
          <w:delText>in the case of</w:delText>
        </w:r>
      </w:del>
      <w:ins w:id="11" w:author="Dentons" w:date="2018-03-13T12:33:00Z">
        <w:r>
          <w:t xml:space="preserve"> in the case of</w:t>
        </w:r>
      </w:ins>
      <w:r>
        <w:t>:</w:t>
      </w:r>
    </w:p>
    <w:p>
      <w:pPr>
        <w:ind w:left="720" w:hanging="720"/>
      </w:pPr>
    </w:p>
    <w:p>
      <w:pPr>
        <w:ind w:left="720" w:hanging="720"/>
      </w:pPr>
      <w:r>
        <w:t>(a)</w:t>
      </w:r>
      <w:r>
        <w:tab/>
      </w:r>
      <w:del w:id="12" w:author="Dentons" w:date="2018-03-13T12:33:00Z">
        <w:r>
          <w:delText xml:space="preserve">in the case of </w:delText>
        </w:r>
      </w:del>
      <w:r>
        <w:t xml:space="preserve">an </w:t>
      </w:r>
      <w:proofErr w:type="spellStart"/>
      <w:r>
        <w:t>LDZ</w:t>
      </w:r>
      <w:proofErr w:type="spellEnd"/>
      <w:r>
        <w:t xml:space="preserve"> Supply Point </w:t>
      </w:r>
      <w:del w:id="13" w:author="Dentons" w:date="2018-03-13T12:33:00Z">
        <w:r>
          <w:delText xml:space="preserve">the capacity shall be </w:delText>
        </w:r>
      </w:del>
      <w:r>
        <w:t xml:space="preserve">determined in accordance with Section G5.4.1, except for a </w:t>
      </w:r>
      <w:proofErr w:type="spellStart"/>
      <w:r>
        <w:t>LDZ</w:t>
      </w:r>
      <w:proofErr w:type="spellEnd"/>
      <w:r>
        <w:t xml:space="preserve"> Shared Supply Point in which case the capacity shall be determined in accordance with Section G1.7.17;</w:t>
      </w:r>
    </w:p>
    <w:p>
      <w:pPr>
        <w:ind w:left="720" w:hanging="720"/>
      </w:pPr>
    </w:p>
    <w:p>
      <w:pPr>
        <w:ind w:left="720" w:hanging="720"/>
      </w:pPr>
      <w:r>
        <w:tab/>
        <w:t>(</w:t>
      </w:r>
      <w:del w:id="14" w:author="Dentons" w:date="2018-03-13T12:33:00Z">
        <w:r>
          <w:delText>i</w:delText>
        </w:r>
      </w:del>
      <w:ins w:id="15" w:author="Dentons" w:date="2018-03-13T12:34:00Z">
        <w:r>
          <w:t>b</w:t>
        </w:r>
      </w:ins>
      <w:r>
        <w:t>)</w:t>
      </w:r>
      <w:r>
        <w:tab/>
      </w:r>
      <w:del w:id="16" w:author="Dentons" w:date="2018-03-13T12:33:00Z">
        <w:r>
          <w:delText xml:space="preserve">for </w:delText>
        </w:r>
      </w:del>
      <w:r>
        <w:t xml:space="preserve">an </w:t>
      </w:r>
      <w:proofErr w:type="spellStart"/>
      <w:r>
        <w:t>LDZ</w:t>
      </w:r>
      <w:proofErr w:type="spellEnd"/>
      <w:r>
        <w:t xml:space="preserve"> </w:t>
      </w:r>
      <w:proofErr w:type="spellStart"/>
      <w:r>
        <w:t>CSEP</w:t>
      </w:r>
      <w:proofErr w:type="spellEnd"/>
      <w:r>
        <w:t xml:space="preserve"> </w:t>
      </w:r>
      <w:del w:id="17" w:author="Dentons" w:date="2018-03-13T12:33:00Z">
        <w:r>
          <w:delText>the capacity shall be</w:delText>
        </w:r>
      </w:del>
      <w:r>
        <w:t xml:space="preserve"> determined in accordance with paragraph 4.5.2;</w:t>
      </w:r>
    </w:p>
    <w:p>
      <w:pPr>
        <w:ind w:left="720" w:hanging="720"/>
      </w:pPr>
    </w:p>
    <w:p>
      <w:pPr>
        <w:ind w:left="720" w:hanging="720"/>
        <w:rPr>
          <w:del w:id="18" w:author="Dentons" w:date="2018-03-13T12:34:00Z"/>
        </w:rPr>
      </w:pPr>
      <w:r>
        <w:t>(</w:t>
      </w:r>
      <w:del w:id="19" w:author="Dentons" w:date="2018-03-13T12:33:00Z">
        <w:r>
          <w:delText>b</w:delText>
        </w:r>
      </w:del>
      <w:ins w:id="20" w:author="Dentons" w:date="2018-03-13T12:34:00Z">
        <w:r>
          <w:t>c</w:t>
        </w:r>
      </w:ins>
      <w:r>
        <w:t>)</w:t>
      </w:r>
      <w:r>
        <w:tab/>
      </w:r>
      <w:del w:id="21" w:author="Dentons" w:date="2018-03-13T12:34:00Z">
        <w:r>
          <w:delText xml:space="preserve">in the case of </w:delText>
        </w:r>
      </w:del>
      <w:r>
        <w:t xml:space="preserve">an NTS Exit Point </w:t>
      </w:r>
      <w:del w:id="22" w:author="Dentons" w:date="2018-03-13T12:34:00Z">
        <w:r>
          <w:delText xml:space="preserve">the capacity shall be </w:delText>
        </w:r>
      </w:del>
      <w:r>
        <w:t xml:space="preserve">equal to </w:t>
      </w:r>
      <w:del w:id="23" w:author="Dentons" w:date="2018-03-13T16:30:00Z">
        <w:r>
          <w:delText xml:space="preserve">24 times </w:delText>
        </w:r>
      </w:del>
      <w:r>
        <w:t xml:space="preserve">the Maximum NTS Exit Point Offtake Rate </w:t>
      </w:r>
      <w:ins w:id="24" w:author="Dentons" w:date="2018-03-13T16:30:00Z">
        <w:r>
          <w:t>(converted into kWh/Day)</w:t>
        </w:r>
      </w:ins>
      <w:del w:id="25" w:author="Dentons" w:date="2018-03-13T12:34:00Z">
        <w:r>
          <w:delText>, except:</w:delText>
        </w:r>
      </w:del>
    </w:p>
    <w:p>
      <w:pPr>
        <w:ind w:left="720" w:hanging="720"/>
        <w:rPr>
          <w:del w:id="26" w:author="Dentons" w:date="2018-03-13T12:34:00Z"/>
        </w:rPr>
      </w:pPr>
    </w:p>
    <w:p>
      <w:pPr>
        <w:tabs>
          <w:tab w:val="left" w:pos="720"/>
          <w:tab w:val="left" w:pos="1440"/>
        </w:tabs>
        <w:ind w:left="1440" w:hanging="1440"/>
      </w:pPr>
      <w:r>
        <w:tab/>
      </w:r>
      <w:del w:id="27" w:author="Dentons" w:date="2018-03-14T11:19:00Z">
        <w:r>
          <w:delText>(i)</w:delText>
        </w:r>
      </w:del>
      <w:r>
        <w:tab/>
      </w:r>
      <w:ins w:id="28" w:author="Dentons" w:date="2018-03-14T11:20:00Z">
        <w:r>
          <w:t xml:space="preserve">(provided </w:t>
        </w:r>
      </w:ins>
      <w:r>
        <w:t xml:space="preserve">for an NTS Exit Point in respect of a pipeline interconnector having no physical exit capability which is both a Connected Offtake System and a Connected Delivery Facility, the capacity shall be equal to </w:t>
      </w:r>
      <w:del w:id="29" w:author="Dentons" w:date="2018-03-14T11:20:00Z">
        <w:r>
          <w:delText xml:space="preserve">24 times </w:delText>
        </w:r>
      </w:del>
      <w:r>
        <w:t>the amount (where positive) determined as the instantaneous rate (in kWh/</w:t>
      </w:r>
      <w:del w:id="30" w:author="Dentons" w:date="2018-03-14T11:28:00Z">
        <w:r>
          <w:delText>Hour</w:delText>
        </w:r>
      </w:del>
      <w:ins w:id="31" w:author="Dentons" w:date="2018-03-14T11:28:00Z">
        <w:r>
          <w:t>hour</w:t>
        </w:r>
      </w:ins>
      <w:r>
        <w:t>) which the Transporter determines to be the maximum instantaneous rate at which it is feasible to deliver gas to the NTS at the System Entry Point associated with such Connected Delivery Facility</w:t>
      </w:r>
      <w:ins w:id="32" w:author="Dentons" w:date="2018-03-14T11:20:00Z">
        <w:r>
          <w:t xml:space="preserve"> (converted into kWh/Day</w:t>
        </w:r>
      </w:ins>
      <w:ins w:id="33" w:author="Dentons" w:date="2018-03-14T11:28:00Z">
        <w:r>
          <w:t>)</w:t>
        </w:r>
      </w:ins>
      <w:ins w:id="34" w:author="Dentons" w:date="2018-03-14T11:20:00Z">
        <w:r>
          <w:t>)</w:t>
        </w:r>
      </w:ins>
      <w:r>
        <w:t>.</w:t>
      </w:r>
    </w:p>
    <w:p>
      <w:pPr>
        <w:ind w:left="720" w:hanging="720"/>
      </w:pPr>
    </w:p>
    <w:p>
      <w:pPr>
        <w:rPr>
          <w:b/>
        </w:rPr>
      </w:pPr>
      <w:r>
        <w:rPr>
          <w:b/>
        </w:rPr>
        <w:t>SECTION Y – CHARGING METHODOLOGIES</w:t>
      </w:r>
    </w:p>
    <w:p/>
    <w:p>
      <w:pPr>
        <w:rPr>
          <w:i/>
        </w:rPr>
      </w:pPr>
      <w:r>
        <w:rPr>
          <w:i/>
        </w:rPr>
        <w:t>Amend Chapter 3, paragraph 3.5 to read as follows:</w:t>
      </w:r>
    </w:p>
    <w:p/>
    <w:p>
      <w:r>
        <w:t>...</w:t>
      </w:r>
    </w:p>
    <w:p/>
    <w:p>
      <w:r>
        <w:t xml:space="preserve">The </w:t>
      </w:r>
      <w:ins w:id="35" w:author="Dentons" w:date="2018-03-13T15:17:00Z">
        <w:r>
          <w:t xml:space="preserve">following formula shall be used to determine the </w:t>
        </w:r>
      </w:ins>
      <w:r>
        <w:t xml:space="preserve">NTS Optional Commodity Rate (in </w:t>
      </w:r>
      <w:del w:id="36" w:author="Dentons" w:date="2018-03-13T15:18:00Z">
        <w:r>
          <w:delText xml:space="preserve">pence per </w:delText>
        </w:r>
      </w:del>
      <w:ins w:id="37" w:author="Dentons" w:date="2018-03-13T15:18:00Z">
        <w:r>
          <w:t>p/</w:t>
        </w:r>
      </w:ins>
      <w:r>
        <w:t>kWh)</w:t>
      </w:r>
      <w:del w:id="38" w:author="Dentons" w:date="2018-03-13T15:18:00Z">
        <w:r>
          <w:delText xml:space="preserve"> is site specific and is</w:delText>
        </w:r>
      </w:del>
      <w:ins w:id="39" w:author="Dentons" w:date="2018-02-26T16:34:00Z">
        <w:r>
          <w:t xml:space="preserve"> in respect of a </w:t>
        </w:r>
      </w:ins>
      <w:ins w:id="40" w:author="Dentons" w:date="2018-02-26T16:35:00Z">
        <w:r>
          <w:t>Specified E</w:t>
        </w:r>
      </w:ins>
      <w:ins w:id="41" w:author="Dentons" w:date="2018-03-13T15:18:00Z">
        <w:r>
          <w:t xml:space="preserve">ntry Point and Specified Exit Point </w:t>
        </w:r>
      </w:ins>
      <w:del w:id="42" w:author="Dentons" w:date="2018-03-13T15:19:00Z">
        <w:r>
          <w:delText xml:space="preserve"> calculated by the following equation</w:delText>
        </w:r>
      </w:del>
      <w:r>
        <w:t>:</w:t>
      </w:r>
    </w:p>
    <w:p/>
    <w:p>
      <w:pPr>
        <w:jc w:val="center"/>
      </w:pPr>
      <w:ins w:id="43" w:author="Dentons" w:date="2018-03-13T15:19:00Z">
        <w:r>
          <w:lastRenderedPageBreak/>
          <w:t xml:space="preserve">NTS Optional Commodity Rate = </w:t>
        </w:r>
      </w:ins>
      <w:r>
        <w:t xml:space="preserve">1203 </w:t>
      </w:r>
      <w:del w:id="44" w:author="Dentons" w:date="2018-03-14T11:21:00Z">
        <w:r>
          <w:delText>x</w:delText>
        </w:r>
      </w:del>
      <w:ins w:id="45" w:author="Dentons" w:date="2018-03-14T11:21:00Z">
        <w:r>
          <w:t>*</w:t>
        </w:r>
      </w:ins>
      <w:r>
        <w:t xml:space="preserve"> (M</w:t>
      </w:r>
      <w:del w:id="46" w:author="Dentons" w:date="2018-03-14T11:21:00Z">
        <w:r>
          <w:delText>)</w:delText>
        </w:r>
      </w:del>
      <w:r>
        <w:t xml:space="preserve"> ^ -0.83</w:t>
      </w:r>
      <w:del w:id="47" w:author="Dentons" w:date="2018-03-14T11:21:00Z">
        <w:r>
          <w:delText>]</w:delText>
        </w:r>
      </w:del>
      <w:ins w:id="48" w:author="Dentons" w:date="2018-03-14T11:21:00Z">
        <w:r>
          <w:t>)</w:t>
        </w:r>
      </w:ins>
      <w:r>
        <w:t xml:space="preserve"> </w:t>
      </w:r>
      <w:del w:id="49" w:author="Dentons" w:date="2018-03-14T11:21:00Z">
        <w:r>
          <w:delText>x</w:delText>
        </w:r>
      </w:del>
      <w:ins w:id="50" w:author="Dentons" w:date="2018-03-14T11:21:00Z">
        <w:r>
          <w:t>*</w:t>
        </w:r>
      </w:ins>
      <w:r>
        <w:t xml:space="preserve"> D + 363 </w:t>
      </w:r>
      <w:del w:id="51" w:author="Dentons" w:date="2018-03-14T11:21:00Z">
        <w:r>
          <w:delText>x</w:delText>
        </w:r>
      </w:del>
      <w:ins w:id="52" w:author="Dentons" w:date="2018-03-14T11:21:00Z">
        <w:r>
          <w:t>*</w:t>
        </w:r>
      </w:ins>
      <w:r>
        <w:t xml:space="preserve"> (M</w:t>
      </w:r>
      <w:del w:id="53" w:author="Dentons" w:date="2018-03-14T11:21:00Z">
        <w:r>
          <w:delText>)</w:delText>
        </w:r>
      </w:del>
      <w:r>
        <w:t xml:space="preserve"> ^ -0.654</w:t>
      </w:r>
      <w:ins w:id="54" w:author="Dentons" w:date="2018-03-14T11:21:00Z">
        <w:r>
          <w:t>)</w:t>
        </w:r>
      </w:ins>
    </w:p>
    <w:p/>
    <w:p>
      <w:pPr>
        <w:rPr>
          <w:ins w:id="55" w:author="Dentons" w:date="2018-03-13T15:38:00Z"/>
        </w:rPr>
      </w:pPr>
      <w:del w:id="56" w:author="Dentons" w:date="2018-02-26T15:05:00Z">
        <w:r>
          <w:delText>W</w:delText>
        </w:r>
      </w:del>
      <w:del w:id="57" w:author="Dentons" w:date="2018-03-14T11:16:00Z">
        <w:r>
          <w:delText>here:</w:delText>
        </w:r>
      </w:del>
      <w:ins w:id="58" w:author="Dentons" w:date="2018-03-14T11:16:00Z">
        <w:r>
          <w:t>where</w:t>
        </w:r>
      </w:ins>
      <w:ins w:id="59" w:author="Dentons" w:date="2018-03-13T15:40:00Z">
        <w:r>
          <w:t>:</w:t>
        </w:r>
      </w:ins>
      <w:ins w:id="60" w:author="Dentons" w:date="2018-03-13T15:39:00Z">
        <w:r>
          <w:t xml:space="preserve"> </w:t>
        </w:r>
      </w:ins>
    </w:p>
    <w:p>
      <w:pPr>
        <w:rPr>
          <w:ins w:id="61" w:author="Dentons" w:date="2018-03-13T15:22:00Z"/>
        </w:rPr>
      </w:pPr>
    </w:p>
    <w:p>
      <w:pPr>
        <w:ind w:left="720" w:hanging="720"/>
        <w:rPr>
          <w:ins w:id="62" w:author="Dentons" w:date="2018-03-13T15:26:00Z"/>
        </w:rPr>
      </w:pPr>
      <w:ins w:id="63" w:author="Dentons" w:date="2018-03-13T15:22:00Z">
        <w:r>
          <w:t>M</w:t>
        </w:r>
        <w:r>
          <w:tab/>
        </w:r>
      </w:ins>
      <w:ins w:id="64" w:author="Dentons" w:date="2018-03-13T15:23:00Z">
        <w:r>
          <w:t>is a measure (expressed in kWh/Day) of maximum offtake rate at the Eligible Exit Point</w:t>
        </w:r>
      </w:ins>
      <w:ins w:id="65" w:author="Dentons" w:date="2018-03-13T15:24:00Z">
        <w:r>
          <w:t>, being</w:t>
        </w:r>
      </w:ins>
      <w:ins w:id="66" w:author="Dentons" w:date="2018-03-13T15:28:00Z">
        <w:r>
          <w:t xml:space="preserve"> in the case of</w:t>
        </w:r>
      </w:ins>
      <w:ins w:id="67" w:author="Dentons" w:date="2018-03-13T15:24:00Z">
        <w:r>
          <w:t>:</w:t>
        </w:r>
      </w:ins>
    </w:p>
    <w:p>
      <w:pPr>
        <w:ind w:left="720" w:hanging="720"/>
        <w:rPr>
          <w:ins w:id="68" w:author="Dentons" w:date="2018-03-13T15:26:00Z"/>
        </w:rPr>
      </w:pPr>
    </w:p>
    <w:p>
      <w:pPr>
        <w:tabs>
          <w:tab w:val="left" w:pos="720"/>
        </w:tabs>
        <w:ind w:left="1440" w:hanging="1440"/>
        <w:rPr>
          <w:ins w:id="69" w:author="Dentons" w:date="2018-03-13T15:27:00Z"/>
        </w:rPr>
      </w:pPr>
      <w:r>
        <w:tab/>
      </w:r>
      <w:ins w:id="70" w:author="Dentons" w:date="2018-03-13T15:26:00Z">
        <w:r>
          <w:t>(</w:t>
        </w:r>
        <w:proofErr w:type="spellStart"/>
        <w:r>
          <w:t>i</w:t>
        </w:r>
        <w:proofErr w:type="spellEnd"/>
        <w:r>
          <w:t>)</w:t>
        </w:r>
        <w:r>
          <w:tab/>
          <w:t>an NTS Exit Point, the Maximum NTS</w:t>
        </w:r>
      </w:ins>
      <w:ins w:id="71" w:author="Dentons" w:date="2018-03-13T15:27:00Z">
        <w:r>
          <w:t xml:space="preserve"> Exit Point Offtake Rate (converted into kWh/Day);</w:t>
        </w:r>
      </w:ins>
    </w:p>
    <w:p>
      <w:pPr>
        <w:tabs>
          <w:tab w:val="left" w:pos="720"/>
        </w:tabs>
        <w:ind w:left="1440" w:hanging="1440"/>
        <w:rPr>
          <w:ins w:id="72" w:author="Dentons" w:date="2018-03-13T15:28:00Z"/>
        </w:rPr>
      </w:pPr>
    </w:p>
    <w:p>
      <w:pPr>
        <w:tabs>
          <w:tab w:val="left" w:pos="720"/>
        </w:tabs>
        <w:ind w:left="1440" w:hanging="1440"/>
        <w:rPr>
          <w:ins w:id="73" w:author="Dentons" w:date="2018-03-13T15:24:00Z"/>
        </w:rPr>
      </w:pPr>
      <w:r>
        <w:tab/>
      </w:r>
      <w:ins w:id="74" w:author="Dentons" w:date="2018-03-13T15:28:00Z">
        <w:r>
          <w:t>(ii)</w:t>
        </w:r>
        <w:r>
          <w:tab/>
          <w:t xml:space="preserve">an </w:t>
        </w:r>
        <w:proofErr w:type="spellStart"/>
        <w:r>
          <w:t>LDZ</w:t>
        </w:r>
        <w:proofErr w:type="spellEnd"/>
        <w:r>
          <w:t xml:space="preserve"> Exit Point</w:t>
        </w:r>
      </w:ins>
      <w:ins w:id="75" w:author="Dentons" w:date="2018-03-13T15:52:00Z">
        <w:r>
          <w:t>,</w:t>
        </w:r>
      </w:ins>
      <w:ins w:id="76" w:author="Dentons" w:date="2018-03-13T15:28:00Z">
        <w:r>
          <w:t xml:space="preserve"> the Supply Point Offtake Rate (converted into kWh/Day)</w:t>
        </w:r>
      </w:ins>
      <w:ins w:id="77" w:author="Dentons" w:date="2018-03-13T15:29:00Z">
        <w:r>
          <w:t>;</w:t>
        </w:r>
      </w:ins>
    </w:p>
    <w:p>
      <w:pPr>
        <w:rPr>
          <w:ins w:id="78" w:author="Dentons" w:date="2018-03-13T15:24:00Z"/>
        </w:rPr>
      </w:pPr>
    </w:p>
    <w:p>
      <w:ins w:id="79" w:author="Dentons" w:date="2018-03-13T15:25:00Z">
        <w:r>
          <w:t>D</w:t>
        </w:r>
        <w:r>
          <w:tab/>
          <w:t xml:space="preserve">is the distance (in accordance with TPD Section B3.12.11) from the Specified Exit Point to the </w:t>
        </w:r>
      </w:ins>
      <w:r>
        <w:tab/>
      </w:r>
      <w:ins w:id="80" w:author="Dentons" w:date="2018-03-13T15:25:00Z">
        <w:r>
          <w:t>Specified Entry Point</w:t>
        </w:r>
      </w:ins>
      <w:ins w:id="81" w:author="Dentons" w:date="2018-03-13T15:26:00Z">
        <w:r>
          <w:t>; and</w:t>
        </w:r>
      </w:ins>
    </w:p>
    <w:p/>
    <w:p>
      <w:pPr>
        <w:rPr>
          <w:del w:id="82" w:author="Dentons" w:date="2018-03-13T15:24:00Z"/>
        </w:rPr>
      </w:pPr>
      <w:del w:id="83" w:author="Dentons" w:date="2018-03-13T15:24:00Z">
        <w:r>
          <w:delText>D = the direct distance from the site or non-National Grid NTS pipeline to the Specified</w:delText>
        </w:r>
      </w:del>
    </w:p>
    <w:p>
      <w:pPr>
        <w:rPr>
          <w:del w:id="84" w:author="Dentons" w:date="2018-03-13T15:24:00Z"/>
        </w:rPr>
      </w:pPr>
      <w:del w:id="85" w:author="Dentons" w:date="2018-03-13T15:24:00Z">
        <w:r>
          <w:tab/>
          <w:delText>Entry Point in km;</w:delText>
        </w:r>
      </w:del>
    </w:p>
    <w:p>
      <w:pPr>
        <w:rPr>
          <w:del w:id="86" w:author="Dentons" w:date="2018-03-13T15:24:00Z"/>
        </w:rPr>
      </w:pPr>
    </w:p>
    <w:p>
      <w:del w:id="87" w:author="Dentons" w:date="2018-03-13T15:24:00Z">
        <w:r>
          <w:delText>M = Maximum NTS Exit Point Offtake Rate (MNEPOR) converted into kWh/day at the site; and</w:delText>
        </w:r>
      </w:del>
    </w:p>
    <w:p>
      <w:r>
        <w:t xml:space="preserve">^ </w:t>
      </w:r>
      <w:ins w:id="88" w:author="Dentons" w:date="2018-03-13T15:24:00Z">
        <w:r>
          <w:tab/>
        </w:r>
      </w:ins>
      <w:del w:id="89" w:author="Dentons" w:date="2018-03-13T15:24:00Z">
        <w:r>
          <w:delText>=</w:delText>
        </w:r>
      </w:del>
      <w:r>
        <w:t xml:space="preserve"> </w:t>
      </w:r>
      <w:ins w:id="90" w:author="Dentons" w:date="2018-03-13T15:24:00Z">
        <w:r>
          <w:t xml:space="preserve">means </w:t>
        </w:r>
      </w:ins>
      <w:r>
        <w:t>to the power of.</w:t>
      </w:r>
    </w:p>
    <w:p/>
    <w:p>
      <w:pPr>
        <w:rPr>
          <w:ins w:id="91" w:author="Dentons" w:date="2018-02-26T16:37:00Z"/>
          <w:b/>
        </w:rPr>
      </w:pPr>
      <w:r>
        <w:rPr>
          <w:b/>
        </w:rPr>
        <w:t xml:space="preserve">TRANSITION DOCUMENT – PART </w:t>
      </w:r>
      <w:proofErr w:type="spellStart"/>
      <w:r>
        <w:rPr>
          <w:b/>
        </w:rPr>
        <w:t>IIC</w:t>
      </w:r>
      <w:proofErr w:type="spellEnd"/>
    </w:p>
    <w:p>
      <w:pPr>
        <w:rPr>
          <w:ins w:id="92" w:author="Dentons" w:date="2018-02-26T16:39:00Z"/>
        </w:rPr>
      </w:pPr>
    </w:p>
    <w:p>
      <w:pPr>
        <w:rPr>
          <w:i/>
        </w:rPr>
      </w:pPr>
      <w:r>
        <w:rPr>
          <w:i/>
        </w:rPr>
        <w:t>Add new paragraph 24 to read as follows:</w:t>
      </w:r>
    </w:p>
    <w:p/>
    <w:p>
      <w:pPr>
        <w:rPr>
          <w:ins w:id="93" w:author="Dentons" w:date="2018-02-26T18:58:00Z"/>
          <w:b/>
        </w:rPr>
      </w:pPr>
      <w:ins w:id="94" w:author="Dentons" w:date="2018-02-26T18:58:00Z">
        <w:r>
          <w:rPr>
            <w:b/>
          </w:rPr>
          <w:t>24</w:t>
        </w:r>
        <w:r>
          <w:rPr>
            <w:b/>
          </w:rPr>
          <w:tab/>
          <w:t>NTS OPTIONAL COMMODITY RATE</w:t>
        </w:r>
      </w:ins>
    </w:p>
    <w:p>
      <w:pPr>
        <w:rPr>
          <w:ins w:id="95" w:author="Dentons" w:date="2018-02-26T18:58:00Z"/>
          <w:b/>
        </w:rPr>
      </w:pPr>
    </w:p>
    <w:p>
      <w:pPr>
        <w:pStyle w:val="Level2Number"/>
        <w:numPr>
          <w:ilvl w:val="0"/>
          <w:numId w:val="0"/>
        </w:numPr>
        <w:ind w:left="720" w:hanging="720"/>
        <w:rPr>
          <w:ins w:id="96" w:author="Dentons" w:date="2018-02-26T18:58:00Z"/>
        </w:rPr>
      </w:pPr>
      <w:ins w:id="97" w:author="Dentons" w:date="2018-02-26T18:58:00Z">
        <w:r>
          <w:t>24.1</w:t>
        </w:r>
        <w:r>
          <w:tab/>
        </w:r>
        <w:r>
          <w:rPr>
            <w:b/>
          </w:rPr>
          <w:t>Implementation</w:t>
        </w:r>
      </w:ins>
    </w:p>
    <w:p>
      <w:pPr>
        <w:pStyle w:val="Level2Number"/>
        <w:numPr>
          <w:ilvl w:val="0"/>
          <w:numId w:val="0"/>
        </w:numPr>
        <w:ind w:left="720" w:hanging="720"/>
        <w:rPr>
          <w:ins w:id="98" w:author="Dentons" w:date="2018-05-04T14:28:00Z"/>
        </w:rPr>
      </w:pPr>
      <w:ins w:id="99" w:author="Dentons" w:date="2018-02-26T18:58:00Z">
        <w:r>
          <w:t>24.1.1</w:t>
        </w:r>
        <w:r>
          <w:tab/>
          <w:t>For the purposes of this paragraph 24:</w:t>
        </w:r>
      </w:ins>
    </w:p>
    <w:p>
      <w:pPr>
        <w:pStyle w:val="Level2Number"/>
        <w:numPr>
          <w:ilvl w:val="0"/>
          <w:numId w:val="0"/>
        </w:numPr>
        <w:tabs>
          <w:tab w:val="left" w:pos="720"/>
        </w:tabs>
        <w:ind w:left="1440" w:hanging="1440"/>
        <w:rPr>
          <w:ins w:id="100" w:author="Dentons" w:date="2018-02-26T18:58:00Z"/>
        </w:rPr>
      </w:pPr>
      <w:r>
        <w:tab/>
      </w:r>
      <w:ins w:id="101" w:author="Dentons" w:date="2018-05-04T14:28:00Z">
        <w:r>
          <w:t>(a)</w:t>
        </w:r>
        <w:r>
          <w:tab/>
        </w:r>
        <w:r>
          <w:rPr>
            <w:b/>
          </w:rPr>
          <w:t>Effective Date</w:t>
        </w:r>
        <w:r>
          <w:t xml:space="preserve"> means the date</w:t>
        </w:r>
      </w:ins>
      <w:ins w:id="102" w:author="Dentons" w:date="2018-05-04T14:32:00Z">
        <w:r>
          <w:t xml:space="preserve"> </w:t>
        </w:r>
      </w:ins>
      <w:ins w:id="103" w:author="Dentons" w:date="2018-05-04T14:31:00Z">
        <w:r>
          <w:t xml:space="preserve">(being the first day of a calendar month) specified in National Grid </w:t>
        </w:r>
        <w:proofErr w:type="spellStart"/>
        <w:r>
          <w:t>NTS's</w:t>
        </w:r>
        <w:proofErr w:type="spellEnd"/>
        <w:r>
          <w:t xml:space="preserve"> notice under paragraph 24.1.2;</w:t>
        </w:r>
      </w:ins>
      <w:ins w:id="104" w:author="Dentons" w:date="2018-05-04T14:28:00Z">
        <w:r>
          <w:t xml:space="preserve"> </w:t>
        </w:r>
      </w:ins>
    </w:p>
    <w:p>
      <w:pPr>
        <w:pStyle w:val="Level2Number"/>
        <w:numPr>
          <w:ilvl w:val="0"/>
          <w:numId w:val="0"/>
        </w:numPr>
        <w:tabs>
          <w:tab w:val="left" w:pos="720"/>
        </w:tabs>
        <w:ind w:left="1440" w:hanging="1440"/>
        <w:rPr>
          <w:ins w:id="105" w:author="Dentons" w:date="2018-02-26T18:58:00Z"/>
        </w:rPr>
      </w:pPr>
      <w:r>
        <w:tab/>
      </w:r>
      <w:ins w:id="106" w:author="Dentons" w:date="2018-03-13T14:23:00Z">
        <w:r>
          <w:t>(</w:t>
        </w:r>
      </w:ins>
      <w:ins w:id="107" w:author="Dentons" w:date="2018-05-04T14:28:00Z">
        <w:r>
          <w:t>b</w:t>
        </w:r>
      </w:ins>
      <w:ins w:id="108" w:author="Dentons" w:date="2018-05-03T16:39:00Z">
        <w:r>
          <w:t>)</w:t>
        </w:r>
      </w:ins>
      <w:ins w:id="109" w:author="Dentons" w:date="2018-03-13T14:23:00Z">
        <w:r>
          <w:rPr>
            <w:b/>
          </w:rPr>
          <w:tab/>
        </w:r>
      </w:ins>
      <w:ins w:id="110" w:author="Dentons" w:date="2018-03-14T16:14:00Z">
        <w:r>
          <w:rPr>
            <w:b/>
          </w:rPr>
          <w:t>Non-</w:t>
        </w:r>
      </w:ins>
      <w:ins w:id="111" w:author="Dentons" w:date="2018-03-13T14:19:00Z">
        <w:r>
          <w:rPr>
            <w:b/>
          </w:rPr>
          <w:t>Qualifying S</w:t>
        </w:r>
      </w:ins>
      <w:ins w:id="112" w:author="Dentons" w:date="2018-03-14T16:30:00Z">
        <w:r>
          <w:rPr>
            <w:b/>
          </w:rPr>
          <w:t>upply Point</w:t>
        </w:r>
      </w:ins>
      <w:ins w:id="113" w:author="Dentons" w:date="2018-03-13T14:19:00Z">
        <w:r>
          <w:t xml:space="preserve"> means a </w:t>
        </w:r>
      </w:ins>
      <w:ins w:id="114" w:author="Dentons" w:date="2018-03-14T16:30:00Z">
        <w:r>
          <w:t xml:space="preserve">Supply Point which comprises a </w:t>
        </w:r>
      </w:ins>
      <w:ins w:id="115" w:author="Dentons" w:date="2018-03-14T16:27:00Z">
        <w:r>
          <w:t>Specified Exit Point</w:t>
        </w:r>
      </w:ins>
      <w:ins w:id="116" w:author="Dentons" w:date="2018-03-13T14:19:00Z">
        <w:r>
          <w:t xml:space="preserve"> </w:t>
        </w:r>
      </w:ins>
      <w:ins w:id="117" w:author="Dentons" w:date="2018-03-13T16:07:00Z">
        <w:r>
          <w:t xml:space="preserve">which </w:t>
        </w:r>
      </w:ins>
      <w:ins w:id="118" w:author="Dentons" w:date="2018-03-14T16:50:00Z">
        <w:r>
          <w:t xml:space="preserve">(by reason of </w:t>
        </w:r>
      </w:ins>
      <w:ins w:id="119" w:author="Dentons" w:date="2018-05-03T16:40:00Z">
        <w:r>
          <w:t xml:space="preserve">Modification </w:t>
        </w:r>
      </w:ins>
      <w:ins w:id="120" w:author="Dentons" w:date="2018-05-04T14:29:00Z">
        <w:r>
          <w:t>0636A</w:t>
        </w:r>
      </w:ins>
      <w:ins w:id="121" w:author="Dentons" w:date="2018-05-03T16:40:00Z">
        <w:r>
          <w:t xml:space="preserve">) </w:t>
        </w:r>
      </w:ins>
      <w:ins w:id="122" w:author="Dentons" w:date="2018-03-13T16:07:00Z">
        <w:r>
          <w:t xml:space="preserve">is </w:t>
        </w:r>
      </w:ins>
      <w:ins w:id="123" w:author="Dentons" w:date="2018-03-14T16:14:00Z">
        <w:r>
          <w:t>no</w:t>
        </w:r>
      </w:ins>
      <w:ins w:id="124" w:author="Dentons" w:date="2018-03-14T16:51:00Z">
        <w:r>
          <w:t xml:space="preserve"> longer </w:t>
        </w:r>
      </w:ins>
      <w:ins w:id="125" w:author="Dentons" w:date="2018-03-14T16:14:00Z">
        <w:r>
          <w:t>an</w:t>
        </w:r>
      </w:ins>
      <w:ins w:id="126" w:author="Dentons" w:date="2018-03-13T16:07:00Z">
        <w:r>
          <w:t xml:space="preserve"> Eligible Exit Point;</w:t>
        </w:r>
      </w:ins>
      <w:ins w:id="127" w:author="Dentons" w:date="2018-03-13T14:23:00Z">
        <w:r>
          <w:t xml:space="preserve">  </w:t>
        </w:r>
      </w:ins>
    </w:p>
    <w:p>
      <w:pPr>
        <w:pStyle w:val="Level2Number"/>
        <w:numPr>
          <w:ilvl w:val="0"/>
          <w:numId w:val="0"/>
        </w:numPr>
        <w:tabs>
          <w:tab w:val="left" w:pos="720"/>
        </w:tabs>
        <w:ind w:left="1440" w:hanging="1440"/>
        <w:rPr>
          <w:ins w:id="128" w:author="Dentons" w:date="2018-02-26T18:58:00Z"/>
        </w:rPr>
      </w:pPr>
      <w:r>
        <w:tab/>
      </w:r>
      <w:ins w:id="129" w:author="Dentons" w:date="2018-02-26T18:58:00Z">
        <w:r>
          <w:t>(</w:t>
        </w:r>
      </w:ins>
      <w:ins w:id="130" w:author="Dentons" w:date="2018-05-04T14:29:00Z">
        <w:r>
          <w:t>c</w:t>
        </w:r>
      </w:ins>
      <w:ins w:id="131" w:author="Dentons" w:date="2018-02-26T18:58:00Z">
        <w:r>
          <w:t>)</w:t>
        </w:r>
        <w:r>
          <w:tab/>
        </w:r>
        <w:r>
          <w:rPr>
            <w:b/>
          </w:rPr>
          <w:t>Relevant User</w:t>
        </w:r>
        <w:r>
          <w:t xml:space="preserve"> means a User who</w:t>
        </w:r>
      </w:ins>
      <w:ins w:id="132" w:author="Dentons" w:date="2018-03-14T16:29:00Z">
        <w:r>
          <w:t xml:space="preserve"> </w:t>
        </w:r>
      </w:ins>
      <w:ins w:id="133" w:author="Dentons" w:date="2018-02-26T18:58:00Z">
        <w:r>
          <w:t xml:space="preserve">is the Registered User of a </w:t>
        </w:r>
      </w:ins>
      <w:ins w:id="134" w:author="Dentons" w:date="2018-03-14T16:30:00Z">
        <w:r>
          <w:t xml:space="preserve">Non-Qualifying </w:t>
        </w:r>
      </w:ins>
      <w:ins w:id="135" w:author="Dentons" w:date="2018-02-26T18:58:00Z">
        <w:r>
          <w:t>Supply Point</w:t>
        </w:r>
      </w:ins>
      <w:ins w:id="136" w:author="Dentons" w:date="2018-03-14T16:28:00Z">
        <w:r>
          <w:t>.</w:t>
        </w:r>
      </w:ins>
    </w:p>
    <w:p>
      <w:pPr>
        <w:spacing w:after="240"/>
        <w:ind w:left="720" w:hanging="720"/>
        <w:rPr>
          <w:ins w:id="137" w:author="Dentons" w:date="2018-05-04T14:33:00Z"/>
        </w:rPr>
      </w:pPr>
      <w:ins w:id="138" w:author="Dentons" w:date="2018-05-03T16:41:00Z">
        <w:r>
          <w:t>24.1.2</w:t>
        </w:r>
        <w:r>
          <w:tab/>
        </w:r>
      </w:ins>
      <w:ins w:id="139" w:author="Dentons" w:date="2018-05-04T14:33:00Z">
        <w:r>
          <w:t>The revised NTS Optional Commodity Rate (in accordance with Section Y, paragraph 3.5 as modified by Modification 0636</w:t>
        </w:r>
      </w:ins>
      <w:ins w:id="140" w:author="Dentons" w:date="2018-05-04T14:44:00Z">
        <w:r>
          <w:t>A</w:t>
        </w:r>
      </w:ins>
      <w:ins w:id="141" w:author="Dentons" w:date="2018-05-04T14:33:00Z">
        <w:r>
          <w:t xml:space="preserve">) shall cease to apply from the Effective Date in respect of a Relevant Supply Point for the purposes of determining the NTS Exit (Flat) Commodity Charge payable pursuant to TPD Section B3.12.9 where prior to such date (and following the date on which the Authority directed approval of Modification </w:t>
        </w:r>
      </w:ins>
      <w:ins w:id="142" w:author="Dentons" w:date="2018-05-04T14:45:00Z">
        <w:r>
          <w:t>0636A</w:t>
        </w:r>
      </w:ins>
      <w:ins w:id="143" w:author="Dentons" w:date="2018-05-04T14:33:00Z">
        <w:r>
          <w:t>) National Grid NTS has given the Relevant User not less than:</w:t>
        </w:r>
        <w:bookmarkStart w:id="144" w:name="_GoBack"/>
        <w:bookmarkEnd w:id="144"/>
      </w:ins>
    </w:p>
    <w:p>
      <w:pPr>
        <w:spacing w:after="240"/>
        <w:ind w:left="720"/>
        <w:rPr>
          <w:ins w:id="145" w:author="Dentons" w:date="2018-05-04T14:33:00Z"/>
        </w:rPr>
      </w:pPr>
      <w:ins w:id="146" w:author="Dentons" w:date="2018-05-04T14:33:00Z">
        <w:r>
          <w:t>(a)</w:t>
        </w:r>
        <w:r>
          <w:tab/>
          <w:t>2 months notice;</w:t>
        </w:r>
      </w:ins>
    </w:p>
    <w:p>
      <w:pPr>
        <w:spacing w:after="240"/>
        <w:ind w:left="720" w:hanging="720"/>
        <w:rPr>
          <w:ins w:id="147" w:author="Dentons" w:date="2018-05-03T16:41:00Z"/>
        </w:rPr>
      </w:pPr>
      <w:r>
        <w:tab/>
      </w:r>
      <w:ins w:id="148" w:author="Dentons" w:date="2018-05-04T14:33:00Z">
        <w:r>
          <w:t>(b)</w:t>
        </w:r>
        <w:r>
          <w:tab/>
          <w:t xml:space="preserve">such shorter period of notice as consented to by the Authority in writing and notified </w:t>
        </w:r>
      </w:ins>
      <w:r>
        <w:tab/>
      </w:r>
      <w:ins w:id="149" w:author="Dentons" w:date="2018-05-04T14:33:00Z">
        <w:r>
          <w:t>by National Grid NTS to the Relevant User.</w:t>
        </w:r>
      </w:ins>
    </w:p>
    <w:p>
      <w:pPr>
        <w:pStyle w:val="Level2Number"/>
        <w:numPr>
          <w:ilvl w:val="0"/>
          <w:numId w:val="0"/>
        </w:numPr>
        <w:tabs>
          <w:tab w:val="left" w:pos="0"/>
        </w:tabs>
        <w:ind w:left="720" w:hanging="720"/>
        <w:rPr>
          <w:del w:id="150" w:author="Dentons" w:date="2018-04-03T09:07:00Z"/>
        </w:rPr>
      </w:pPr>
    </w:p>
    <w:p>
      <w:pPr>
        <w:pStyle w:val="Level2Number"/>
        <w:numPr>
          <w:ilvl w:val="0"/>
          <w:numId w:val="0"/>
        </w:numPr>
        <w:tabs>
          <w:tab w:val="left" w:pos="720"/>
        </w:tabs>
        <w:ind w:left="720" w:hanging="720"/>
      </w:pPr>
      <w:ins w:id="151" w:author="Dentons" w:date="2018-03-13T16:09:00Z">
        <w:r>
          <w:lastRenderedPageBreak/>
          <w:t>24.1.</w:t>
        </w:r>
      </w:ins>
      <w:ins w:id="152" w:author="Dentons" w:date="2018-04-03T09:07:00Z">
        <w:r>
          <w:t>3</w:t>
        </w:r>
      </w:ins>
      <w:ins w:id="153" w:author="Dentons" w:date="2018-03-13T16:09:00Z">
        <w:r>
          <w:tab/>
        </w:r>
      </w:ins>
      <w:ins w:id="154" w:author="Dentons" w:date="2018-03-14T16:49:00Z">
        <w:r>
          <w:t>The</w:t>
        </w:r>
      </w:ins>
      <w:ins w:id="155" w:author="Dentons" w:date="2018-03-13T16:15:00Z">
        <w:r>
          <w:t xml:space="preserve"> Relevant User </w:t>
        </w:r>
      </w:ins>
      <w:ins w:id="156" w:author="Dentons" w:date="2018-05-04T14:34:00Z">
        <w:r>
          <w:t>shall</w:t>
        </w:r>
      </w:ins>
      <w:ins w:id="157" w:author="Dentons" w:date="2018-03-13T16:15:00Z">
        <w:r>
          <w:t xml:space="preserve"> </w:t>
        </w:r>
      </w:ins>
      <w:ins w:id="158" w:author="Dentons" w:date="2018-04-03T09:11:00Z">
        <w:r>
          <w:t>prior to the</w:t>
        </w:r>
      </w:ins>
      <w:ins w:id="159" w:author="Dentons" w:date="2018-05-03T16:42:00Z">
        <w:r>
          <w:t xml:space="preserve"> </w:t>
        </w:r>
      </w:ins>
      <w:ins w:id="160" w:author="Dentons" w:date="2018-05-04T14:33:00Z">
        <w:r>
          <w:t xml:space="preserve">Effective Date submit a </w:t>
        </w:r>
      </w:ins>
      <w:ins w:id="161" w:author="Dentons" w:date="2018-03-13T16:27:00Z">
        <w:r>
          <w:t>Supply Point</w:t>
        </w:r>
      </w:ins>
      <w:ins w:id="162" w:author="Dentons" w:date="2018-03-13T16:19:00Z">
        <w:r>
          <w:t xml:space="preserve"> </w:t>
        </w:r>
      </w:ins>
      <w:ins w:id="163" w:author="Dentons" w:date="2018-03-13T16:24:00Z">
        <w:r>
          <w:t>Re</w:t>
        </w:r>
      </w:ins>
      <w:ins w:id="164" w:author="Dentons" w:date="2018-03-14T16:37:00Z">
        <w:r>
          <w:t>nomination</w:t>
        </w:r>
      </w:ins>
      <w:ins w:id="165" w:author="Dentons" w:date="2018-03-14T16:47:00Z">
        <w:r>
          <w:t xml:space="preserve"> (and Supply Point Reconfirmation) </w:t>
        </w:r>
      </w:ins>
      <w:ins w:id="166" w:author="Dentons" w:date="2018-03-13T16:25:00Z">
        <w:r>
          <w:t xml:space="preserve">in respect of </w:t>
        </w:r>
      </w:ins>
      <w:ins w:id="167" w:author="Dentons" w:date="2018-03-14T16:48:00Z">
        <w:r>
          <w:t>the Non-Qualifying Supply Point s</w:t>
        </w:r>
      </w:ins>
      <w:ins w:id="168" w:author="Dentons" w:date="2018-03-14T16:49:00Z">
        <w:r>
          <w:t>uch</w:t>
        </w:r>
      </w:ins>
      <w:ins w:id="169" w:author="Dentons" w:date="2018-03-14T16:48:00Z">
        <w:r>
          <w:t xml:space="preserve"> that the </w:t>
        </w:r>
      </w:ins>
      <w:ins w:id="170" w:author="Dentons" w:date="2018-03-13T16:25:00Z">
        <w:r>
          <w:t>NTS Optional Commodity Rate</w:t>
        </w:r>
      </w:ins>
      <w:ins w:id="171" w:author="Dentons" w:date="2018-03-14T16:41:00Z">
        <w:r>
          <w:t xml:space="preserve"> </w:t>
        </w:r>
      </w:ins>
      <w:ins w:id="172" w:author="Dentons" w:date="2018-03-14T16:49:00Z">
        <w:r>
          <w:t xml:space="preserve">no longer applies </w:t>
        </w:r>
      </w:ins>
      <w:ins w:id="173" w:author="Dentons" w:date="2018-05-04T14:34:00Z">
        <w:r>
          <w:t>at the Relevant Supply Point from the Effective Date</w:t>
        </w:r>
      </w:ins>
      <w:ins w:id="174" w:author="Dentons" w:date="2018-05-03T16:43:00Z">
        <w:r>
          <w:t xml:space="preserve">. </w:t>
        </w:r>
      </w:ins>
    </w:p>
    <w:p>
      <w:pPr>
        <w:pStyle w:val="Level2Number"/>
        <w:numPr>
          <w:ilvl w:val="0"/>
          <w:numId w:val="0"/>
        </w:numPr>
        <w:tabs>
          <w:tab w:val="left" w:pos="720"/>
        </w:tabs>
        <w:ind w:left="720" w:hanging="720"/>
        <w:rPr>
          <w:del w:id="175" w:author="Dentons" w:date="2018-03-14T11:19:00Z"/>
        </w:rPr>
      </w:pPr>
    </w:p>
    <w:p/>
    <w:sectPr>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rPr>
        <w:ins w:id="176" w:author="Dentons" w:date="2018-05-03T16:37:00Z"/>
      </w:rPr>
    </w:pPr>
    <w:ins w:id="177" w:author="Dentons" w:date="2018-05-03T16:37:00Z">
      <w:r>
        <w:fldChar w:fldCharType="begin"/>
      </w:r>
      <w:r>
        <w:instrText xml:space="preserve"> SAVEDATE  \@ "d MMMM yyyy"  \* MERGEFORMAT </w:instrText>
      </w:r>
      <w:r>
        <w:fldChar w:fldCharType="separate"/>
      </w:r>
    </w:ins>
    <w:ins w:id="178" w:author="Dentons" w:date="2018-05-04T15:16:00Z">
      <w:r>
        <w:rPr>
          <w:noProof/>
        </w:rPr>
        <w:t>4 May 2018</w:t>
      </w:r>
    </w:ins>
    <w:del w:id="179" w:author="Dentons" w:date="2018-05-04T14:44:00Z">
      <w:r>
        <w:rPr>
          <w:noProof/>
        </w:rPr>
        <w:delText>3 May 2018</w:delText>
      </w:r>
    </w:del>
    <w:ins w:id="180" w:author="Dentons" w:date="2018-05-03T16:37:00Z">
      <w:r>
        <w:fldChar w:fldCharType="end"/>
      </w:r>
    </w:ins>
  </w:p>
  <w:p>
    <w:pPr>
      <w:pStyle w:val="Footer"/>
      <w:tabs>
        <w:tab w:val="clear" w:pos="4513"/>
        <w:tab w:val="clear" w:pos="9026"/>
      </w:tabs>
      <w:rPr>
        <w:ins w:id="181" w:author="Dentons" w:date="2018-05-03T16:37:00Z"/>
      </w:rPr>
    </w:pPr>
    <w:ins w:id="182" w:author="Dentons" w:date="2018-05-03T16:37:00Z">
      <w:r>
        <w:fldChar w:fldCharType="begin"/>
      </w:r>
      <w:r>
        <w:instrText xml:space="preserve"> COMMENTS  \* MERGEFORMAT </w:instrText>
      </w:r>
    </w:ins>
    <w:r>
      <w:fldChar w:fldCharType="separate"/>
    </w:r>
    <w:proofErr w:type="spellStart"/>
    <w:ins w:id="183" w:author="Dentons" w:date="2018-05-04T14:51:00Z">
      <w:r>
        <w:t>DBT</w:t>
      </w:r>
      <w:proofErr w:type="spellEnd"/>
      <w:r>
        <w:t>/49900929.01</w:t>
      </w:r>
    </w:ins>
    <w:del w:id="184" w:author="Dentons" w:date="2018-05-04T14:46:00Z">
      <w:r>
        <w:delText>DBT/57801062.01</w:delText>
      </w:r>
    </w:del>
    <w:ins w:id="185" w:author="Dentons" w:date="2018-05-03T16:37:00Z">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ins>
    <w:r>
      <w:rPr>
        <w:rStyle w:val="PageNumber"/>
        <w:noProof/>
      </w:rPr>
      <w:t>1</w:t>
    </w:r>
    <w:ins w:id="186" w:author="Dentons" w:date="2018-05-03T16:37:00Z">
      <w:r>
        <w:rPr>
          <w:rStyle w:val="PageNumber"/>
        </w:rPr>
        <w:fldChar w:fldCharType="end"/>
      </w:r>
    </w:ins>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styleLockTheme/>
  <w:styleLockQFSet/>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171">
      <w:bodyDiv w:val="1"/>
      <w:marLeft w:val="0"/>
      <w:marRight w:val="0"/>
      <w:marTop w:val="0"/>
      <w:marBottom w:val="0"/>
      <w:divBdr>
        <w:top w:val="none" w:sz="0" w:space="0" w:color="auto"/>
        <w:left w:val="none" w:sz="0" w:space="0" w:color="auto"/>
        <w:bottom w:val="none" w:sz="0" w:space="0" w:color="auto"/>
        <w:right w:val="none" w:sz="0" w:space="0" w:color="auto"/>
      </w:divBdr>
    </w:div>
    <w:div w:id="223837194">
      <w:bodyDiv w:val="1"/>
      <w:marLeft w:val="0"/>
      <w:marRight w:val="0"/>
      <w:marTop w:val="0"/>
      <w:marBottom w:val="0"/>
      <w:divBdr>
        <w:top w:val="none" w:sz="0" w:space="0" w:color="auto"/>
        <w:left w:val="none" w:sz="0" w:space="0" w:color="auto"/>
        <w:bottom w:val="none" w:sz="0" w:space="0" w:color="auto"/>
        <w:right w:val="none" w:sz="0" w:space="0" w:color="auto"/>
      </w:divBdr>
    </w:div>
    <w:div w:id="480384688">
      <w:bodyDiv w:val="1"/>
      <w:marLeft w:val="0"/>
      <w:marRight w:val="0"/>
      <w:marTop w:val="0"/>
      <w:marBottom w:val="0"/>
      <w:divBdr>
        <w:top w:val="none" w:sz="0" w:space="0" w:color="auto"/>
        <w:left w:val="none" w:sz="0" w:space="0" w:color="auto"/>
        <w:bottom w:val="none" w:sz="0" w:space="0" w:color="auto"/>
        <w:right w:val="none" w:sz="0" w:space="0" w:color="auto"/>
      </w:divBdr>
    </w:div>
    <w:div w:id="1007632907">
      <w:bodyDiv w:val="1"/>
      <w:marLeft w:val="0"/>
      <w:marRight w:val="0"/>
      <w:marTop w:val="0"/>
      <w:marBottom w:val="0"/>
      <w:divBdr>
        <w:top w:val="none" w:sz="0" w:space="0" w:color="auto"/>
        <w:left w:val="none" w:sz="0" w:space="0" w:color="auto"/>
        <w:bottom w:val="none" w:sz="0" w:space="0" w:color="auto"/>
        <w:right w:val="none" w:sz="0" w:space="0" w:color="auto"/>
      </w:divBdr>
    </w:div>
    <w:div w:id="1812333436">
      <w:bodyDiv w:val="1"/>
      <w:marLeft w:val="0"/>
      <w:marRight w:val="0"/>
      <w:marTop w:val="0"/>
      <w:marBottom w:val="0"/>
      <w:divBdr>
        <w:top w:val="none" w:sz="0" w:space="0" w:color="auto"/>
        <w:left w:val="none" w:sz="0" w:space="0" w:color="auto"/>
        <w:bottom w:val="none" w:sz="0" w:space="0" w:color="auto"/>
        <w:right w:val="none" w:sz="0" w:space="0" w:color="auto"/>
      </w:divBdr>
    </w:div>
    <w:div w:id="1967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609C-2678-4B32-96D5-252AAFB8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49900929.01</vt:lpstr>
    </vt:vector>
  </TitlesOfParts>
  <Company>Dentons</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49900929.01</dc:title>
  <dc:creator>Dentons</dc:creator>
  <dc:description>DBT/49900929.01</dc:description>
  <cp:lastModifiedBy>Dentons</cp:lastModifiedBy>
  <cp:revision>31</cp:revision>
  <cp:lastPrinted>2018-05-04T13:51:00Z</cp:lastPrinted>
  <dcterms:created xsi:type="dcterms:W3CDTF">2018-03-13T12:31:00Z</dcterms:created>
  <dcterms:modified xsi:type="dcterms:W3CDTF">2018-05-04T14:17:00Z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49900929.01</vt:lpwstr>
  </property>
  <property fmtid="{D5CDD505-2E9C-101B-9397-08002B2CF9AE}" pid="3" name="Client/Matter">
    <vt:lpwstr>PERSONAL.DBT</vt:lpwstr>
  </property>
  <property fmtid="{D5CDD505-2E9C-101B-9397-08002B2CF9AE}" pid="4" name="OurRef">
    <vt:lpwstr>DBT</vt:lpwstr>
  </property>
  <property fmtid="{D5CDD505-2E9C-101B-9397-08002B2CF9AE}" pid="5" name="_NewReviewCycle">
    <vt:lpwstr/>
  </property>
</Properties>
</file>