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4"/>
        <w:gridCol w:w="2835"/>
        <w:gridCol w:w="3511"/>
        <w:gridCol w:w="2159"/>
        <w:gridCol w:w="2835"/>
      </w:tblGrid>
      <w:tr w:rsidR="002E5845" w:rsidRPr="002E5845" w:rsidTr="00CD1DB8">
        <w:trPr>
          <w:cantSplit/>
          <w:tblHeader/>
        </w:trPr>
        <w:tc>
          <w:tcPr>
            <w:tcW w:w="2834" w:type="dxa"/>
            <w:tcMar>
              <w:top w:w="57" w:type="dxa"/>
              <w:bottom w:w="57" w:type="dxa"/>
            </w:tcMar>
          </w:tcPr>
          <w:p w:rsidR="00E6386A" w:rsidRPr="002E5845" w:rsidRDefault="008E4C27" w:rsidP="008C6CB1">
            <w:pPr>
              <w:tabs>
                <w:tab w:val="right" w:pos="2618"/>
              </w:tabs>
              <w:rPr>
                <w:i/>
              </w:rPr>
            </w:pPr>
            <w:r w:rsidRPr="002E5845">
              <w:rPr>
                <w:i/>
              </w:rPr>
              <w:t>Risk Register</w:t>
            </w:r>
            <w:r w:rsidR="00E6386A" w:rsidRPr="002E5845">
              <w:rPr>
                <w:i/>
              </w:rPr>
              <w:t xml:space="preserve"> v 12/09/17</w:t>
            </w:r>
          </w:p>
        </w:tc>
        <w:tc>
          <w:tcPr>
            <w:tcW w:w="2835" w:type="dxa"/>
            <w:tcMar>
              <w:top w:w="57" w:type="dxa"/>
              <w:bottom w:w="57" w:type="dxa"/>
            </w:tcMar>
          </w:tcPr>
          <w:p w:rsidR="00E6386A" w:rsidRPr="002E5845" w:rsidRDefault="008E4C27" w:rsidP="00F763F0">
            <w:pPr>
              <w:rPr>
                <w:i/>
              </w:rPr>
            </w:pPr>
            <w:r w:rsidRPr="002E5845">
              <w:rPr>
                <w:i/>
              </w:rPr>
              <w:t>Risk Model</w:t>
            </w:r>
            <w:r w:rsidR="00E6386A" w:rsidRPr="002E5845">
              <w:rPr>
                <w:i/>
              </w:rPr>
              <w:t xml:space="preserve"> (January 2015)</w:t>
            </w:r>
          </w:p>
        </w:tc>
        <w:tc>
          <w:tcPr>
            <w:tcW w:w="3511" w:type="dxa"/>
            <w:tcMar>
              <w:top w:w="57" w:type="dxa"/>
              <w:bottom w:w="57" w:type="dxa"/>
            </w:tcMar>
          </w:tcPr>
          <w:p w:rsidR="008E4C27" w:rsidRPr="002E5845" w:rsidRDefault="008E4C27">
            <w:pPr>
              <w:rPr>
                <w:i/>
              </w:rPr>
            </w:pPr>
            <w:r w:rsidRPr="002E5845">
              <w:rPr>
                <w:i/>
              </w:rPr>
              <w:t xml:space="preserve">Source of </w:t>
            </w:r>
            <w:r w:rsidR="0028722C" w:rsidRPr="002E5845">
              <w:rPr>
                <w:i/>
              </w:rPr>
              <w:t>UIG</w:t>
            </w:r>
            <w:r w:rsidR="00CD1DB8" w:rsidRPr="002E5845">
              <w:rPr>
                <w:i/>
              </w:rPr>
              <w:t xml:space="preserve"> in 2017/18 AUGS</w:t>
            </w:r>
          </w:p>
        </w:tc>
        <w:tc>
          <w:tcPr>
            <w:tcW w:w="2159" w:type="dxa"/>
            <w:tcMar>
              <w:top w:w="57" w:type="dxa"/>
              <w:bottom w:w="57" w:type="dxa"/>
            </w:tcMar>
          </w:tcPr>
          <w:p w:rsidR="008E4C27" w:rsidRPr="002E5845" w:rsidRDefault="0028722C">
            <w:pPr>
              <w:rPr>
                <w:i/>
              </w:rPr>
            </w:pPr>
            <w:r w:rsidRPr="002E5845">
              <w:rPr>
                <w:i/>
              </w:rPr>
              <w:t>Report in PARR</w:t>
            </w:r>
          </w:p>
        </w:tc>
        <w:tc>
          <w:tcPr>
            <w:tcW w:w="2835" w:type="dxa"/>
            <w:tcMar>
              <w:top w:w="57" w:type="dxa"/>
              <w:bottom w:w="57" w:type="dxa"/>
            </w:tcMar>
          </w:tcPr>
          <w:p w:rsidR="008E4C27" w:rsidRPr="002E5845" w:rsidRDefault="0028722C">
            <w:pPr>
              <w:rPr>
                <w:i/>
              </w:rPr>
            </w:pPr>
            <w:r w:rsidRPr="002E5845">
              <w:rPr>
                <w:i/>
              </w:rPr>
              <w:t>UNC obligations</w:t>
            </w:r>
          </w:p>
        </w:tc>
      </w:tr>
      <w:tr w:rsidR="002E5845" w:rsidRPr="002E5845" w:rsidTr="00CD1DB8">
        <w:trPr>
          <w:cantSplit/>
        </w:trPr>
        <w:tc>
          <w:tcPr>
            <w:tcW w:w="2834" w:type="dxa"/>
            <w:tcMar>
              <w:top w:w="57" w:type="dxa"/>
              <w:bottom w:w="57" w:type="dxa"/>
            </w:tcMar>
          </w:tcPr>
          <w:p w:rsidR="008E4C27" w:rsidRPr="002E5845" w:rsidRDefault="0028722C" w:rsidP="008C6CB1">
            <w:r w:rsidRPr="002E5845">
              <w:t>PACR0001 Theft of Gas (Failure to identify consumers and customers who conduct theft of gas.)</w:t>
            </w:r>
          </w:p>
          <w:p w:rsidR="0028722C" w:rsidRPr="002E5845" w:rsidRDefault="0028722C" w:rsidP="008C6CB1"/>
        </w:tc>
        <w:tc>
          <w:tcPr>
            <w:tcW w:w="2835" w:type="dxa"/>
            <w:tcMar>
              <w:top w:w="57" w:type="dxa"/>
              <w:bottom w:w="57" w:type="dxa"/>
            </w:tcMar>
          </w:tcPr>
          <w:p w:rsidR="00F763F0" w:rsidRPr="002E5845" w:rsidRDefault="00F763F0" w:rsidP="00F763F0"/>
          <w:p w:rsidR="008E4C27" w:rsidRPr="002E5845" w:rsidRDefault="00F763F0" w:rsidP="00F763F0">
            <w:r w:rsidRPr="002E5845">
              <w:t>Risk 11</w:t>
            </w:r>
          </w:p>
        </w:tc>
        <w:tc>
          <w:tcPr>
            <w:tcW w:w="3511" w:type="dxa"/>
            <w:tcMar>
              <w:top w:w="57" w:type="dxa"/>
              <w:bottom w:w="57" w:type="dxa"/>
            </w:tcMar>
          </w:tcPr>
          <w:p w:rsidR="008B19EB" w:rsidRPr="002E5845" w:rsidRDefault="00F763F0" w:rsidP="008B19EB">
            <w:r w:rsidRPr="002E5845">
              <w:t>Perm/Temp</w:t>
            </w:r>
            <w:r w:rsidR="008B19EB" w:rsidRPr="002E5845">
              <w:t xml:space="preserve"> </w:t>
            </w:r>
          </w:p>
          <w:p w:rsidR="008E4C27" w:rsidRPr="002E5845" w:rsidRDefault="008B19EB" w:rsidP="008B19EB">
            <w:r w:rsidRPr="002E5845">
              <w:t>AUGE Element 4, 6 (Balancing Factor)</w:t>
            </w:r>
          </w:p>
        </w:tc>
        <w:tc>
          <w:tcPr>
            <w:tcW w:w="2159" w:type="dxa"/>
            <w:tcMar>
              <w:top w:w="57" w:type="dxa"/>
              <w:bottom w:w="57" w:type="dxa"/>
            </w:tcMar>
          </w:tcPr>
          <w:p w:rsidR="008E4C27" w:rsidRPr="002E5845" w:rsidRDefault="002E5845">
            <w:pPr>
              <w:rPr>
                <w:i/>
              </w:rPr>
            </w:pPr>
            <w:r w:rsidRPr="002E5845">
              <w:rPr>
                <w:i/>
              </w:rPr>
              <w:t>None.</w:t>
            </w:r>
          </w:p>
          <w:p w:rsidR="002E5845" w:rsidRPr="002E5845" w:rsidRDefault="002E5845">
            <w:pPr>
              <w:rPr>
                <w:i/>
              </w:rPr>
            </w:pPr>
            <w:r w:rsidRPr="002E5845">
              <w:rPr>
                <w:i/>
              </w:rPr>
              <w:t>Licence obligation, not UNC</w:t>
            </w:r>
          </w:p>
        </w:tc>
        <w:tc>
          <w:tcPr>
            <w:tcW w:w="2835" w:type="dxa"/>
            <w:tcMar>
              <w:top w:w="57" w:type="dxa"/>
              <w:bottom w:w="57" w:type="dxa"/>
            </w:tcMar>
          </w:tcPr>
          <w:p w:rsidR="008E4C27" w:rsidRPr="002E5845" w:rsidRDefault="007A1ED2">
            <w:r w:rsidRPr="002E5845">
              <w:t>Obligation</w:t>
            </w:r>
            <w:r w:rsidR="00554385" w:rsidRPr="002E5845">
              <w:t xml:space="preserve"> in SPAA</w:t>
            </w:r>
          </w:p>
        </w:tc>
      </w:tr>
      <w:tr w:rsidR="002E5845" w:rsidRPr="002E5845" w:rsidTr="00CD1DB8">
        <w:trPr>
          <w:cantSplit/>
        </w:trPr>
        <w:tc>
          <w:tcPr>
            <w:tcW w:w="2834" w:type="dxa"/>
            <w:tcMar>
              <w:top w:w="57" w:type="dxa"/>
              <w:bottom w:w="57" w:type="dxa"/>
            </w:tcMar>
          </w:tcPr>
          <w:p w:rsidR="008E4C27" w:rsidRPr="002E5845" w:rsidRDefault="0028722C" w:rsidP="008C6CB1">
            <w:r w:rsidRPr="002E5845">
              <w:t>PACR0002 Use of the AQ Correction Process</w:t>
            </w:r>
          </w:p>
        </w:tc>
        <w:tc>
          <w:tcPr>
            <w:tcW w:w="2835" w:type="dxa"/>
            <w:tcMar>
              <w:top w:w="57" w:type="dxa"/>
              <w:bottom w:w="57" w:type="dxa"/>
            </w:tcMar>
          </w:tcPr>
          <w:p w:rsidR="008E4C27" w:rsidRPr="002E5845" w:rsidRDefault="00F763F0" w:rsidP="00F763F0">
            <w:r w:rsidRPr="002E5845">
              <w:t>Risk 12</w:t>
            </w:r>
          </w:p>
        </w:tc>
        <w:tc>
          <w:tcPr>
            <w:tcW w:w="3511" w:type="dxa"/>
            <w:tcMar>
              <w:top w:w="57" w:type="dxa"/>
              <w:bottom w:w="57" w:type="dxa"/>
            </w:tcMar>
          </w:tcPr>
          <w:p w:rsidR="008E4C27" w:rsidRPr="002E5845" w:rsidRDefault="00F763F0" w:rsidP="00F763F0">
            <w:r w:rsidRPr="002E5845">
              <w:t xml:space="preserve">Temp (until Reconciliation) </w:t>
            </w:r>
          </w:p>
        </w:tc>
        <w:tc>
          <w:tcPr>
            <w:tcW w:w="2159" w:type="dxa"/>
            <w:tcMar>
              <w:top w:w="57" w:type="dxa"/>
              <w:bottom w:w="57" w:type="dxa"/>
            </w:tcMar>
          </w:tcPr>
          <w:p w:rsidR="008E4C27" w:rsidRPr="002E5845" w:rsidRDefault="008C6CB1">
            <w:r w:rsidRPr="002E5845">
              <w:t>2A.8</w:t>
            </w:r>
          </w:p>
        </w:tc>
        <w:tc>
          <w:tcPr>
            <w:tcW w:w="2835" w:type="dxa"/>
            <w:tcMar>
              <w:top w:w="57" w:type="dxa"/>
              <w:bottom w:w="57" w:type="dxa"/>
            </w:tcMar>
          </w:tcPr>
          <w:p w:rsidR="008E4C27" w:rsidRPr="002E5845" w:rsidRDefault="00941006" w:rsidP="00345DA5">
            <w:r w:rsidRPr="002E5845">
              <w:t xml:space="preserve">Registered User may request a change in AQ of Supply Meter Point if the most recent AQ does not reflect the expected consumption (Section </w:t>
            </w:r>
            <w:r w:rsidR="00345DA5" w:rsidRPr="002E5845">
              <w:t>G</w:t>
            </w:r>
            <w:r w:rsidRPr="002E5845">
              <w:t xml:space="preserve">1.6.20). The </w:t>
            </w:r>
            <w:r w:rsidR="00345DA5" w:rsidRPr="002E5845">
              <w:t xml:space="preserve">3 possible </w:t>
            </w:r>
            <w:r w:rsidRPr="002E5845">
              <w:t>“eligible cause</w:t>
            </w:r>
            <w:r w:rsidR="00345DA5" w:rsidRPr="002E5845">
              <w:t>s</w:t>
            </w:r>
            <w:r w:rsidRPr="002E5845">
              <w:t xml:space="preserve">” for the request of a change in AQ are listed in Section </w:t>
            </w:r>
            <w:r w:rsidR="00345DA5" w:rsidRPr="002E5845">
              <w:t>G</w:t>
            </w:r>
            <w:r w:rsidRPr="002E5845">
              <w:t>1.6.21</w:t>
            </w:r>
          </w:p>
        </w:tc>
      </w:tr>
      <w:tr w:rsidR="002E5845" w:rsidRPr="002E5845" w:rsidTr="00CD1DB8">
        <w:trPr>
          <w:cantSplit/>
        </w:trPr>
        <w:tc>
          <w:tcPr>
            <w:tcW w:w="2834" w:type="dxa"/>
            <w:tcMar>
              <w:top w:w="57" w:type="dxa"/>
              <w:bottom w:w="57" w:type="dxa"/>
            </w:tcMar>
          </w:tcPr>
          <w:p w:rsidR="008E4C27" w:rsidRPr="002E5845" w:rsidRDefault="0028722C" w:rsidP="008C6CB1">
            <w:r w:rsidRPr="002E5845">
              <w:t>PACR0003 Estimated reads used for daily metered sites (Product Classes 1 and 2)</w:t>
            </w:r>
          </w:p>
        </w:tc>
        <w:tc>
          <w:tcPr>
            <w:tcW w:w="2835" w:type="dxa"/>
            <w:tcMar>
              <w:top w:w="57" w:type="dxa"/>
              <w:bottom w:w="57" w:type="dxa"/>
            </w:tcMar>
          </w:tcPr>
          <w:p w:rsidR="008E4C27" w:rsidRPr="002E5845" w:rsidRDefault="00F763F0" w:rsidP="00F763F0">
            <w:r w:rsidRPr="002E5845">
              <w:t>Risk 5</w:t>
            </w:r>
          </w:p>
        </w:tc>
        <w:tc>
          <w:tcPr>
            <w:tcW w:w="3511" w:type="dxa"/>
            <w:tcMar>
              <w:top w:w="57" w:type="dxa"/>
              <w:bottom w:w="57" w:type="dxa"/>
            </w:tcMar>
          </w:tcPr>
          <w:p w:rsidR="008E4C27" w:rsidRPr="002E5845" w:rsidRDefault="00F763F0">
            <w:r w:rsidRPr="002E5845">
              <w:t>Temp (until Reconciliation)</w:t>
            </w:r>
          </w:p>
        </w:tc>
        <w:tc>
          <w:tcPr>
            <w:tcW w:w="2159" w:type="dxa"/>
            <w:tcMar>
              <w:top w:w="57" w:type="dxa"/>
              <w:bottom w:w="57" w:type="dxa"/>
            </w:tcMar>
          </w:tcPr>
          <w:p w:rsidR="008E4C27" w:rsidRPr="002E5845" w:rsidRDefault="008C6CB1">
            <w:r w:rsidRPr="002E5845">
              <w:t>2A.1</w:t>
            </w:r>
          </w:p>
        </w:tc>
        <w:tc>
          <w:tcPr>
            <w:tcW w:w="2835" w:type="dxa"/>
            <w:tcMar>
              <w:top w:w="57" w:type="dxa"/>
              <w:bottom w:w="57" w:type="dxa"/>
            </w:tcMar>
          </w:tcPr>
          <w:p w:rsidR="008E4C27" w:rsidRPr="002E5845" w:rsidRDefault="00D80DC5" w:rsidP="00752E84">
            <w:r w:rsidRPr="002E5845">
              <w:t xml:space="preserve">UNC requirement for an estimated Metered Volume in relation to a Class 1 or 2 Supply Meter (Section </w:t>
            </w:r>
            <w:r w:rsidR="003B0D1D" w:rsidRPr="002E5845">
              <w:t xml:space="preserve">M5.4). </w:t>
            </w:r>
            <w:r w:rsidR="00752E84" w:rsidRPr="002E5845">
              <w:t>Estimated Meter Reading shall be used if a Valid Daily Meter Reading is not obtained by the time required</w:t>
            </w:r>
            <w:r w:rsidR="003657B0" w:rsidRPr="002E5845">
              <w:t>. Obligation to provide</w:t>
            </w:r>
            <w:r w:rsidR="00D048F7" w:rsidRPr="002E5845">
              <w:t xml:space="preserve"> reads for</w:t>
            </w:r>
            <w:r w:rsidR="003657B0" w:rsidRPr="002E5845">
              <w:t xml:space="preserve"> 100% of </w:t>
            </w:r>
            <w:r w:rsidR="00D048F7" w:rsidRPr="002E5845">
              <w:t xml:space="preserve">Class 1 </w:t>
            </w:r>
            <w:r w:rsidR="003657B0" w:rsidRPr="002E5845">
              <w:t>“</w:t>
            </w:r>
            <w:r w:rsidR="00D048F7" w:rsidRPr="002E5845">
              <w:t>Performance</w:t>
            </w:r>
            <w:r w:rsidR="003657B0" w:rsidRPr="002E5845">
              <w:t xml:space="preserve"> Relevant Sup</w:t>
            </w:r>
            <w:r w:rsidR="00D048F7" w:rsidRPr="002E5845">
              <w:t>p</w:t>
            </w:r>
            <w:r w:rsidR="003657B0" w:rsidRPr="002E5845">
              <w:t>ly Meters” and 97.5% of all required Class 2 reads each day</w:t>
            </w:r>
            <w:r w:rsidR="00752E84" w:rsidRPr="002E5845">
              <w:t xml:space="preserve"> (Section M5.6 – 5.6.2, 5.6.3. for Class 1, M5.7 </w:t>
            </w:r>
            <w:r w:rsidR="00A17AA3" w:rsidRPr="002E5845">
              <w:t>–</w:t>
            </w:r>
            <w:r w:rsidR="00752E84" w:rsidRPr="002E5845">
              <w:t xml:space="preserve"> </w:t>
            </w:r>
            <w:r w:rsidR="00A17AA3" w:rsidRPr="002E5845">
              <w:t>5.7.2, 5.7.3 for Class 2</w:t>
            </w:r>
            <w:r w:rsidR="003657B0" w:rsidRPr="002E5845">
              <w:t>, M7 – Transporter Read Obligations &amp; Liabilities)</w:t>
            </w:r>
          </w:p>
        </w:tc>
      </w:tr>
      <w:tr w:rsidR="002E5845" w:rsidRPr="002E5845" w:rsidTr="00CD1DB8">
        <w:trPr>
          <w:cantSplit/>
        </w:trPr>
        <w:tc>
          <w:tcPr>
            <w:tcW w:w="2834" w:type="dxa"/>
            <w:tcMar>
              <w:top w:w="57" w:type="dxa"/>
              <w:bottom w:w="57" w:type="dxa"/>
            </w:tcMar>
          </w:tcPr>
          <w:p w:rsidR="008E4C27" w:rsidRPr="002E5845" w:rsidRDefault="0028722C" w:rsidP="008C6CB1">
            <w:r w:rsidRPr="002E5845">
              <w:t>PACR0004 LDZ Offtake Measurement Errors</w:t>
            </w:r>
          </w:p>
        </w:tc>
        <w:tc>
          <w:tcPr>
            <w:tcW w:w="2835" w:type="dxa"/>
            <w:tcMar>
              <w:top w:w="57" w:type="dxa"/>
              <w:bottom w:w="57" w:type="dxa"/>
            </w:tcMar>
          </w:tcPr>
          <w:p w:rsidR="008E4C27" w:rsidRPr="002E5845" w:rsidRDefault="00F763F0" w:rsidP="00F763F0">
            <w:r w:rsidRPr="002E5845">
              <w:t>Risk 1</w:t>
            </w:r>
          </w:p>
        </w:tc>
        <w:tc>
          <w:tcPr>
            <w:tcW w:w="3511" w:type="dxa"/>
            <w:tcMar>
              <w:top w:w="57" w:type="dxa"/>
              <w:bottom w:w="57" w:type="dxa"/>
            </w:tcMar>
          </w:tcPr>
          <w:p w:rsidR="008E4C27" w:rsidRPr="002E5845" w:rsidRDefault="00F763F0">
            <w:r w:rsidRPr="002E5845">
              <w:t>Temp (until Reconciliation)</w:t>
            </w:r>
          </w:p>
        </w:tc>
        <w:tc>
          <w:tcPr>
            <w:tcW w:w="2159" w:type="dxa"/>
            <w:tcMar>
              <w:top w:w="57" w:type="dxa"/>
              <w:bottom w:w="57" w:type="dxa"/>
            </w:tcMar>
          </w:tcPr>
          <w:p w:rsidR="008E4C27" w:rsidRPr="002E5845" w:rsidRDefault="002E5845">
            <w:pPr>
              <w:rPr>
                <w:i/>
              </w:rPr>
            </w:pPr>
            <w:r w:rsidRPr="002E5845">
              <w:rPr>
                <w:i/>
              </w:rPr>
              <w:t xml:space="preserve">DN Operator obligation, covered by </w:t>
            </w:r>
            <w:r w:rsidRPr="002E5845">
              <w:rPr>
                <w:i/>
              </w:rPr>
              <w:t>Measurement Error Notification Guidelines</w:t>
            </w:r>
          </w:p>
        </w:tc>
        <w:tc>
          <w:tcPr>
            <w:tcW w:w="2835" w:type="dxa"/>
            <w:tcMar>
              <w:top w:w="57" w:type="dxa"/>
              <w:bottom w:w="57" w:type="dxa"/>
            </w:tcMar>
          </w:tcPr>
          <w:p w:rsidR="008E4C27" w:rsidRPr="002E5845" w:rsidRDefault="00D450EE">
            <w:r w:rsidRPr="002E5845">
              <w:t>The Measurement Error Notification Guidelines for NTS to LDZ and LDZ to LDZ Measurement Installations is defined within the Offtake Arrangements Document and as specified in Section V12.1 (d) of the Transportation Principle Document (TPD)</w:t>
            </w:r>
          </w:p>
        </w:tc>
      </w:tr>
      <w:tr w:rsidR="002E5845" w:rsidRPr="002E5845" w:rsidTr="00CD1DB8">
        <w:trPr>
          <w:cantSplit/>
        </w:trPr>
        <w:tc>
          <w:tcPr>
            <w:tcW w:w="2834" w:type="dxa"/>
            <w:tcMar>
              <w:top w:w="57" w:type="dxa"/>
              <w:bottom w:w="57" w:type="dxa"/>
            </w:tcMar>
          </w:tcPr>
          <w:p w:rsidR="008E4C27" w:rsidRPr="002E5845" w:rsidRDefault="0028722C" w:rsidP="008C6CB1">
            <w:r w:rsidRPr="002E5845">
              <w:t>PACR0005 Incorrect asset data on the Supply Point Register</w:t>
            </w:r>
          </w:p>
        </w:tc>
        <w:tc>
          <w:tcPr>
            <w:tcW w:w="2835" w:type="dxa"/>
            <w:tcMar>
              <w:top w:w="57" w:type="dxa"/>
              <w:bottom w:w="57" w:type="dxa"/>
            </w:tcMar>
          </w:tcPr>
          <w:p w:rsidR="008E4C27" w:rsidRPr="002E5845" w:rsidRDefault="00F763F0" w:rsidP="00F763F0">
            <w:r w:rsidRPr="002E5845">
              <w:t>Risk 7</w:t>
            </w:r>
          </w:p>
        </w:tc>
        <w:tc>
          <w:tcPr>
            <w:tcW w:w="3511" w:type="dxa"/>
            <w:tcMar>
              <w:top w:w="57" w:type="dxa"/>
              <w:bottom w:w="57" w:type="dxa"/>
            </w:tcMar>
          </w:tcPr>
          <w:p w:rsidR="008E4C27" w:rsidRPr="002E5845" w:rsidRDefault="00F763F0">
            <w:r w:rsidRPr="002E5845">
              <w:t>Perm/Temp</w:t>
            </w:r>
            <w:r w:rsidR="00CF13DA" w:rsidRPr="002E5845">
              <w:t xml:space="preserve"> (if identified and corrected)</w:t>
            </w:r>
          </w:p>
        </w:tc>
        <w:tc>
          <w:tcPr>
            <w:tcW w:w="2159" w:type="dxa"/>
            <w:tcMar>
              <w:top w:w="57" w:type="dxa"/>
              <w:bottom w:w="57" w:type="dxa"/>
            </w:tcMar>
          </w:tcPr>
          <w:p w:rsidR="008E4C27" w:rsidRPr="002E5845" w:rsidRDefault="008C6CB1">
            <w:r w:rsidRPr="002E5845">
              <w:t>2A.2 and 2A.3 (No Meter recorded)</w:t>
            </w:r>
          </w:p>
          <w:p w:rsidR="008C6CB1" w:rsidRPr="002E5845" w:rsidRDefault="008C6CB1">
            <w:r w:rsidRPr="002E5845">
              <w:t>2A.9 Standard Correction Factors</w:t>
            </w:r>
          </w:p>
        </w:tc>
        <w:tc>
          <w:tcPr>
            <w:tcW w:w="2835" w:type="dxa"/>
            <w:tcMar>
              <w:top w:w="57" w:type="dxa"/>
              <w:bottom w:w="57" w:type="dxa"/>
            </w:tcMar>
          </w:tcPr>
          <w:p w:rsidR="008E4C27" w:rsidRPr="002E5845" w:rsidRDefault="006B3FD9">
            <w:r w:rsidRPr="002E5845">
              <w:t xml:space="preserve">UNC requirement to fit a meter at every supply point (M2.1.1) and obligation to provide timely updates to central systems. </w:t>
            </w:r>
          </w:p>
          <w:p w:rsidR="006B3FD9" w:rsidRPr="002E5845" w:rsidRDefault="006B3FD9">
            <w:r w:rsidRPr="002E5845">
              <w:t>Thermal Energy Regulations requirement to have a site specific conversion factor at all sites with an AQ &gt; 732,000 kWh</w:t>
            </w:r>
          </w:p>
        </w:tc>
      </w:tr>
      <w:tr w:rsidR="002E5845" w:rsidRPr="002E5845" w:rsidTr="00CD1DB8">
        <w:trPr>
          <w:cantSplit/>
        </w:trPr>
        <w:tc>
          <w:tcPr>
            <w:tcW w:w="2834" w:type="dxa"/>
            <w:tcMar>
              <w:top w:w="57" w:type="dxa"/>
              <w:bottom w:w="57" w:type="dxa"/>
            </w:tcMar>
          </w:tcPr>
          <w:p w:rsidR="00CF13DA" w:rsidRPr="002E5845" w:rsidRDefault="00CF13DA" w:rsidP="008C6CB1">
            <w:r w:rsidRPr="002E5845">
              <w:t>PACR0006 Use of Winter Annual Ratio (WAR) for End User Category (EUC) 03-08 (Lack of meter read history means the WAR has not been populated or an inappropriate standard profile has been applied.)</w:t>
            </w:r>
          </w:p>
        </w:tc>
        <w:tc>
          <w:tcPr>
            <w:tcW w:w="2835" w:type="dxa"/>
            <w:tcMar>
              <w:top w:w="57" w:type="dxa"/>
              <w:bottom w:w="57" w:type="dxa"/>
            </w:tcMar>
          </w:tcPr>
          <w:p w:rsidR="00CF13DA" w:rsidRPr="002E5845" w:rsidRDefault="00CF13DA" w:rsidP="00F763F0">
            <w:r w:rsidRPr="002E5845">
              <w:t>Risk 13</w:t>
            </w:r>
          </w:p>
        </w:tc>
        <w:tc>
          <w:tcPr>
            <w:tcW w:w="3511" w:type="dxa"/>
            <w:tcMar>
              <w:top w:w="57" w:type="dxa"/>
              <w:bottom w:w="57" w:type="dxa"/>
            </w:tcMar>
          </w:tcPr>
          <w:p w:rsidR="00CF13DA" w:rsidRPr="002E5845" w:rsidRDefault="00CF13DA" w:rsidP="00AA6CD7">
            <w:r w:rsidRPr="002E5845">
              <w:t>Temp (</w:t>
            </w:r>
            <w:r w:rsidR="00D048F7" w:rsidRPr="002E5845">
              <w:t>until Reconciliation</w:t>
            </w:r>
            <w:r w:rsidRPr="002E5845">
              <w:t>)</w:t>
            </w:r>
          </w:p>
        </w:tc>
        <w:tc>
          <w:tcPr>
            <w:tcW w:w="2159" w:type="dxa"/>
            <w:tcMar>
              <w:top w:w="57" w:type="dxa"/>
              <w:bottom w:w="57" w:type="dxa"/>
            </w:tcMar>
          </w:tcPr>
          <w:p w:rsidR="00CF13DA" w:rsidRDefault="002E5845">
            <w:pPr>
              <w:rPr>
                <w:i/>
              </w:rPr>
            </w:pPr>
            <w:r w:rsidRPr="002E5845">
              <w:rPr>
                <w:i/>
              </w:rPr>
              <w:t>None</w:t>
            </w:r>
          </w:p>
          <w:p w:rsidR="002E5845" w:rsidRPr="002E5845" w:rsidRDefault="002E5845">
            <w:pPr>
              <w:rPr>
                <w:i/>
              </w:rPr>
            </w:pPr>
            <w:r>
              <w:rPr>
                <w:i/>
              </w:rPr>
              <w:t xml:space="preserve">[Compliance with read submission requirements should ensure that a WAR can be calculated for all sites: Report </w:t>
            </w:r>
            <w:r w:rsidRPr="002E5845">
              <w:rPr>
                <w:i/>
              </w:rPr>
              <w:t>2A.5</w:t>
            </w:r>
            <w:r w:rsidRPr="002E5845">
              <w:rPr>
                <w:i/>
              </w:rPr>
              <w:t>]</w:t>
            </w:r>
          </w:p>
        </w:tc>
        <w:tc>
          <w:tcPr>
            <w:tcW w:w="2835" w:type="dxa"/>
            <w:tcMar>
              <w:top w:w="57" w:type="dxa"/>
              <w:bottom w:w="57" w:type="dxa"/>
            </w:tcMar>
          </w:tcPr>
          <w:p w:rsidR="001B636B" w:rsidRPr="002E5845" w:rsidRDefault="00CD1DB8" w:rsidP="001B636B">
            <w:r w:rsidRPr="002E5845">
              <w:t xml:space="preserve">WAR Bands not prescribed in UNC, however Winter Annual Ratio </w:t>
            </w:r>
            <w:r w:rsidR="001B636B" w:rsidRPr="002E5845">
              <w:t>EUCs only apply to AQ &gt; 293,000 kWh, which have a monthly read requirement (M5.9.1)</w:t>
            </w:r>
          </w:p>
          <w:p w:rsidR="001B636B" w:rsidRPr="002E5845" w:rsidRDefault="001B636B" w:rsidP="001B636B">
            <w:pPr>
              <w:rPr>
                <w:i/>
              </w:rPr>
            </w:pPr>
            <w:r w:rsidRPr="002E5845">
              <w:rPr>
                <w:i/>
              </w:rPr>
              <w:t>[See PACR0011 for details of monthly read obligations]</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PACR0007 Undetected LDZ Offtake Measurement Errors</w:t>
            </w:r>
          </w:p>
        </w:tc>
        <w:tc>
          <w:tcPr>
            <w:tcW w:w="2835" w:type="dxa"/>
            <w:tcMar>
              <w:top w:w="57" w:type="dxa"/>
              <w:bottom w:w="57" w:type="dxa"/>
            </w:tcMar>
          </w:tcPr>
          <w:p w:rsidR="00D048F7" w:rsidRPr="002E5845" w:rsidRDefault="00D048F7" w:rsidP="00F763F0">
            <w:r w:rsidRPr="002E5845">
              <w:t>Risk 2</w:t>
            </w:r>
          </w:p>
        </w:tc>
        <w:tc>
          <w:tcPr>
            <w:tcW w:w="3511" w:type="dxa"/>
            <w:tcMar>
              <w:top w:w="57" w:type="dxa"/>
              <w:bottom w:w="57" w:type="dxa"/>
            </w:tcMar>
          </w:tcPr>
          <w:p w:rsidR="00D048F7" w:rsidRPr="002E5845" w:rsidRDefault="00D048F7">
            <w:r w:rsidRPr="002E5845">
              <w:t>Perm</w:t>
            </w:r>
          </w:p>
        </w:tc>
        <w:tc>
          <w:tcPr>
            <w:tcW w:w="2159" w:type="dxa"/>
            <w:tcMar>
              <w:top w:w="57" w:type="dxa"/>
              <w:bottom w:w="57" w:type="dxa"/>
            </w:tcMar>
          </w:tcPr>
          <w:p w:rsidR="002E5845" w:rsidRDefault="002E5845">
            <w:pPr>
              <w:rPr>
                <w:i/>
              </w:rPr>
            </w:pPr>
            <w:r>
              <w:rPr>
                <w:i/>
              </w:rPr>
              <w:t>None</w:t>
            </w:r>
          </w:p>
          <w:p w:rsidR="00D048F7" w:rsidRPr="002E5845" w:rsidRDefault="001B636B">
            <w:pPr>
              <w:rPr>
                <w:i/>
              </w:rPr>
            </w:pPr>
            <w:r w:rsidRPr="002E5845">
              <w:rPr>
                <w:i/>
              </w:rPr>
              <w:t>[Undetected errors by definition would be difficult to quantify]</w:t>
            </w:r>
          </w:p>
        </w:tc>
        <w:tc>
          <w:tcPr>
            <w:tcW w:w="2835" w:type="dxa"/>
            <w:tcMar>
              <w:top w:w="57" w:type="dxa"/>
              <w:bottom w:w="57" w:type="dxa"/>
            </w:tcMar>
          </w:tcPr>
          <w:p w:rsidR="00D048F7" w:rsidRPr="002E5845" w:rsidRDefault="00D048F7" w:rsidP="001B636B">
            <w:r w:rsidRPr="002E5845">
              <w:t>UNC OAD C3.2 requires a Routine Validation of all offtake measurement equipment at least once every 12 months.</w:t>
            </w:r>
            <w:r w:rsidR="001B636B" w:rsidRPr="002E5845">
              <w:t xml:space="preserve">  </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PACR0008 Unregistered Sites</w:t>
            </w:r>
          </w:p>
        </w:tc>
        <w:tc>
          <w:tcPr>
            <w:tcW w:w="2835" w:type="dxa"/>
            <w:tcMar>
              <w:top w:w="57" w:type="dxa"/>
              <w:bottom w:w="57" w:type="dxa"/>
            </w:tcMar>
          </w:tcPr>
          <w:p w:rsidR="00D048F7" w:rsidRPr="002E5845" w:rsidRDefault="00D048F7" w:rsidP="00F763F0">
            <w:r w:rsidRPr="002E5845">
              <w:t>Risk 15</w:t>
            </w:r>
          </w:p>
        </w:tc>
        <w:tc>
          <w:tcPr>
            <w:tcW w:w="3511" w:type="dxa"/>
            <w:tcMar>
              <w:top w:w="57" w:type="dxa"/>
              <w:bottom w:w="57" w:type="dxa"/>
            </w:tcMar>
          </w:tcPr>
          <w:p w:rsidR="00D048F7" w:rsidRPr="002E5845" w:rsidRDefault="00D048F7">
            <w:r w:rsidRPr="002E5845">
              <w:t xml:space="preserve">Temp (if identified and corrected) </w:t>
            </w:r>
          </w:p>
          <w:p w:rsidR="00D048F7" w:rsidRPr="002E5845" w:rsidRDefault="00D048F7">
            <w:r w:rsidRPr="002E5845">
              <w:t xml:space="preserve">AUGE Element 1, 2 (for </w:t>
            </w:r>
            <w:proofErr w:type="spellStart"/>
            <w:r w:rsidRPr="002E5845">
              <w:t>iGT</w:t>
            </w:r>
            <w:proofErr w:type="spellEnd"/>
            <w:r w:rsidRPr="002E5845">
              <w:t xml:space="preserve"> sites)</w:t>
            </w:r>
          </w:p>
        </w:tc>
        <w:tc>
          <w:tcPr>
            <w:tcW w:w="2159" w:type="dxa"/>
            <w:tcMar>
              <w:top w:w="57" w:type="dxa"/>
              <w:bottom w:w="57" w:type="dxa"/>
            </w:tcMar>
          </w:tcPr>
          <w:p w:rsidR="00D048F7" w:rsidRPr="002E5845" w:rsidRDefault="002E5845" w:rsidP="002E5845">
            <w:pPr>
              <w:rPr>
                <w:i/>
              </w:rPr>
            </w:pPr>
            <w:r w:rsidRPr="002E5845">
              <w:rPr>
                <w:i/>
              </w:rPr>
              <w:t>Investigation and resolution covered by the Unconfirmed Sites Workgroup?</w:t>
            </w:r>
          </w:p>
        </w:tc>
        <w:tc>
          <w:tcPr>
            <w:tcW w:w="2835" w:type="dxa"/>
            <w:tcMar>
              <w:top w:w="57" w:type="dxa"/>
              <w:bottom w:w="57" w:type="dxa"/>
            </w:tcMar>
          </w:tcPr>
          <w:p w:rsidR="00000CAD" w:rsidRPr="002E5845" w:rsidRDefault="00000CAD" w:rsidP="00000CAD">
            <w:r w:rsidRPr="002E5845">
              <w:t>Obligation to register a SMP prior to installation of equipment:  G2.11.1</w:t>
            </w:r>
          </w:p>
          <w:p w:rsidR="00D048F7" w:rsidRPr="002E5845" w:rsidRDefault="00D048F7"/>
        </w:tc>
      </w:tr>
      <w:tr w:rsidR="002E5845" w:rsidRPr="002E5845" w:rsidTr="00CD1DB8">
        <w:trPr>
          <w:cantSplit/>
        </w:trPr>
        <w:tc>
          <w:tcPr>
            <w:tcW w:w="2834" w:type="dxa"/>
            <w:tcMar>
              <w:top w:w="57" w:type="dxa"/>
              <w:bottom w:w="57" w:type="dxa"/>
            </w:tcMar>
          </w:tcPr>
          <w:p w:rsidR="00D048F7" w:rsidRPr="002E5845" w:rsidRDefault="00D048F7" w:rsidP="008C6CB1">
            <w:r w:rsidRPr="002E5845">
              <w:t xml:space="preserve">PACR0009 </w:t>
            </w:r>
            <w:proofErr w:type="spellStart"/>
            <w:r w:rsidRPr="002E5845">
              <w:t>Shipperless</w:t>
            </w:r>
            <w:proofErr w:type="spellEnd"/>
            <w:r w:rsidRPr="002E5845">
              <w:t xml:space="preserve"> Sites</w:t>
            </w:r>
          </w:p>
        </w:tc>
        <w:tc>
          <w:tcPr>
            <w:tcW w:w="2835" w:type="dxa"/>
            <w:tcMar>
              <w:top w:w="57" w:type="dxa"/>
              <w:bottom w:w="57" w:type="dxa"/>
            </w:tcMar>
          </w:tcPr>
          <w:p w:rsidR="00D048F7" w:rsidRPr="002E5845" w:rsidRDefault="00D048F7" w:rsidP="00F763F0">
            <w:r w:rsidRPr="002E5845">
              <w:t>Risk 10</w:t>
            </w:r>
          </w:p>
        </w:tc>
        <w:tc>
          <w:tcPr>
            <w:tcW w:w="3511" w:type="dxa"/>
            <w:tcMar>
              <w:top w:w="57" w:type="dxa"/>
              <w:bottom w:w="57" w:type="dxa"/>
            </w:tcMar>
          </w:tcPr>
          <w:p w:rsidR="00D048F7" w:rsidRPr="002E5845" w:rsidRDefault="00D048F7" w:rsidP="008B19EB">
            <w:r w:rsidRPr="002E5845">
              <w:t xml:space="preserve">Temp (if identified and corrected) </w:t>
            </w:r>
          </w:p>
          <w:p w:rsidR="00D048F7" w:rsidRPr="002E5845" w:rsidRDefault="00D048F7" w:rsidP="008B19EB">
            <w:r w:rsidRPr="002E5845">
              <w:t>AUGE Element 1</w:t>
            </w:r>
          </w:p>
        </w:tc>
        <w:tc>
          <w:tcPr>
            <w:tcW w:w="2159" w:type="dxa"/>
            <w:tcMar>
              <w:top w:w="57" w:type="dxa"/>
              <w:bottom w:w="57" w:type="dxa"/>
            </w:tcMar>
          </w:tcPr>
          <w:p w:rsidR="00D048F7" w:rsidRPr="002E5845" w:rsidRDefault="002E5845">
            <w:r w:rsidRPr="002E5845">
              <w:rPr>
                <w:i/>
              </w:rPr>
              <w:t>Investigation and resolution covered by the Unconfirmed Sites Workgroup?</w:t>
            </w:r>
          </w:p>
        </w:tc>
        <w:tc>
          <w:tcPr>
            <w:tcW w:w="2835" w:type="dxa"/>
            <w:tcMar>
              <w:top w:w="57" w:type="dxa"/>
              <w:bottom w:w="57" w:type="dxa"/>
            </w:tcMar>
          </w:tcPr>
          <w:p w:rsidR="00D048F7" w:rsidRPr="002E5845" w:rsidRDefault="00000CAD" w:rsidP="00000CAD">
            <w:pPr>
              <w:rPr>
                <w:i/>
              </w:rPr>
            </w:pPr>
            <w:r w:rsidRPr="002E5845">
              <w:t>Rules on Re-establishment of meters specify treatment of “</w:t>
            </w:r>
            <w:proofErr w:type="spellStart"/>
            <w:r w:rsidR="00D048F7" w:rsidRPr="002E5845">
              <w:t>Shipperless</w:t>
            </w:r>
            <w:proofErr w:type="spellEnd"/>
            <w:r w:rsidR="00D048F7" w:rsidRPr="002E5845">
              <w:t xml:space="preserve"> Sites</w:t>
            </w:r>
            <w:r w:rsidRPr="002E5845">
              <w:t>” and back-billing arrangements: G3.7.</w:t>
            </w:r>
            <w:r w:rsidR="00D048F7" w:rsidRPr="002E5845">
              <w:t xml:space="preserve"> </w:t>
            </w:r>
            <w:r w:rsidRPr="002E5845">
              <w:t xml:space="preserve">  </w:t>
            </w:r>
            <w:r w:rsidR="00683068" w:rsidRPr="002E5845">
              <w:t>(</w:t>
            </w:r>
            <w:r w:rsidRPr="002E5845">
              <w:t>G3.5.5: User submitting an Isolation request is assumed to have taken reasonable steps to cease the flow of gas at the meter.</w:t>
            </w:r>
            <w:r w:rsidR="00683068" w:rsidRPr="002E5845">
              <w:t>)</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PACR0010 Meter readings fail validation</w:t>
            </w:r>
          </w:p>
        </w:tc>
        <w:tc>
          <w:tcPr>
            <w:tcW w:w="2835" w:type="dxa"/>
            <w:tcMar>
              <w:top w:w="57" w:type="dxa"/>
              <w:bottom w:w="57" w:type="dxa"/>
            </w:tcMar>
          </w:tcPr>
          <w:p w:rsidR="00D048F7" w:rsidRPr="002E5845" w:rsidRDefault="00D048F7" w:rsidP="00F763F0">
            <w:r w:rsidRPr="002E5845">
              <w:t>Risk 3</w:t>
            </w:r>
          </w:p>
        </w:tc>
        <w:tc>
          <w:tcPr>
            <w:tcW w:w="3511" w:type="dxa"/>
            <w:tcMar>
              <w:top w:w="57" w:type="dxa"/>
              <w:bottom w:w="57" w:type="dxa"/>
            </w:tcMar>
          </w:tcPr>
          <w:p w:rsidR="00D048F7" w:rsidRPr="002E5845" w:rsidRDefault="00D048F7" w:rsidP="00AA6CD7">
            <w:r w:rsidRPr="002E5845">
              <w:t>Temp (until Reconciliation)</w:t>
            </w:r>
          </w:p>
        </w:tc>
        <w:tc>
          <w:tcPr>
            <w:tcW w:w="2159" w:type="dxa"/>
            <w:tcMar>
              <w:top w:w="57" w:type="dxa"/>
              <w:bottom w:w="57" w:type="dxa"/>
            </w:tcMar>
          </w:tcPr>
          <w:p w:rsidR="00D048F7" w:rsidRPr="002E5845" w:rsidRDefault="00D048F7">
            <w:r w:rsidRPr="002E5845">
              <w:t>2A.6</w:t>
            </w:r>
          </w:p>
        </w:tc>
        <w:tc>
          <w:tcPr>
            <w:tcW w:w="2835" w:type="dxa"/>
            <w:tcMar>
              <w:top w:w="57" w:type="dxa"/>
              <w:bottom w:w="57" w:type="dxa"/>
            </w:tcMar>
          </w:tcPr>
          <w:p w:rsidR="00D048F7" w:rsidRPr="002E5845" w:rsidRDefault="00D048F7">
            <w:r w:rsidRPr="002E5845">
              <w:t xml:space="preserve">The Validity of Meter Readings is set out in Section M5.2. Meter Readings are required to be subjected to validation (Section M 5.3). </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PACR0011 Shippers failing to provide timely check reads and providing late reads.</w:t>
            </w:r>
          </w:p>
        </w:tc>
        <w:tc>
          <w:tcPr>
            <w:tcW w:w="2835" w:type="dxa"/>
            <w:tcMar>
              <w:top w:w="57" w:type="dxa"/>
              <w:bottom w:w="57" w:type="dxa"/>
            </w:tcMar>
          </w:tcPr>
          <w:p w:rsidR="00D048F7" w:rsidRPr="002E5845" w:rsidRDefault="00D048F7" w:rsidP="00F763F0">
            <w:r w:rsidRPr="002E5845">
              <w:t>Risk 9</w:t>
            </w:r>
          </w:p>
        </w:tc>
        <w:tc>
          <w:tcPr>
            <w:tcW w:w="3511" w:type="dxa"/>
            <w:tcMar>
              <w:top w:w="57" w:type="dxa"/>
              <w:bottom w:w="57" w:type="dxa"/>
            </w:tcMar>
          </w:tcPr>
          <w:p w:rsidR="00D048F7" w:rsidRPr="002E5845" w:rsidRDefault="00D048F7" w:rsidP="00AA6CD7">
            <w:r w:rsidRPr="002E5845">
              <w:t>Temp (until Reconciliation)</w:t>
            </w:r>
          </w:p>
        </w:tc>
        <w:tc>
          <w:tcPr>
            <w:tcW w:w="2159" w:type="dxa"/>
            <w:tcMar>
              <w:top w:w="57" w:type="dxa"/>
              <w:bottom w:w="57" w:type="dxa"/>
            </w:tcMar>
          </w:tcPr>
          <w:p w:rsidR="00D048F7" w:rsidRPr="002E5845" w:rsidRDefault="002E5845">
            <w:r w:rsidRPr="002E5845">
              <w:t>2A.5</w:t>
            </w:r>
          </w:p>
        </w:tc>
        <w:tc>
          <w:tcPr>
            <w:tcW w:w="2835" w:type="dxa"/>
            <w:tcMar>
              <w:top w:w="57" w:type="dxa"/>
              <w:bottom w:w="57" w:type="dxa"/>
            </w:tcMar>
          </w:tcPr>
          <w:p w:rsidR="00D048F7" w:rsidRPr="002E5845" w:rsidRDefault="00D048F7" w:rsidP="006C4D8C">
            <w:r w:rsidRPr="002E5845">
              <w:t>Shipper obligation to submit a read for Monthly Read Meters at least every 4 months</w:t>
            </w:r>
            <w:r w:rsidR="006C4D8C" w:rsidRPr="002E5845">
              <w:t xml:space="preserve"> and submit a read for 90% of Monthly Read Meters each month</w:t>
            </w:r>
            <w:r w:rsidRPr="002E5845">
              <w:t xml:space="preserve"> (</w:t>
            </w:r>
            <w:r w:rsidR="006C4D8C" w:rsidRPr="002E5845">
              <w:t>M5.9.7</w:t>
            </w:r>
            <w:r w:rsidRPr="002E5845">
              <w:t>) and</w:t>
            </w:r>
            <w:r w:rsidR="006C4D8C" w:rsidRPr="002E5845">
              <w:t xml:space="preserve"> submit a read for</w:t>
            </w:r>
            <w:r w:rsidRPr="002E5845">
              <w:t xml:space="preserve"> Annual Read Meters at least every 24 months (</w:t>
            </w:r>
            <w:r w:rsidR="006C4D8C" w:rsidRPr="002E5845">
              <w:t>M5.9.9</w:t>
            </w:r>
            <w:r w:rsidRPr="002E5845">
              <w:t>)</w:t>
            </w:r>
            <w:r w:rsidR="006C4D8C" w:rsidRPr="002E5845">
              <w:t>.</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PACR0012 Shippers submitting meter readings infrequently for Class 4</w:t>
            </w:r>
          </w:p>
        </w:tc>
        <w:tc>
          <w:tcPr>
            <w:tcW w:w="2835" w:type="dxa"/>
            <w:tcMar>
              <w:top w:w="57" w:type="dxa"/>
              <w:bottom w:w="57" w:type="dxa"/>
            </w:tcMar>
          </w:tcPr>
          <w:p w:rsidR="00D048F7" w:rsidRPr="002E5845" w:rsidRDefault="00D048F7" w:rsidP="00F763F0">
            <w:r w:rsidRPr="002E5845">
              <w:t>Risk 6</w:t>
            </w:r>
          </w:p>
        </w:tc>
        <w:tc>
          <w:tcPr>
            <w:tcW w:w="3511" w:type="dxa"/>
            <w:tcMar>
              <w:top w:w="57" w:type="dxa"/>
              <w:bottom w:w="57" w:type="dxa"/>
            </w:tcMar>
          </w:tcPr>
          <w:p w:rsidR="00D048F7" w:rsidRPr="002E5845" w:rsidRDefault="00D048F7" w:rsidP="00AA6CD7">
            <w:r w:rsidRPr="002E5845">
              <w:t>Temp (until Reconciliation)</w:t>
            </w:r>
          </w:p>
        </w:tc>
        <w:tc>
          <w:tcPr>
            <w:tcW w:w="2159" w:type="dxa"/>
            <w:tcMar>
              <w:top w:w="57" w:type="dxa"/>
              <w:bottom w:w="57" w:type="dxa"/>
            </w:tcMar>
          </w:tcPr>
          <w:p w:rsidR="00D048F7" w:rsidRPr="002E5845" w:rsidRDefault="00D048F7">
            <w:r w:rsidRPr="002E5845">
              <w:t>2A.5</w:t>
            </w:r>
          </w:p>
        </w:tc>
        <w:tc>
          <w:tcPr>
            <w:tcW w:w="2835" w:type="dxa"/>
            <w:tcMar>
              <w:top w:w="57" w:type="dxa"/>
              <w:bottom w:w="57" w:type="dxa"/>
            </w:tcMar>
          </w:tcPr>
          <w:p w:rsidR="00D048F7" w:rsidRPr="002E5845" w:rsidRDefault="00D048F7" w:rsidP="006C4D8C">
            <w:r w:rsidRPr="002E5845">
              <w:t xml:space="preserve">Shipper obligation to submit a read for Monthly Read Meters at least every 4 months </w:t>
            </w:r>
            <w:r w:rsidR="006C4D8C" w:rsidRPr="002E5845">
              <w:t xml:space="preserve">(M5.9.7) </w:t>
            </w:r>
            <w:r w:rsidRPr="002E5845">
              <w:t xml:space="preserve">and Annual Read Meters at least </w:t>
            </w:r>
            <w:r w:rsidR="006C4D8C" w:rsidRPr="002E5845">
              <w:t>every 24 months (M5.9.9).</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PACR0013 Estimated reads at Change of Shipper</w:t>
            </w:r>
          </w:p>
        </w:tc>
        <w:tc>
          <w:tcPr>
            <w:tcW w:w="2835" w:type="dxa"/>
            <w:tcMar>
              <w:top w:w="57" w:type="dxa"/>
              <w:bottom w:w="57" w:type="dxa"/>
            </w:tcMar>
          </w:tcPr>
          <w:p w:rsidR="00D048F7" w:rsidRPr="002E5845" w:rsidRDefault="00D048F7" w:rsidP="00F763F0">
            <w:r w:rsidRPr="002E5845">
              <w:t>Risk 8</w:t>
            </w:r>
          </w:p>
        </w:tc>
        <w:tc>
          <w:tcPr>
            <w:tcW w:w="3511" w:type="dxa"/>
            <w:tcMar>
              <w:top w:w="57" w:type="dxa"/>
              <w:bottom w:w="57" w:type="dxa"/>
            </w:tcMar>
          </w:tcPr>
          <w:p w:rsidR="00D048F7" w:rsidRPr="002E5845" w:rsidRDefault="00D048F7" w:rsidP="00AA6CD7">
            <w:r w:rsidRPr="002E5845">
              <w:t>Temp (until Reconciliation)</w:t>
            </w:r>
          </w:p>
        </w:tc>
        <w:tc>
          <w:tcPr>
            <w:tcW w:w="2159" w:type="dxa"/>
            <w:tcMar>
              <w:top w:w="57" w:type="dxa"/>
              <w:bottom w:w="57" w:type="dxa"/>
            </w:tcMar>
          </w:tcPr>
          <w:p w:rsidR="00D048F7" w:rsidRPr="002E5845" w:rsidRDefault="00D048F7">
            <w:r w:rsidRPr="002E5845">
              <w:t>2A.4</w:t>
            </w:r>
          </w:p>
        </w:tc>
        <w:tc>
          <w:tcPr>
            <w:tcW w:w="2835" w:type="dxa"/>
            <w:tcMar>
              <w:top w:w="57" w:type="dxa"/>
              <w:bottom w:w="57" w:type="dxa"/>
            </w:tcMar>
          </w:tcPr>
          <w:p w:rsidR="00D048F7" w:rsidRPr="002E5845" w:rsidRDefault="006C4D8C">
            <w:r w:rsidRPr="002E5845">
              <w:t xml:space="preserve">Obligation is </w:t>
            </w:r>
            <w:r w:rsidR="00630CA9" w:rsidRPr="002E5845">
              <w:t xml:space="preserve">for incoming Shipper </w:t>
            </w:r>
            <w:r w:rsidRPr="002E5845">
              <w:t>to provide an opening meter reading for 100% of Change of Shipper events (M5.13).</w:t>
            </w:r>
          </w:p>
        </w:tc>
      </w:tr>
      <w:tr w:rsidR="002E5845" w:rsidRPr="002E5845" w:rsidTr="00CD1DB8">
        <w:trPr>
          <w:cantSplit/>
        </w:trPr>
        <w:tc>
          <w:tcPr>
            <w:tcW w:w="2834" w:type="dxa"/>
            <w:tcMar>
              <w:top w:w="57" w:type="dxa"/>
              <w:bottom w:w="57" w:type="dxa"/>
            </w:tcMar>
          </w:tcPr>
          <w:p w:rsidR="00B94FBE" w:rsidRPr="002E5845" w:rsidRDefault="00B94FBE" w:rsidP="008C6CB1">
            <w:r w:rsidRPr="002E5845">
              <w:t>PACR0014 Failure to obtain a meter reading within the settlement window</w:t>
            </w:r>
          </w:p>
        </w:tc>
        <w:tc>
          <w:tcPr>
            <w:tcW w:w="2835" w:type="dxa"/>
            <w:tcMar>
              <w:top w:w="57" w:type="dxa"/>
              <w:bottom w:w="57" w:type="dxa"/>
            </w:tcMar>
          </w:tcPr>
          <w:p w:rsidR="00B94FBE" w:rsidRPr="002E5845" w:rsidRDefault="00B94FBE" w:rsidP="00F763F0">
            <w:r w:rsidRPr="002E5845">
              <w:t>Risk 4</w:t>
            </w:r>
          </w:p>
        </w:tc>
        <w:tc>
          <w:tcPr>
            <w:tcW w:w="3511" w:type="dxa"/>
            <w:tcMar>
              <w:top w:w="57" w:type="dxa"/>
              <w:bottom w:w="57" w:type="dxa"/>
            </w:tcMar>
          </w:tcPr>
          <w:p w:rsidR="00B94FBE" w:rsidRPr="002E5845" w:rsidRDefault="00B94FBE">
            <w:r w:rsidRPr="002E5845">
              <w:t>Perm</w:t>
            </w:r>
          </w:p>
        </w:tc>
        <w:tc>
          <w:tcPr>
            <w:tcW w:w="2159" w:type="dxa"/>
            <w:tcMar>
              <w:top w:w="57" w:type="dxa"/>
              <w:bottom w:w="57" w:type="dxa"/>
            </w:tcMar>
          </w:tcPr>
          <w:p w:rsidR="00B94FBE" w:rsidRPr="002E5845" w:rsidRDefault="00B94FBE">
            <w:r w:rsidRPr="002E5845">
              <w:t>2A.7</w:t>
            </w:r>
          </w:p>
        </w:tc>
        <w:tc>
          <w:tcPr>
            <w:tcW w:w="2835" w:type="dxa"/>
            <w:tcMar>
              <w:top w:w="57" w:type="dxa"/>
              <w:bottom w:w="57" w:type="dxa"/>
            </w:tcMar>
          </w:tcPr>
          <w:p w:rsidR="00B94FBE" w:rsidRPr="002E5845" w:rsidRDefault="00B94FBE" w:rsidP="00F6110C">
            <w:r w:rsidRPr="002E5845">
              <w:t>Shipper obligation provide at least one read per annum into settlement – Mod 0570 introduce</w:t>
            </w:r>
            <w:r w:rsidR="00F6110C" w:rsidRPr="002E5845">
              <w:t>d</w:t>
            </w:r>
            <w:r w:rsidRPr="002E5845">
              <w:t xml:space="preserve"> new section M5.9</w:t>
            </w:r>
          </w:p>
        </w:tc>
      </w:tr>
      <w:tr w:rsidR="002E5845" w:rsidRPr="002E5845" w:rsidTr="00CD1DB8">
        <w:trPr>
          <w:cantSplit/>
        </w:trPr>
        <w:tc>
          <w:tcPr>
            <w:tcW w:w="2834" w:type="dxa"/>
            <w:tcMar>
              <w:top w:w="57" w:type="dxa"/>
              <w:bottom w:w="57" w:type="dxa"/>
            </w:tcMar>
          </w:tcPr>
          <w:p w:rsidR="00D048F7" w:rsidRPr="002E5845" w:rsidRDefault="00D048F7" w:rsidP="008C6CB1">
            <w:r w:rsidRPr="002E5845">
              <w:t>PACR0015  Inconsistent approach to retrospective updates</w:t>
            </w:r>
          </w:p>
        </w:tc>
        <w:tc>
          <w:tcPr>
            <w:tcW w:w="2835" w:type="dxa"/>
            <w:tcMar>
              <w:top w:w="57" w:type="dxa"/>
              <w:bottom w:w="57" w:type="dxa"/>
            </w:tcMar>
          </w:tcPr>
          <w:p w:rsidR="00D048F7" w:rsidRPr="002E5845" w:rsidRDefault="00D048F7" w:rsidP="00F763F0">
            <w:r w:rsidRPr="002E5845">
              <w:t>Risk 14</w:t>
            </w:r>
          </w:p>
          <w:p w:rsidR="00D048F7" w:rsidRPr="002E5845" w:rsidRDefault="00D048F7" w:rsidP="00F763F0"/>
        </w:tc>
        <w:tc>
          <w:tcPr>
            <w:tcW w:w="3511" w:type="dxa"/>
            <w:tcMar>
              <w:top w:w="57" w:type="dxa"/>
              <w:bottom w:w="57" w:type="dxa"/>
            </w:tcMar>
          </w:tcPr>
          <w:p w:rsidR="00D048F7" w:rsidRPr="002E5845" w:rsidRDefault="00D048F7">
            <w:r w:rsidRPr="002E5845">
              <w:t>Perm/Temp (if identified and corrected)</w:t>
            </w:r>
          </w:p>
        </w:tc>
        <w:tc>
          <w:tcPr>
            <w:tcW w:w="2159" w:type="dxa"/>
            <w:tcMar>
              <w:top w:w="57" w:type="dxa"/>
              <w:bottom w:w="57" w:type="dxa"/>
            </w:tcMar>
          </w:tcPr>
          <w:p w:rsidR="00D048F7" w:rsidRPr="002E5845" w:rsidRDefault="00D048F7">
            <w:r w:rsidRPr="002E5845">
              <w:t>2A.10 (Meter Read Replacement)</w:t>
            </w:r>
          </w:p>
        </w:tc>
        <w:tc>
          <w:tcPr>
            <w:tcW w:w="2835" w:type="dxa"/>
            <w:tcMar>
              <w:top w:w="57" w:type="dxa"/>
              <w:bottom w:w="57" w:type="dxa"/>
            </w:tcMar>
          </w:tcPr>
          <w:p w:rsidR="00D048F7" w:rsidRPr="002E5845" w:rsidRDefault="00D048F7" w:rsidP="00F6110C">
            <w:pPr>
              <w:rPr>
                <w:i/>
              </w:rPr>
            </w:pPr>
            <w:r w:rsidRPr="002E5845">
              <w:t xml:space="preserve">User can notify the CDSP if they believe Relevant Data recorded in the Supply Point Register is incorrect. This can be done by submitting a Retrospective Data Notification. Section M4.3.2 sets out what a Retrospective Data Update Notification shall be. </w:t>
            </w:r>
          </w:p>
        </w:tc>
      </w:tr>
      <w:tr w:rsidR="002E5845" w:rsidRPr="002E5845" w:rsidTr="00CD1DB8">
        <w:trPr>
          <w:cantSplit/>
        </w:trPr>
        <w:tc>
          <w:tcPr>
            <w:tcW w:w="2834" w:type="dxa"/>
            <w:tcMar>
              <w:top w:w="57" w:type="dxa"/>
              <w:bottom w:w="57" w:type="dxa"/>
            </w:tcMar>
          </w:tcPr>
          <w:p w:rsidR="00F6110C" w:rsidRPr="002E5845" w:rsidRDefault="00F6110C" w:rsidP="001D02BF">
            <w:r w:rsidRPr="002E5845">
              <w:t>-</w:t>
            </w:r>
          </w:p>
        </w:tc>
        <w:tc>
          <w:tcPr>
            <w:tcW w:w="2835" w:type="dxa"/>
            <w:tcMar>
              <w:top w:w="57" w:type="dxa"/>
              <w:bottom w:w="57" w:type="dxa"/>
            </w:tcMar>
          </w:tcPr>
          <w:p w:rsidR="00F6110C" w:rsidRPr="002E5845" w:rsidRDefault="00F6110C" w:rsidP="00F763F0">
            <w:r w:rsidRPr="002E5845">
              <w:t>-</w:t>
            </w:r>
          </w:p>
        </w:tc>
        <w:tc>
          <w:tcPr>
            <w:tcW w:w="3511" w:type="dxa"/>
            <w:tcMar>
              <w:top w:w="57" w:type="dxa"/>
              <w:bottom w:w="57" w:type="dxa"/>
            </w:tcMar>
          </w:tcPr>
          <w:p w:rsidR="00F6110C" w:rsidRPr="002E5845" w:rsidRDefault="00F6110C">
            <w:r w:rsidRPr="002E5845">
              <w:t xml:space="preserve">AUGE Element 5: Errors in “consumer metering equipment”, i.e. the meter at the consumer’s premises </w:t>
            </w:r>
          </w:p>
          <w:p w:rsidR="00F6110C" w:rsidRPr="002E5845" w:rsidRDefault="00F6110C">
            <w:r w:rsidRPr="002E5845">
              <w:t>Perm/Temp (if identified and corrected)</w:t>
            </w:r>
          </w:p>
          <w:p w:rsidR="00F6110C" w:rsidRPr="002E5845" w:rsidRDefault="00F6110C"/>
        </w:tc>
        <w:tc>
          <w:tcPr>
            <w:tcW w:w="2159" w:type="dxa"/>
            <w:tcMar>
              <w:top w:w="57" w:type="dxa"/>
              <w:bottom w:w="57" w:type="dxa"/>
            </w:tcMar>
          </w:tcPr>
          <w:p w:rsidR="00F6110C" w:rsidRPr="002E5845" w:rsidRDefault="002E5845">
            <w:r>
              <w:t>None</w:t>
            </w:r>
          </w:p>
        </w:tc>
        <w:tc>
          <w:tcPr>
            <w:tcW w:w="2835" w:type="dxa"/>
            <w:tcMar>
              <w:top w:w="57" w:type="dxa"/>
              <w:bottom w:w="57" w:type="dxa"/>
            </w:tcMar>
          </w:tcPr>
          <w:p w:rsidR="00F6110C" w:rsidRPr="002E5845" w:rsidRDefault="00F6110C" w:rsidP="001E1900">
            <w:r w:rsidRPr="002E5845">
              <w:t>Rules for treatment of Meter errors are set out in M1.10.</w:t>
            </w:r>
          </w:p>
        </w:tc>
      </w:tr>
      <w:tr w:rsidR="00F6110C" w:rsidRPr="002E5845" w:rsidTr="00CD1DB8">
        <w:trPr>
          <w:cantSplit/>
        </w:trPr>
        <w:tc>
          <w:tcPr>
            <w:tcW w:w="2834" w:type="dxa"/>
            <w:tcMar>
              <w:top w:w="57" w:type="dxa"/>
              <w:bottom w:w="57" w:type="dxa"/>
            </w:tcMar>
          </w:tcPr>
          <w:p w:rsidR="00F6110C" w:rsidRPr="002E5845" w:rsidRDefault="00F6110C" w:rsidP="001D02BF">
            <w:r w:rsidRPr="002E5845">
              <w:t>-</w:t>
            </w:r>
          </w:p>
        </w:tc>
        <w:tc>
          <w:tcPr>
            <w:tcW w:w="2835" w:type="dxa"/>
            <w:tcMar>
              <w:top w:w="57" w:type="dxa"/>
              <w:bottom w:w="57" w:type="dxa"/>
            </w:tcMar>
          </w:tcPr>
          <w:p w:rsidR="00F6110C" w:rsidRPr="002E5845" w:rsidRDefault="00F6110C" w:rsidP="00F763F0">
            <w:r w:rsidRPr="002E5845">
              <w:t>-</w:t>
            </w:r>
          </w:p>
        </w:tc>
        <w:tc>
          <w:tcPr>
            <w:tcW w:w="3511" w:type="dxa"/>
            <w:tcMar>
              <w:top w:w="57" w:type="dxa"/>
              <w:bottom w:w="57" w:type="dxa"/>
            </w:tcMar>
          </w:tcPr>
          <w:p w:rsidR="00F6110C" w:rsidRPr="002E5845" w:rsidRDefault="00F6110C" w:rsidP="008B19EB">
            <w:r w:rsidRPr="002E5845">
              <w:t xml:space="preserve">AUGE Element 3: Shrinkage on </w:t>
            </w:r>
            <w:proofErr w:type="spellStart"/>
            <w:r w:rsidRPr="002E5845">
              <w:t>iGT</w:t>
            </w:r>
            <w:proofErr w:type="spellEnd"/>
            <w:r w:rsidRPr="002E5845">
              <w:t xml:space="preserve"> Networks</w:t>
            </w:r>
          </w:p>
          <w:p w:rsidR="00F6110C" w:rsidRPr="002E5845" w:rsidRDefault="00F6110C" w:rsidP="008B19EB">
            <w:r w:rsidRPr="002E5845">
              <w:t>Perm</w:t>
            </w:r>
          </w:p>
          <w:p w:rsidR="00F6110C" w:rsidRPr="002E5845" w:rsidRDefault="00F6110C" w:rsidP="008B19EB"/>
        </w:tc>
        <w:tc>
          <w:tcPr>
            <w:tcW w:w="2159" w:type="dxa"/>
            <w:tcMar>
              <w:top w:w="57" w:type="dxa"/>
              <w:bottom w:w="57" w:type="dxa"/>
            </w:tcMar>
          </w:tcPr>
          <w:p w:rsidR="00F6110C" w:rsidRPr="002E5845" w:rsidRDefault="002E5845">
            <w:r>
              <w:t>None</w:t>
            </w:r>
            <w:bookmarkStart w:id="0" w:name="_GoBack"/>
            <w:bookmarkEnd w:id="0"/>
          </w:p>
        </w:tc>
        <w:tc>
          <w:tcPr>
            <w:tcW w:w="2835" w:type="dxa"/>
            <w:tcMar>
              <w:top w:w="57" w:type="dxa"/>
              <w:bottom w:w="57" w:type="dxa"/>
            </w:tcMar>
          </w:tcPr>
          <w:p w:rsidR="00F6110C" w:rsidRPr="002E5845" w:rsidRDefault="00F6110C">
            <w:r w:rsidRPr="002E5845">
              <w:t xml:space="preserve">IGTs’ Shrinkage is defined within the Independent Gas Transporter Arrangements Document (IGTAD) – Section C </w:t>
            </w:r>
          </w:p>
        </w:tc>
      </w:tr>
    </w:tbl>
    <w:p w:rsidR="00C87FD5" w:rsidRPr="002E5845" w:rsidRDefault="00C87FD5"/>
    <w:sectPr w:rsidR="00C87FD5" w:rsidRPr="002E5845" w:rsidSect="00545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B8" w:rsidRDefault="008314B8" w:rsidP="008C6CB1">
      <w:pPr>
        <w:spacing w:after="0" w:line="240" w:lineRule="auto"/>
      </w:pPr>
      <w:r>
        <w:separator/>
      </w:r>
    </w:p>
  </w:endnote>
  <w:endnote w:type="continuationSeparator" w:id="0">
    <w:p w:rsidR="008314B8" w:rsidRDefault="008314B8" w:rsidP="008C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5" w:rsidRDefault="000D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B8" w:rsidRPr="00CD1DB8" w:rsidRDefault="00CD1DB8">
    <w:pPr>
      <w:pStyle w:val="Footer"/>
    </w:pPr>
    <w:r w:rsidRPr="00CD1DB8">
      <w:t xml:space="preserve">Page </w:t>
    </w:r>
    <w:r w:rsidRPr="00CD1DB8">
      <w:fldChar w:fldCharType="begin"/>
    </w:r>
    <w:r w:rsidRPr="00CD1DB8">
      <w:instrText xml:space="preserve"> PAGE  \* Arabic  \* MERGEFORMAT </w:instrText>
    </w:r>
    <w:r w:rsidRPr="00CD1DB8">
      <w:fldChar w:fldCharType="separate"/>
    </w:r>
    <w:r w:rsidR="002E5845">
      <w:rPr>
        <w:noProof/>
      </w:rPr>
      <w:t>5</w:t>
    </w:r>
    <w:r w:rsidRPr="00CD1DB8">
      <w:fldChar w:fldCharType="end"/>
    </w:r>
    <w:r w:rsidRPr="00CD1DB8">
      <w:t xml:space="preserve"> of </w:t>
    </w:r>
    <w:fldSimple w:instr=" NUMPAGES  \* Arabic  \* MERGEFORMAT ">
      <w:r w:rsidR="002E5845">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5" w:rsidRDefault="000D3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B8" w:rsidRDefault="008314B8" w:rsidP="008C6CB1">
      <w:pPr>
        <w:spacing w:after="0" w:line="240" w:lineRule="auto"/>
      </w:pPr>
      <w:r>
        <w:separator/>
      </w:r>
    </w:p>
  </w:footnote>
  <w:footnote w:type="continuationSeparator" w:id="0">
    <w:p w:rsidR="008314B8" w:rsidRDefault="008314B8" w:rsidP="008C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5" w:rsidRDefault="000D3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1A" w:rsidRDefault="0049231A" w:rsidP="0049231A">
    <w:pPr>
      <w:autoSpaceDE w:val="0"/>
      <w:autoSpaceDN w:val="0"/>
      <w:adjustRightInd w:val="0"/>
      <w:spacing w:after="0" w:line="240" w:lineRule="auto"/>
    </w:pPr>
    <w:r>
      <w:t xml:space="preserve">PAC ACTION: </w:t>
    </w:r>
    <w:r w:rsidRPr="0049231A">
      <w:t>PAC</w:t>
    </w:r>
    <w:r w:rsidR="000D3805">
      <w:t>1113</w:t>
    </w:r>
  </w:p>
  <w:p w:rsidR="008C6CB1" w:rsidRDefault="008C6CB1" w:rsidP="0049231A">
    <w:pPr>
      <w:pStyle w:val="Header"/>
    </w:pPr>
    <w:r>
      <w:t>Comparison of PAC Risk Register, Engage Risk Model and AUGE Assessment (2017/18 Statement)</w:t>
    </w:r>
  </w:p>
  <w:p w:rsidR="008C6CB1" w:rsidRDefault="00545EA6">
    <w:pPr>
      <w:pStyle w:val="Header"/>
    </w:pPr>
    <w:r>
      <w:t xml:space="preserve">Version: </w:t>
    </w:r>
    <w:r w:rsidR="00345DA5">
      <w:t>21/02/2018 Draft 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5" w:rsidRDefault="000D3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27"/>
    <w:rsid w:val="00000CAD"/>
    <w:rsid w:val="00035FA2"/>
    <w:rsid w:val="00072960"/>
    <w:rsid w:val="000D3805"/>
    <w:rsid w:val="001622EC"/>
    <w:rsid w:val="001B2D0B"/>
    <w:rsid w:val="001B636B"/>
    <w:rsid w:val="001E1900"/>
    <w:rsid w:val="0028722C"/>
    <w:rsid w:val="002E5845"/>
    <w:rsid w:val="00312E03"/>
    <w:rsid w:val="00345DA5"/>
    <w:rsid w:val="0035212D"/>
    <w:rsid w:val="003657B0"/>
    <w:rsid w:val="003B0D1D"/>
    <w:rsid w:val="003B3B18"/>
    <w:rsid w:val="0049231A"/>
    <w:rsid w:val="00545EA6"/>
    <w:rsid w:val="00554385"/>
    <w:rsid w:val="00617927"/>
    <w:rsid w:val="00630CA9"/>
    <w:rsid w:val="00683068"/>
    <w:rsid w:val="006B3FD9"/>
    <w:rsid w:val="006C133C"/>
    <w:rsid w:val="006C4D8C"/>
    <w:rsid w:val="00752E84"/>
    <w:rsid w:val="007A1ED2"/>
    <w:rsid w:val="0082776F"/>
    <w:rsid w:val="008314B8"/>
    <w:rsid w:val="008B19EB"/>
    <w:rsid w:val="008C6CB1"/>
    <w:rsid w:val="008D7853"/>
    <w:rsid w:val="008E1470"/>
    <w:rsid w:val="008E4C27"/>
    <w:rsid w:val="0091254C"/>
    <w:rsid w:val="00936B80"/>
    <w:rsid w:val="00941006"/>
    <w:rsid w:val="00A17AA3"/>
    <w:rsid w:val="00A26EF1"/>
    <w:rsid w:val="00B015E1"/>
    <w:rsid w:val="00B2431E"/>
    <w:rsid w:val="00B94FBE"/>
    <w:rsid w:val="00BB499D"/>
    <w:rsid w:val="00C77B2C"/>
    <w:rsid w:val="00C84811"/>
    <w:rsid w:val="00C87FD5"/>
    <w:rsid w:val="00CD1DB8"/>
    <w:rsid w:val="00CF13DA"/>
    <w:rsid w:val="00D048F7"/>
    <w:rsid w:val="00D450EE"/>
    <w:rsid w:val="00D80DC5"/>
    <w:rsid w:val="00D9629F"/>
    <w:rsid w:val="00E53D2E"/>
    <w:rsid w:val="00E6386A"/>
    <w:rsid w:val="00EB2B10"/>
    <w:rsid w:val="00F34166"/>
    <w:rsid w:val="00F6110C"/>
    <w:rsid w:val="00F7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CB1"/>
  </w:style>
  <w:style w:type="paragraph" w:styleId="Footer">
    <w:name w:val="footer"/>
    <w:basedOn w:val="Normal"/>
    <w:link w:val="FooterChar"/>
    <w:uiPriority w:val="99"/>
    <w:unhideWhenUsed/>
    <w:rsid w:val="008C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CB1"/>
  </w:style>
  <w:style w:type="character" w:styleId="CommentReference">
    <w:name w:val="annotation reference"/>
    <w:basedOn w:val="DefaultParagraphFont"/>
    <w:uiPriority w:val="99"/>
    <w:semiHidden/>
    <w:unhideWhenUsed/>
    <w:rsid w:val="00C84811"/>
    <w:rPr>
      <w:sz w:val="16"/>
      <w:szCs w:val="16"/>
    </w:rPr>
  </w:style>
  <w:style w:type="paragraph" w:styleId="CommentText">
    <w:name w:val="annotation text"/>
    <w:basedOn w:val="Normal"/>
    <w:link w:val="CommentTextChar"/>
    <w:uiPriority w:val="99"/>
    <w:semiHidden/>
    <w:unhideWhenUsed/>
    <w:rsid w:val="00C84811"/>
    <w:pPr>
      <w:spacing w:line="240" w:lineRule="auto"/>
    </w:pPr>
    <w:rPr>
      <w:sz w:val="20"/>
      <w:szCs w:val="20"/>
    </w:rPr>
  </w:style>
  <w:style w:type="character" w:customStyle="1" w:styleId="CommentTextChar">
    <w:name w:val="Comment Text Char"/>
    <w:basedOn w:val="DefaultParagraphFont"/>
    <w:link w:val="CommentText"/>
    <w:uiPriority w:val="99"/>
    <w:semiHidden/>
    <w:rsid w:val="00C84811"/>
    <w:rPr>
      <w:sz w:val="20"/>
      <w:szCs w:val="20"/>
    </w:rPr>
  </w:style>
  <w:style w:type="paragraph" w:styleId="CommentSubject">
    <w:name w:val="annotation subject"/>
    <w:basedOn w:val="CommentText"/>
    <w:next w:val="CommentText"/>
    <w:link w:val="CommentSubjectChar"/>
    <w:uiPriority w:val="99"/>
    <w:semiHidden/>
    <w:unhideWhenUsed/>
    <w:rsid w:val="00C84811"/>
    <w:rPr>
      <w:b/>
      <w:bCs/>
    </w:rPr>
  </w:style>
  <w:style w:type="character" w:customStyle="1" w:styleId="CommentSubjectChar">
    <w:name w:val="Comment Subject Char"/>
    <w:basedOn w:val="CommentTextChar"/>
    <w:link w:val="CommentSubject"/>
    <w:uiPriority w:val="99"/>
    <w:semiHidden/>
    <w:rsid w:val="00C84811"/>
    <w:rPr>
      <w:b/>
      <w:bCs/>
      <w:sz w:val="20"/>
      <w:szCs w:val="20"/>
    </w:rPr>
  </w:style>
  <w:style w:type="paragraph" w:styleId="BalloonText">
    <w:name w:val="Balloon Text"/>
    <w:basedOn w:val="Normal"/>
    <w:link w:val="BalloonTextChar"/>
    <w:uiPriority w:val="99"/>
    <w:semiHidden/>
    <w:unhideWhenUsed/>
    <w:rsid w:val="00C8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CB1"/>
  </w:style>
  <w:style w:type="paragraph" w:styleId="Footer">
    <w:name w:val="footer"/>
    <w:basedOn w:val="Normal"/>
    <w:link w:val="FooterChar"/>
    <w:uiPriority w:val="99"/>
    <w:unhideWhenUsed/>
    <w:rsid w:val="008C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CB1"/>
  </w:style>
  <w:style w:type="character" w:styleId="CommentReference">
    <w:name w:val="annotation reference"/>
    <w:basedOn w:val="DefaultParagraphFont"/>
    <w:uiPriority w:val="99"/>
    <w:semiHidden/>
    <w:unhideWhenUsed/>
    <w:rsid w:val="00C84811"/>
    <w:rPr>
      <w:sz w:val="16"/>
      <w:szCs w:val="16"/>
    </w:rPr>
  </w:style>
  <w:style w:type="paragraph" w:styleId="CommentText">
    <w:name w:val="annotation text"/>
    <w:basedOn w:val="Normal"/>
    <w:link w:val="CommentTextChar"/>
    <w:uiPriority w:val="99"/>
    <w:semiHidden/>
    <w:unhideWhenUsed/>
    <w:rsid w:val="00C84811"/>
    <w:pPr>
      <w:spacing w:line="240" w:lineRule="auto"/>
    </w:pPr>
    <w:rPr>
      <w:sz w:val="20"/>
      <w:szCs w:val="20"/>
    </w:rPr>
  </w:style>
  <w:style w:type="character" w:customStyle="1" w:styleId="CommentTextChar">
    <w:name w:val="Comment Text Char"/>
    <w:basedOn w:val="DefaultParagraphFont"/>
    <w:link w:val="CommentText"/>
    <w:uiPriority w:val="99"/>
    <w:semiHidden/>
    <w:rsid w:val="00C84811"/>
    <w:rPr>
      <w:sz w:val="20"/>
      <w:szCs w:val="20"/>
    </w:rPr>
  </w:style>
  <w:style w:type="paragraph" w:styleId="CommentSubject">
    <w:name w:val="annotation subject"/>
    <w:basedOn w:val="CommentText"/>
    <w:next w:val="CommentText"/>
    <w:link w:val="CommentSubjectChar"/>
    <w:uiPriority w:val="99"/>
    <w:semiHidden/>
    <w:unhideWhenUsed/>
    <w:rsid w:val="00C84811"/>
    <w:rPr>
      <w:b/>
      <w:bCs/>
    </w:rPr>
  </w:style>
  <w:style w:type="character" w:customStyle="1" w:styleId="CommentSubjectChar">
    <w:name w:val="Comment Subject Char"/>
    <w:basedOn w:val="CommentTextChar"/>
    <w:link w:val="CommentSubject"/>
    <w:uiPriority w:val="99"/>
    <w:semiHidden/>
    <w:rsid w:val="00C84811"/>
    <w:rPr>
      <w:b/>
      <w:bCs/>
      <w:sz w:val="20"/>
      <w:szCs w:val="20"/>
    </w:rPr>
  </w:style>
  <w:style w:type="paragraph" w:styleId="BalloonText">
    <w:name w:val="Balloon Text"/>
    <w:basedOn w:val="Normal"/>
    <w:link w:val="BalloonTextChar"/>
    <w:uiPriority w:val="99"/>
    <w:semiHidden/>
    <w:unhideWhenUsed/>
    <w:rsid w:val="00C8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Cottam</dc:creator>
  <cp:lastModifiedBy>Fiona Cottam</cp:lastModifiedBy>
  <cp:revision>13</cp:revision>
  <dcterms:created xsi:type="dcterms:W3CDTF">2018-02-21T15:31:00Z</dcterms:created>
  <dcterms:modified xsi:type="dcterms:W3CDTF">2018-02-23T16:13:00Z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