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24C6" w14:textId="77777777" w:rsidR="00AD2633" w:rsidRPr="005A5BDD" w:rsidRDefault="00496A81">
      <w:pPr>
        <w:rPr>
          <w:b/>
          <w:sz w:val="24"/>
        </w:rPr>
      </w:pPr>
      <w:bookmarkStart w:id="0" w:name="_GoBack"/>
      <w:bookmarkEnd w:id="0"/>
      <w:r w:rsidRPr="005A5BDD">
        <w:rPr>
          <w:b/>
          <w:sz w:val="24"/>
        </w:rPr>
        <w:t>UNC – Self Governance Modifications: Guidance for Proposers</w:t>
      </w:r>
    </w:p>
    <w:p w14:paraId="0377B280" w14:textId="77777777" w:rsidR="00496A81" w:rsidRDefault="00496A81"/>
    <w:p w14:paraId="220781A3" w14:textId="5A2312C2" w:rsidR="00496A81" w:rsidRDefault="00496A81" w:rsidP="00D57BEC">
      <w:pPr>
        <w:spacing w:before="120" w:after="120"/>
      </w:pPr>
      <w:r>
        <w:t xml:space="preserve">Under </w:t>
      </w:r>
      <w:proofErr w:type="spellStart"/>
      <w:r>
        <w:t>Ofgem’s</w:t>
      </w:r>
      <w:proofErr w:type="spellEnd"/>
      <w:r>
        <w:t xml:space="preserve"> Code Governance Review Phase 3 (implemented summer 2016), the operation o</w:t>
      </w:r>
      <w:r w:rsidR="00632D2C">
        <w:t>f self-governance is reversed f</w:t>
      </w:r>
      <w:r>
        <w:t>r</w:t>
      </w:r>
      <w:r w:rsidR="00632D2C">
        <w:t>o</w:t>
      </w:r>
      <w:r>
        <w:t xml:space="preserve">m that used previously. This means that Proposers are required to demonstrate the materiality of their modification if they believe an Authority direction is required. This brief note seeks to provide areas for Proposers to </w:t>
      </w:r>
      <w:r w:rsidR="00227B67">
        <w:t>consider in considering what might constitute a ‘material effect’ as described in the Self-Governance criteria.</w:t>
      </w:r>
    </w:p>
    <w:p w14:paraId="2DB27B3B" w14:textId="332E56FC" w:rsidR="00D57BEC" w:rsidRDefault="00D57BEC" w:rsidP="00D57BEC">
      <w:pPr>
        <w:spacing w:before="120" w:after="120"/>
      </w:pPr>
      <w:r>
        <w:t>In all circumstances, Proposers will be expected to objectively justify their materiality assessment.</w:t>
      </w:r>
    </w:p>
    <w:p w14:paraId="26B72BEB" w14:textId="77777777" w:rsidR="00227B67" w:rsidRDefault="00227B67"/>
    <w:tbl>
      <w:tblPr>
        <w:tblStyle w:val="TableGrid"/>
        <w:tblW w:w="9418" w:type="dxa"/>
        <w:tblLook w:val="04A0" w:firstRow="1" w:lastRow="0" w:firstColumn="1" w:lastColumn="0" w:noHBand="0" w:noVBand="1"/>
      </w:tblPr>
      <w:tblGrid>
        <w:gridCol w:w="2376"/>
        <w:gridCol w:w="7042"/>
      </w:tblGrid>
      <w:tr w:rsidR="00946155" w14:paraId="2AB88480" w14:textId="77777777" w:rsidTr="00C35F0B">
        <w:trPr>
          <w:trHeight w:val="926"/>
        </w:trPr>
        <w:tc>
          <w:tcPr>
            <w:tcW w:w="2376" w:type="dxa"/>
            <w:shd w:val="clear" w:color="auto" w:fill="F2F2F2" w:themeFill="background1" w:themeFillShade="F2"/>
            <w:vAlign w:val="center"/>
          </w:tcPr>
          <w:p w14:paraId="5E9D9B01" w14:textId="34CB44B0" w:rsidR="00227B67" w:rsidRPr="00C35F0B" w:rsidRDefault="00946155" w:rsidP="00946155">
            <w:pPr>
              <w:rPr>
                <w:b/>
              </w:rPr>
            </w:pPr>
            <w:r w:rsidRPr="00C35F0B">
              <w:rPr>
                <w:b/>
              </w:rPr>
              <w:t>Effect on</w:t>
            </w:r>
          </w:p>
        </w:tc>
        <w:tc>
          <w:tcPr>
            <w:tcW w:w="7042" w:type="dxa"/>
            <w:shd w:val="clear" w:color="auto" w:fill="F2F2F2" w:themeFill="background1" w:themeFillShade="F2"/>
            <w:vAlign w:val="center"/>
          </w:tcPr>
          <w:p w14:paraId="5F506827" w14:textId="147F8E93" w:rsidR="00227B67" w:rsidRPr="00C35F0B" w:rsidRDefault="000A6FB8" w:rsidP="000A6FB8">
            <w:pPr>
              <w:rPr>
                <w:b/>
              </w:rPr>
            </w:pPr>
            <w:r>
              <w:rPr>
                <w:b/>
              </w:rPr>
              <w:t xml:space="preserve">Likely to require Authority decision </w:t>
            </w:r>
            <w:r w:rsidR="00946155" w:rsidRPr="00C35F0B">
              <w:rPr>
                <w:b/>
              </w:rPr>
              <w:t>if</w:t>
            </w:r>
            <w:r w:rsidR="00C35F0B">
              <w:rPr>
                <w:b/>
              </w:rPr>
              <w:t xml:space="preserve"> your proposal</w:t>
            </w:r>
            <w:r w:rsidR="00946155" w:rsidRPr="00C35F0B">
              <w:rPr>
                <w:b/>
              </w:rPr>
              <w:t>….</w:t>
            </w:r>
          </w:p>
        </w:tc>
      </w:tr>
      <w:tr w:rsidR="00946155" w14:paraId="407B0A07" w14:textId="77777777" w:rsidTr="00915C3D">
        <w:trPr>
          <w:trHeight w:val="1758"/>
        </w:trPr>
        <w:tc>
          <w:tcPr>
            <w:tcW w:w="2376" w:type="dxa"/>
            <w:vAlign w:val="center"/>
          </w:tcPr>
          <w:p w14:paraId="03BFDE4C" w14:textId="6411661A" w:rsidR="00227B67" w:rsidRDefault="00915C3D" w:rsidP="00946155">
            <w:r>
              <w:t>Existing or future gas consumers</w:t>
            </w:r>
          </w:p>
        </w:tc>
        <w:tc>
          <w:tcPr>
            <w:tcW w:w="7042" w:type="dxa"/>
            <w:vAlign w:val="center"/>
          </w:tcPr>
          <w:p w14:paraId="5B38ECC0" w14:textId="0A45AAB4" w:rsidR="00080B0E" w:rsidRDefault="00080B0E" w:rsidP="00C35F0B">
            <w:pPr>
              <w:pStyle w:val="ListParagraph"/>
              <w:numPr>
                <w:ilvl w:val="0"/>
                <w:numId w:val="1"/>
              </w:numPr>
              <w:ind w:left="459"/>
            </w:pPr>
            <w:r>
              <w:t>Increases switching timescale</w:t>
            </w:r>
            <w:r w:rsidR="00D57BEC">
              <w:t>.</w:t>
            </w:r>
          </w:p>
          <w:p w14:paraId="72BFBB22" w14:textId="05EDAE55" w:rsidR="00080B0E" w:rsidRDefault="000A6FB8" w:rsidP="000A6FB8">
            <w:pPr>
              <w:pStyle w:val="ListParagraph"/>
              <w:numPr>
                <w:ilvl w:val="0"/>
                <w:numId w:val="1"/>
              </w:numPr>
              <w:ind w:left="459"/>
            </w:pPr>
            <w:r>
              <w:t>Materially increases costs that are passed on to consumers, or may be in future</w:t>
            </w:r>
            <w:r w:rsidR="00D57BEC">
              <w:t>.</w:t>
            </w:r>
          </w:p>
        </w:tc>
      </w:tr>
      <w:tr w:rsidR="00946155" w14:paraId="055BA812" w14:textId="77777777" w:rsidTr="00915C3D">
        <w:trPr>
          <w:trHeight w:val="1758"/>
        </w:trPr>
        <w:tc>
          <w:tcPr>
            <w:tcW w:w="2376" w:type="dxa"/>
            <w:vAlign w:val="center"/>
          </w:tcPr>
          <w:p w14:paraId="4B3C7FFD" w14:textId="31DF77FD" w:rsidR="00227B67" w:rsidRDefault="00915C3D" w:rsidP="00915C3D">
            <w:r>
              <w:t>Competition in, or commercial activities related to, the shipping, transportation or supply of gas</w:t>
            </w:r>
          </w:p>
        </w:tc>
        <w:tc>
          <w:tcPr>
            <w:tcW w:w="7042" w:type="dxa"/>
            <w:vAlign w:val="center"/>
          </w:tcPr>
          <w:p w14:paraId="4BB350F9" w14:textId="19D47087" w:rsidR="000A6FB8" w:rsidRDefault="000A6FB8" w:rsidP="000A6FB8">
            <w:pPr>
              <w:pStyle w:val="ListParagraph"/>
              <w:numPr>
                <w:ilvl w:val="0"/>
                <w:numId w:val="1"/>
              </w:numPr>
              <w:ind w:left="459"/>
            </w:pPr>
            <w:r>
              <w:t>Reduces competition, or choice, in the marketplace</w:t>
            </w:r>
            <w:r w:rsidR="00D57BEC">
              <w:t>.</w:t>
            </w:r>
          </w:p>
          <w:p w14:paraId="04EFAD66" w14:textId="3AE4FEA2" w:rsidR="00227B67" w:rsidRDefault="000A6FB8" w:rsidP="00E16442">
            <w:pPr>
              <w:pStyle w:val="ListParagraph"/>
              <w:numPr>
                <w:ilvl w:val="0"/>
                <w:numId w:val="1"/>
              </w:numPr>
              <w:ind w:left="459"/>
            </w:pPr>
            <w:r>
              <w:t>Significantly increases co</w:t>
            </w:r>
            <w:r w:rsidR="00B4133C">
              <w:t>mplexity</w:t>
            </w:r>
            <w:r w:rsidR="00E16442">
              <w:t xml:space="preserve"> of</w:t>
            </w:r>
            <w:r w:rsidR="00B4133C">
              <w:t xml:space="preserve"> processes</w:t>
            </w:r>
            <w:r w:rsidR="00E16442">
              <w:t xml:space="preserve"> (</w:t>
            </w:r>
            <w:r w:rsidR="00A21249">
              <w:t>where this potentially leads</w:t>
            </w:r>
            <w:r w:rsidR="00B4133C">
              <w:t xml:space="preserve"> to confusion </w:t>
            </w:r>
            <w:r>
              <w:t>for</w:t>
            </w:r>
            <w:r w:rsidR="00B4133C">
              <w:t xml:space="preserve"> </w:t>
            </w:r>
            <w:r>
              <w:t>consumer</w:t>
            </w:r>
            <w:r w:rsidR="00B4133C">
              <w:t>s</w:t>
            </w:r>
            <w:r w:rsidR="00E16442">
              <w:t>)</w:t>
            </w:r>
            <w:r w:rsidR="00D57BEC">
              <w:t>.</w:t>
            </w:r>
          </w:p>
          <w:p w14:paraId="16187B80" w14:textId="5A7B8106" w:rsidR="00E16442" w:rsidRDefault="00E16442" w:rsidP="00E16442">
            <w:pPr>
              <w:pStyle w:val="ListParagraph"/>
              <w:numPr>
                <w:ilvl w:val="0"/>
                <w:numId w:val="1"/>
              </w:numPr>
              <w:ind w:left="459"/>
            </w:pPr>
            <w:r>
              <w:t xml:space="preserve">Entails </w:t>
            </w:r>
            <w:r w:rsidR="00A21249">
              <w:t>parties</w:t>
            </w:r>
            <w:r>
              <w:t xml:space="preserve"> incurring an additional cost</w:t>
            </w:r>
            <w:r w:rsidR="00632D2C">
              <w:t xml:space="preserve"> (</w:t>
            </w:r>
            <w:proofErr w:type="spellStart"/>
            <w:r w:rsidR="00632D2C">
              <w:t>eg</w:t>
            </w:r>
            <w:proofErr w:type="spellEnd"/>
            <w:r w:rsidR="00632D2C">
              <w:t xml:space="preserve"> </w:t>
            </w:r>
            <w:r w:rsidR="00B92837">
              <w:t>significant</w:t>
            </w:r>
            <w:r w:rsidR="00632D2C">
              <w:t xml:space="preserve"> cost for few or additional costs for many)</w:t>
            </w:r>
            <w:r w:rsidR="00D57BEC">
              <w:t>.</w:t>
            </w:r>
          </w:p>
          <w:p w14:paraId="6B06F7C1" w14:textId="1ADF2D36" w:rsidR="00E16442" w:rsidRDefault="00E16442" w:rsidP="00E16442">
            <w:pPr>
              <w:pStyle w:val="ListParagraph"/>
              <w:numPr>
                <w:ilvl w:val="0"/>
                <w:numId w:val="1"/>
              </w:numPr>
              <w:ind w:left="459"/>
            </w:pPr>
            <w:r>
              <w:t>In</w:t>
            </w:r>
            <w:r w:rsidR="00C12FCC">
              <w:t>troduces different treatment according to class of parties, whether you believe it is justified or not – see also the note below the table)</w:t>
            </w:r>
            <w:r w:rsidR="00862ED7">
              <w:t>.</w:t>
            </w:r>
          </w:p>
        </w:tc>
      </w:tr>
      <w:tr w:rsidR="00946155" w14:paraId="4EB3541A" w14:textId="77777777" w:rsidTr="00915C3D">
        <w:trPr>
          <w:trHeight w:val="1758"/>
        </w:trPr>
        <w:tc>
          <w:tcPr>
            <w:tcW w:w="2376" w:type="dxa"/>
            <w:vAlign w:val="center"/>
          </w:tcPr>
          <w:p w14:paraId="284B5EE2" w14:textId="44469ACB" w:rsidR="00227B67" w:rsidRDefault="00EA1C40" w:rsidP="00946155">
            <w:r>
              <w:t>Operation of one or more pipe-line systems</w:t>
            </w:r>
          </w:p>
        </w:tc>
        <w:tc>
          <w:tcPr>
            <w:tcW w:w="7042" w:type="dxa"/>
            <w:vAlign w:val="center"/>
          </w:tcPr>
          <w:p w14:paraId="3A158E80" w14:textId="1BBFC929" w:rsidR="00227B67" w:rsidRDefault="00C12FCC" w:rsidP="00C35F0B">
            <w:pPr>
              <w:pStyle w:val="ListParagraph"/>
              <w:numPr>
                <w:ilvl w:val="0"/>
                <w:numId w:val="1"/>
              </w:numPr>
              <w:ind w:left="459"/>
            </w:pPr>
            <w:r>
              <w:t xml:space="preserve">Has the potential to </w:t>
            </w:r>
            <w:r w:rsidR="00D57BEC">
              <w:t xml:space="preserve">create </w:t>
            </w:r>
            <w:r>
              <w:t>strand</w:t>
            </w:r>
            <w:r w:rsidR="00D57BEC">
              <w:t>ed</w:t>
            </w:r>
            <w:r>
              <w:t xml:space="preserve"> </w:t>
            </w:r>
            <w:r w:rsidR="00D57BEC">
              <w:t>regulated assets</w:t>
            </w:r>
            <w:r w:rsidR="00862ED7">
              <w:t>.</w:t>
            </w:r>
          </w:p>
          <w:p w14:paraId="3B86E3A2" w14:textId="4B328A42" w:rsidR="00C12FCC" w:rsidRDefault="00C12FCC" w:rsidP="00C12FCC">
            <w:pPr>
              <w:pStyle w:val="ListParagraph"/>
              <w:numPr>
                <w:ilvl w:val="0"/>
                <w:numId w:val="1"/>
              </w:numPr>
              <w:ind w:left="459"/>
            </w:pPr>
            <w:r>
              <w:t>Increase investment in network assets.</w:t>
            </w:r>
          </w:p>
          <w:p w14:paraId="6E83BB3F" w14:textId="555C2634" w:rsidR="00C12FCC" w:rsidRDefault="00C12FCC" w:rsidP="00C12FCC">
            <w:pPr>
              <w:pStyle w:val="ListParagraph"/>
              <w:numPr>
                <w:ilvl w:val="0"/>
                <w:numId w:val="1"/>
              </w:numPr>
              <w:ind w:left="459"/>
            </w:pPr>
            <w:r>
              <w:t>Transfer obligations or rights between the NTS and one or more of the DNs.</w:t>
            </w:r>
          </w:p>
        </w:tc>
      </w:tr>
      <w:tr w:rsidR="00946155" w14:paraId="28495D80" w14:textId="77777777" w:rsidTr="00915C3D">
        <w:trPr>
          <w:trHeight w:val="1758"/>
        </w:trPr>
        <w:tc>
          <w:tcPr>
            <w:tcW w:w="2376" w:type="dxa"/>
            <w:vAlign w:val="center"/>
          </w:tcPr>
          <w:p w14:paraId="50AE38CB" w14:textId="40D78901" w:rsidR="00227B67" w:rsidRDefault="00EA1C40" w:rsidP="00946155">
            <w:r>
              <w:t>Sustainable development, safety or security of supply, or the management of market/network emergencies</w:t>
            </w:r>
          </w:p>
        </w:tc>
        <w:tc>
          <w:tcPr>
            <w:tcW w:w="7042" w:type="dxa"/>
            <w:vAlign w:val="center"/>
          </w:tcPr>
          <w:p w14:paraId="0BA689B9" w14:textId="3C86424E" w:rsidR="00227B67" w:rsidRDefault="00D57BEC" w:rsidP="00C35F0B">
            <w:pPr>
              <w:pStyle w:val="ListParagraph"/>
              <w:numPr>
                <w:ilvl w:val="0"/>
                <w:numId w:val="1"/>
              </w:numPr>
              <w:ind w:left="459"/>
            </w:pPr>
            <w:r>
              <w:t>Has the potential to result in a widespread increase in carbon emissions</w:t>
            </w:r>
            <w:r w:rsidR="000B78AB">
              <w:t xml:space="preserve"> </w:t>
            </w:r>
            <w:proofErr w:type="spellStart"/>
            <w:r w:rsidR="000B78AB">
              <w:t>or</w:t>
            </w:r>
            <w:proofErr w:type="spellEnd"/>
            <w:r w:rsidR="000B78AB">
              <w:t xml:space="preserve"> greenhouse gases</w:t>
            </w:r>
          </w:p>
          <w:p w14:paraId="0790FADC" w14:textId="77777777" w:rsidR="00D57BEC" w:rsidRDefault="00D57BEC" w:rsidP="00D57BEC">
            <w:pPr>
              <w:pStyle w:val="ListParagraph"/>
              <w:numPr>
                <w:ilvl w:val="0"/>
                <w:numId w:val="1"/>
              </w:numPr>
              <w:ind w:left="459"/>
            </w:pPr>
            <w:r>
              <w:t>Would entail network operators seeking approval of an amended Safety Case.</w:t>
            </w:r>
          </w:p>
          <w:p w14:paraId="46C5AB4C" w14:textId="572C8F9D" w:rsidR="009B002A" w:rsidRDefault="000B78AB" w:rsidP="00632D2C">
            <w:pPr>
              <w:pStyle w:val="ListParagraph"/>
              <w:numPr>
                <w:ilvl w:val="0"/>
                <w:numId w:val="1"/>
              </w:numPr>
              <w:ind w:left="459"/>
            </w:pPr>
            <w:r>
              <w:t>Reduces</w:t>
            </w:r>
            <w:r w:rsidR="009B002A">
              <w:t xml:space="preserve"> the availabil</w:t>
            </w:r>
            <w:r w:rsidR="00632D2C">
              <w:t>ity of supplies of gas</w:t>
            </w:r>
            <w:r w:rsidR="009B002A">
              <w:t>.</w:t>
            </w:r>
          </w:p>
        </w:tc>
      </w:tr>
      <w:tr w:rsidR="00EA1C40" w14:paraId="66589797" w14:textId="77777777" w:rsidTr="00915C3D">
        <w:trPr>
          <w:trHeight w:val="1758"/>
        </w:trPr>
        <w:tc>
          <w:tcPr>
            <w:tcW w:w="2376" w:type="dxa"/>
            <w:vAlign w:val="center"/>
          </w:tcPr>
          <w:p w14:paraId="6942172A" w14:textId="2A1BBDB6" w:rsidR="00EA1C40" w:rsidRDefault="00EA1C40" w:rsidP="00946155">
            <w:r>
              <w:t>UNC governance or modification procedures</w:t>
            </w:r>
          </w:p>
        </w:tc>
        <w:tc>
          <w:tcPr>
            <w:tcW w:w="7042" w:type="dxa"/>
            <w:vAlign w:val="center"/>
          </w:tcPr>
          <w:p w14:paraId="7AF8ACBE" w14:textId="3F6A2E3E" w:rsidR="00EA1C40" w:rsidRDefault="004F5F9C" w:rsidP="00C35F0B">
            <w:pPr>
              <w:pStyle w:val="ListParagraph"/>
              <w:numPr>
                <w:ilvl w:val="0"/>
                <w:numId w:val="1"/>
              </w:numPr>
              <w:ind w:left="459"/>
            </w:pPr>
            <w:r>
              <w:t>Affects the rights of the industry to be engaged in proposed changes to the UNC.</w:t>
            </w:r>
          </w:p>
          <w:p w14:paraId="08113927" w14:textId="77777777" w:rsidR="004F5F9C" w:rsidRDefault="004F5F9C" w:rsidP="00C35F0B">
            <w:pPr>
              <w:pStyle w:val="ListParagraph"/>
              <w:numPr>
                <w:ilvl w:val="0"/>
                <w:numId w:val="1"/>
              </w:numPr>
              <w:ind w:left="459"/>
            </w:pPr>
            <w:r>
              <w:t>Changes the User or Transporter representation obligations.</w:t>
            </w:r>
          </w:p>
          <w:p w14:paraId="277FA138" w14:textId="1E0A0BA2" w:rsidR="004F5F9C" w:rsidRDefault="00CA45B6" w:rsidP="00C35F0B">
            <w:pPr>
              <w:pStyle w:val="ListParagraph"/>
              <w:numPr>
                <w:ilvl w:val="0"/>
                <w:numId w:val="1"/>
              </w:numPr>
              <w:ind w:left="459"/>
            </w:pPr>
            <w:r>
              <w:t>Changes any Authority decision-making capacity.</w:t>
            </w:r>
          </w:p>
        </w:tc>
      </w:tr>
    </w:tbl>
    <w:p w14:paraId="51CF2E3D" w14:textId="3107DE26" w:rsidR="00227B67" w:rsidRDefault="00227B67"/>
    <w:p w14:paraId="3164099E" w14:textId="70E9B4A1" w:rsidR="00EA1C40" w:rsidRDefault="00EA1C40">
      <w:r>
        <w:t xml:space="preserve">Proposers should also remember that modifications likely to introduce </w:t>
      </w:r>
      <w:r w:rsidR="00AE77F7">
        <w:t xml:space="preserve">any kind of </w:t>
      </w:r>
      <w:r>
        <w:t xml:space="preserve">discrimination between </w:t>
      </w:r>
      <w:r w:rsidR="00AE77F7">
        <w:t>classes of parties across the industry normally require Authority direction.</w:t>
      </w:r>
    </w:p>
    <w:sectPr w:rsidR="00EA1C40" w:rsidSect="005A5BDD">
      <w:headerReference w:type="default" r:id="rId7"/>
      <w:footerReference w:type="default" r:id="rId8"/>
      <w:pgSz w:w="11900" w:h="16840"/>
      <w:pgMar w:top="1440" w:right="141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F3F5" w14:textId="77777777" w:rsidR="009614A8" w:rsidRDefault="009614A8" w:rsidP="005A5BDD">
      <w:r>
        <w:separator/>
      </w:r>
    </w:p>
  </w:endnote>
  <w:endnote w:type="continuationSeparator" w:id="0">
    <w:p w14:paraId="091463FA" w14:textId="77777777" w:rsidR="009614A8" w:rsidRDefault="009614A8" w:rsidP="005A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EC7A" w14:textId="5E85DB98" w:rsidR="00632D2C" w:rsidRDefault="00632D2C" w:rsidP="005A5BDD">
    <w:pPr>
      <w:pStyle w:val="Footer"/>
      <w:pBdr>
        <w:top w:val="single" w:sz="4" w:space="1" w:color="auto"/>
      </w:pBdr>
      <w:tabs>
        <w:tab w:val="clear" w:pos="8640"/>
        <w:tab w:val="right" w:pos="9356"/>
      </w:tabs>
      <w:rPr>
        <w:sz w:val="16"/>
      </w:rPr>
    </w:pPr>
    <w:r w:rsidRPr="005A5BDD">
      <w:rPr>
        <w:sz w:val="16"/>
      </w:rPr>
      <w:t>UNC Self Governance Guidance</w:t>
    </w:r>
    <w:r w:rsidRPr="005A5BDD">
      <w:rPr>
        <w:sz w:val="16"/>
      </w:rPr>
      <w:tab/>
    </w:r>
    <w:r w:rsidRPr="005A5BDD">
      <w:rPr>
        <w:sz w:val="16"/>
      </w:rPr>
      <w:tab/>
    </w:r>
    <w:r>
      <w:rPr>
        <w:sz w:val="16"/>
      </w:rPr>
      <w:t>18 August</w:t>
    </w:r>
    <w:r w:rsidRPr="005A5BDD">
      <w:rPr>
        <w:sz w:val="16"/>
      </w:rPr>
      <w:t xml:space="preserve"> 2016</w:t>
    </w:r>
  </w:p>
  <w:p w14:paraId="4EC21065" w14:textId="0BF97274" w:rsidR="00632D2C" w:rsidRPr="005A5BDD" w:rsidRDefault="00632D2C" w:rsidP="005A5BDD">
    <w:pPr>
      <w:pStyle w:val="Footer"/>
      <w:pBdr>
        <w:top w:val="single" w:sz="4" w:space="1" w:color="auto"/>
      </w:pBdr>
      <w:tabs>
        <w:tab w:val="clear" w:pos="8640"/>
        <w:tab w:val="right" w:pos="9356"/>
      </w:tabs>
      <w:rPr>
        <w:sz w:val="16"/>
      </w:rPr>
    </w:pPr>
    <w:r>
      <w:rPr>
        <w:sz w:val="16"/>
      </w:rPr>
      <w:tab/>
    </w:r>
    <w:r>
      <w:rPr>
        <w:sz w:val="16"/>
      </w:rPr>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F806" w14:textId="77777777" w:rsidR="009614A8" w:rsidRDefault="009614A8" w:rsidP="005A5BDD">
      <w:r>
        <w:separator/>
      </w:r>
    </w:p>
  </w:footnote>
  <w:footnote w:type="continuationSeparator" w:id="0">
    <w:p w14:paraId="56CAA2D6" w14:textId="77777777" w:rsidR="009614A8" w:rsidRDefault="009614A8" w:rsidP="005A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D80B" w14:textId="77777777" w:rsidR="00632D2C" w:rsidRDefault="00632D2C" w:rsidP="005A5BDD">
    <w:pPr>
      <w:pStyle w:val="Header"/>
      <w:pBdr>
        <w:bottom w:val="single" w:sz="4" w:space="1" w:color="auto"/>
      </w:pBdr>
      <w:rPr>
        <w:sz w:val="18"/>
      </w:rPr>
    </w:pPr>
  </w:p>
  <w:p w14:paraId="7E59D7EA" w14:textId="77777777" w:rsidR="00632D2C" w:rsidRPr="005A5BDD" w:rsidRDefault="00632D2C" w:rsidP="005A5BDD">
    <w:pPr>
      <w:pStyle w:val="Header"/>
      <w:pBdr>
        <w:bottom w:val="single" w:sz="4" w:space="1" w:color="auto"/>
      </w:pBd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B62D0"/>
    <w:multiLevelType w:val="hybridMultilevel"/>
    <w:tmpl w:val="070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81"/>
    <w:rsid w:val="00080B0E"/>
    <w:rsid w:val="000A178A"/>
    <w:rsid w:val="000A6FB8"/>
    <w:rsid w:val="000B78AB"/>
    <w:rsid w:val="00227B67"/>
    <w:rsid w:val="002D14B4"/>
    <w:rsid w:val="00496A81"/>
    <w:rsid w:val="004E6650"/>
    <w:rsid w:val="004F5F9C"/>
    <w:rsid w:val="005A5BDD"/>
    <w:rsid w:val="00632D2C"/>
    <w:rsid w:val="00795497"/>
    <w:rsid w:val="007E0520"/>
    <w:rsid w:val="00862ED7"/>
    <w:rsid w:val="00915C3D"/>
    <w:rsid w:val="00946155"/>
    <w:rsid w:val="009614A8"/>
    <w:rsid w:val="00983112"/>
    <w:rsid w:val="009B002A"/>
    <w:rsid w:val="00A21249"/>
    <w:rsid w:val="00AD2633"/>
    <w:rsid w:val="00AE77F7"/>
    <w:rsid w:val="00B4133C"/>
    <w:rsid w:val="00B92837"/>
    <w:rsid w:val="00BA3F7B"/>
    <w:rsid w:val="00C12FCC"/>
    <w:rsid w:val="00C35F0B"/>
    <w:rsid w:val="00CA45B6"/>
    <w:rsid w:val="00D57BEC"/>
    <w:rsid w:val="00D73180"/>
    <w:rsid w:val="00DD77F3"/>
    <w:rsid w:val="00E16442"/>
    <w:rsid w:val="00EA1C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05A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F7B"/>
    <w:rPr>
      <w:rFonts w:ascii="Lucida Grande" w:hAnsi="Lucida Grande" w:cs="Lucida Grande"/>
      <w:sz w:val="18"/>
      <w:szCs w:val="18"/>
    </w:rPr>
  </w:style>
  <w:style w:type="paragraph" w:styleId="Header">
    <w:name w:val="header"/>
    <w:basedOn w:val="Normal"/>
    <w:link w:val="HeaderChar"/>
    <w:uiPriority w:val="99"/>
    <w:unhideWhenUsed/>
    <w:rsid w:val="005A5BDD"/>
    <w:pPr>
      <w:tabs>
        <w:tab w:val="center" w:pos="4320"/>
        <w:tab w:val="right" w:pos="8640"/>
      </w:tabs>
    </w:pPr>
  </w:style>
  <w:style w:type="character" w:customStyle="1" w:styleId="HeaderChar">
    <w:name w:val="Header Char"/>
    <w:basedOn w:val="DefaultParagraphFont"/>
    <w:link w:val="Header"/>
    <w:uiPriority w:val="99"/>
    <w:rsid w:val="005A5BDD"/>
  </w:style>
  <w:style w:type="paragraph" w:styleId="Footer">
    <w:name w:val="footer"/>
    <w:basedOn w:val="Normal"/>
    <w:link w:val="FooterChar"/>
    <w:uiPriority w:val="99"/>
    <w:unhideWhenUsed/>
    <w:rsid w:val="005A5BDD"/>
    <w:pPr>
      <w:tabs>
        <w:tab w:val="center" w:pos="4320"/>
        <w:tab w:val="right" w:pos="8640"/>
      </w:tabs>
    </w:pPr>
  </w:style>
  <w:style w:type="character" w:customStyle="1" w:styleId="FooterChar">
    <w:name w:val="Footer Char"/>
    <w:basedOn w:val="DefaultParagraphFont"/>
    <w:link w:val="Footer"/>
    <w:uiPriority w:val="99"/>
    <w:rsid w:val="005A5BDD"/>
  </w:style>
  <w:style w:type="table" w:styleId="TableGrid">
    <w:name w:val="Table Grid"/>
    <w:basedOn w:val="TableNormal"/>
    <w:uiPriority w:val="59"/>
    <w:rsid w:val="0022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Company>Joint Office</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Jenkins</dc:creator>
  <cp:keywords/>
  <dc:description/>
  <cp:lastModifiedBy>Bob Fletcher</cp:lastModifiedBy>
  <cp:revision>2</cp:revision>
  <dcterms:created xsi:type="dcterms:W3CDTF">2018-02-28T16:32:00Z</dcterms:created>
  <dcterms:modified xsi:type="dcterms:W3CDTF">2018-02-28T16:32:00Z</dcterms:modified>
</cp:coreProperties>
</file>