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B06796">
        <w:rPr>
          <w:rFonts w:cs="Arial"/>
          <w:b/>
          <w:color w:val="3E5AA8" w:themeColor="accent1"/>
          <w:sz w:val="22"/>
          <w:szCs w:val="22"/>
        </w:rPr>
        <w:t>4667</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A763E"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C0207"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E574A0" w:rsidRPr="00E574A0" w:rsidRDefault="00E574A0" w:rsidP="00E574A0">
            <w:pPr>
              <w:keepNext/>
              <w:keepLines/>
              <w:rPr>
                <w:rFonts w:cs="Arial"/>
              </w:rPr>
            </w:pPr>
            <w:r w:rsidRPr="00E574A0">
              <w:rPr>
                <w:rFonts w:cs="Arial"/>
                <w:bCs/>
              </w:rPr>
              <w:t xml:space="preserve">DSC Service Description Table cosmetic changes to Service Lines </w:t>
            </w:r>
            <w:r w:rsidR="00715FD1">
              <w:rPr>
                <w:rFonts w:cs="Arial"/>
                <w:bCs/>
              </w:rPr>
              <w:t>May 2018</w:t>
            </w:r>
          </w:p>
          <w:p w:rsidR="006A724E" w:rsidRPr="00683A0C" w:rsidRDefault="006A724E" w:rsidP="00BB5A00">
            <w:pPr>
              <w:rPr>
                <w:rFonts w:ascii="Arial" w:hAnsi="Arial" w:cs="Arial"/>
                <w:sz w:val="20"/>
                <w:szCs w:val="16"/>
              </w:rPr>
            </w:pP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4</w:t>
            </w:r>
            <w:r w:rsidRPr="00E574A0">
              <w:rPr>
                <w:rFonts w:ascii="Arial" w:hAnsi="Arial" w:cs="Arial"/>
                <w:sz w:val="20"/>
                <w:szCs w:val="16"/>
                <w:vertAlign w:val="superscript"/>
              </w:rPr>
              <w:t>th</w:t>
            </w:r>
            <w:r>
              <w:rPr>
                <w:rFonts w:ascii="Arial" w:hAnsi="Arial" w:cs="Arial"/>
                <w:sz w:val="20"/>
                <w:szCs w:val="16"/>
              </w:rPr>
              <w:t xml:space="preserve"> May 2018</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E574A0">
            <w:pPr>
              <w:rPr>
                <w:rFonts w:ascii="Arial" w:hAnsi="Arial" w:cs="Arial"/>
                <w:sz w:val="20"/>
                <w:szCs w:val="16"/>
              </w:rPr>
            </w:pPr>
            <w:r w:rsidRPr="00683A0C">
              <w:rPr>
                <w:rFonts w:ascii="Arial" w:hAnsi="Arial" w:cs="Arial"/>
                <w:sz w:val="20"/>
                <w:szCs w:val="16"/>
              </w:rPr>
              <w:t xml:space="preserve">Proposal </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w:t>
            </w:r>
          </w:p>
          <w:p w:rsidR="00AC1AA5" w:rsidRPr="00E574A0" w:rsidRDefault="00E574A0" w:rsidP="00AC1AA5">
            <w:pPr>
              <w:rPr>
                <w:rFonts w:ascii="MS Gothic" w:eastAsia="MS Gothic" w:hAnsi="MS Gothic" w:cs="MS Gothic"/>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National Grid Transmission</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Distribution Network Operator</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iGT</w:t>
            </w:r>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AC1AA5"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Updates to the DSC Service Description table. Specifically service lines:</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SA2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06</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SA18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03</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35</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36</w:t>
            </w:r>
          </w:p>
          <w:p w:rsidR="00E574A0" w:rsidRDefault="00E574A0" w:rsidP="002260EF">
            <w:pPr>
              <w:spacing w:beforeLines="40" w:before="96" w:afterLines="40" w:after="96"/>
              <w:rPr>
                <w:rFonts w:ascii="Arial" w:hAnsi="Arial" w:cs="Arial"/>
                <w:b/>
                <w:bCs/>
                <w:iCs/>
                <w:color w:val="000000" w:themeColor="text1"/>
                <w:lang w:val="en-US"/>
              </w:rPr>
            </w:pPr>
            <w:proofErr w:type="spellStart"/>
            <w:r w:rsidRPr="00E574A0">
              <w:rPr>
                <w:rFonts w:ascii="Arial" w:hAnsi="Arial" w:cs="Arial"/>
                <w:b/>
                <w:bCs/>
                <w:iCs/>
                <w:color w:val="000000" w:themeColor="text1"/>
                <w:lang w:val="en-US"/>
              </w:rPr>
              <w:t>ASiGT</w:t>
            </w:r>
            <w:proofErr w:type="spellEnd"/>
            <w:r w:rsidRPr="00E574A0">
              <w:rPr>
                <w:rFonts w:ascii="Arial" w:hAnsi="Arial" w:cs="Arial"/>
                <w:b/>
                <w:bCs/>
                <w:iCs/>
                <w:color w:val="000000" w:themeColor="text1"/>
                <w:lang w:val="en-US"/>
              </w:rPr>
              <w:t xml:space="preserve"> NC SA21-02</w:t>
            </w:r>
          </w:p>
          <w:p w:rsidR="00E574A0" w:rsidRDefault="00E574A0" w:rsidP="002260EF">
            <w:pPr>
              <w:spacing w:beforeLines="40" w:before="96" w:afterLines="40" w:after="96"/>
              <w:rPr>
                <w:rFonts w:ascii="Arial" w:hAnsi="Arial" w:cs="Arial"/>
                <w:b/>
                <w:bCs/>
                <w:iCs/>
                <w:color w:val="000000" w:themeColor="text1"/>
                <w:lang w:val="en-US"/>
              </w:rPr>
            </w:pPr>
          </w:p>
          <w:p w:rsidR="00715FD1" w:rsidRPr="00715FD1" w:rsidRDefault="00715FD1" w:rsidP="00715FD1">
            <w:r w:rsidRPr="00715FD1">
              <w:rPr>
                <w:rFonts w:cs="Arial"/>
                <w:b/>
                <w:bCs/>
              </w:rPr>
              <w:t>Note:</w:t>
            </w:r>
            <w:r w:rsidRPr="00715FD1">
              <w:rPr>
                <w:rFonts w:cs="Arial"/>
                <w:bCs/>
              </w:rPr>
              <w:t xml:space="preserve"> No service is being created, amended or deleted by this Change Proposal, there is nothing to actually implement. The Change Management Committee will be requested to vary the </w:t>
            </w:r>
            <w:r w:rsidRPr="00715FD1">
              <w:t>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715FD1" w:rsidRPr="00715FD1" w:rsidRDefault="00715FD1" w:rsidP="00715FD1"/>
          <w:p w:rsidR="00715FD1" w:rsidRPr="00715FD1" w:rsidRDefault="00715FD1" w:rsidP="00715FD1">
            <w:pPr>
              <w:rPr>
                <w:rFonts w:cs="Arial"/>
                <w:bCs/>
              </w:rPr>
            </w:pPr>
            <w:r w:rsidRPr="00715FD1">
              <w:t>The amended Service Description Table will be issued to</w:t>
            </w:r>
            <w:r>
              <w:t xml:space="preserve"> each</w:t>
            </w:r>
            <w:r w:rsidRPr="00715FD1">
              <w:t xml:space="preserve"> DSC Contract</w:t>
            </w:r>
            <w:r>
              <w:t xml:space="preserve"> Manager</w:t>
            </w:r>
            <w:r w:rsidRPr="00715FD1">
              <w:t xml:space="preserve">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p w:rsidR="00E574A0"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 xml:space="preserve"> </w:t>
            </w: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rsidR="00AC1AA5" w:rsidRPr="00683A0C" w:rsidRDefault="00E574A0" w:rsidP="00AC1AA5">
            <w:pPr>
              <w:rPr>
                <w:rFonts w:ascii="Arial" w:hAnsi="Arial" w:cs="Arial"/>
                <w:b/>
                <w:sz w:val="20"/>
                <w:szCs w:val="16"/>
              </w:rPr>
            </w:pPr>
            <w:r>
              <w:rPr>
                <w:rFonts w:ascii="Arial" w:hAnsi="Arial" w:cs="Arial"/>
                <w:b/>
                <w:sz w:val="20"/>
                <w:szCs w:val="16"/>
              </w:rPr>
              <w:t>Not applicable</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715FD1" w:rsidP="00AC1AA5">
            <w:pPr>
              <w:rPr>
                <w:rFonts w:ascii="Arial" w:hAnsi="Arial" w:cs="Arial"/>
                <w:b/>
                <w:sz w:val="20"/>
                <w:szCs w:val="16"/>
              </w:rPr>
            </w:pPr>
            <w:r>
              <w:rPr>
                <w:rFonts w:ascii="Arial" w:hAnsi="Arial" w:cs="Arial"/>
                <w:b/>
                <w:sz w:val="20"/>
                <w:szCs w:val="16"/>
              </w:rPr>
              <w:t>Not applicable</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Pr="00683A0C" w:rsidRDefault="00715FD1" w:rsidP="00AC1AA5">
            <w:pPr>
              <w:rPr>
                <w:rFonts w:ascii="Arial" w:hAnsi="Arial" w:cs="Arial"/>
                <w:sz w:val="20"/>
                <w:szCs w:val="16"/>
              </w:rPr>
            </w:pPr>
            <w:r>
              <w:rPr>
                <w:rFonts w:ascii="Arial" w:hAnsi="Arial" w:cs="Arial"/>
                <w:sz w:val="20"/>
                <w:szCs w:val="16"/>
              </w:rPr>
              <w:t>The Service Description Table will be up to date</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715FD1" w:rsidP="00AC1AA5">
            <w:pPr>
              <w:rPr>
                <w:rFonts w:ascii="Arial" w:hAnsi="Arial" w:cs="Arial"/>
                <w:b/>
                <w:sz w:val="20"/>
                <w:szCs w:val="16"/>
              </w:rPr>
            </w:pPr>
            <w:r>
              <w:rPr>
                <w:rFonts w:ascii="Arial" w:hAnsi="Arial" w:cs="Arial"/>
                <w:b/>
                <w:sz w:val="20"/>
                <w:szCs w:val="16"/>
              </w:rPr>
              <w:t>Not applicable</w:t>
            </w: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r w:rsidR="00AC1AA5" w:rsidRPr="00683A0C">
              <w:rPr>
                <w:rFonts w:ascii="Arial" w:hAnsi="Arial" w:cs="Arial"/>
                <w:sz w:val="20"/>
                <w:szCs w:val="16"/>
              </w:rPr>
              <w:t xml:space="preserve">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sectPr w:rsidR="007B4360" w:rsidRPr="00C07FCB" w:rsidSect="00883321">
      <w:headerReference w:type="even" r:id="rId14"/>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2F" w:rsidRDefault="0068652F" w:rsidP="00913EF2">
      <w:pPr>
        <w:spacing w:after="0" w:line="240" w:lineRule="auto"/>
      </w:pPr>
      <w:r>
        <w:separator/>
      </w:r>
    </w:p>
  </w:endnote>
  <w:endnote w:type="continuationSeparator" w:id="0">
    <w:p w:rsidR="0068652F" w:rsidRDefault="0068652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2F" w:rsidRDefault="0068652F" w:rsidP="00913EF2">
      <w:pPr>
        <w:spacing w:after="0" w:line="240" w:lineRule="auto"/>
      </w:pPr>
      <w:r>
        <w:separator/>
      </w:r>
    </w:p>
  </w:footnote>
  <w:footnote w:type="continuationSeparator" w:id="0">
    <w:p w:rsidR="0068652F" w:rsidRDefault="0068652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3541F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3541F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3541F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6BCA"/>
    <w:rsid w:val="00093D9D"/>
    <w:rsid w:val="000A2BDC"/>
    <w:rsid w:val="000C79EE"/>
    <w:rsid w:val="000D66D3"/>
    <w:rsid w:val="000E3D49"/>
    <w:rsid w:val="001232E4"/>
    <w:rsid w:val="00146769"/>
    <w:rsid w:val="00160739"/>
    <w:rsid w:val="00186FB8"/>
    <w:rsid w:val="00192B0D"/>
    <w:rsid w:val="00214089"/>
    <w:rsid w:val="002260EF"/>
    <w:rsid w:val="002427E0"/>
    <w:rsid w:val="002B5CD2"/>
    <w:rsid w:val="002E2C40"/>
    <w:rsid w:val="003541F8"/>
    <w:rsid w:val="003612A8"/>
    <w:rsid w:val="003C3FD8"/>
    <w:rsid w:val="003C63DC"/>
    <w:rsid w:val="003D4B81"/>
    <w:rsid w:val="00403557"/>
    <w:rsid w:val="00456196"/>
    <w:rsid w:val="004935D2"/>
    <w:rsid w:val="004B0695"/>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8652F"/>
    <w:rsid w:val="00694E1F"/>
    <w:rsid w:val="006A724E"/>
    <w:rsid w:val="006E4337"/>
    <w:rsid w:val="006F6DC7"/>
    <w:rsid w:val="00703D81"/>
    <w:rsid w:val="00703E45"/>
    <w:rsid w:val="00715FD1"/>
    <w:rsid w:val="007B4360"/>
    <w:rsid w:val="007C5A34"/>
    <w:rsid w:val="007D7EAF"/>
    <w:rsid w:val="007F0246"/>
    <w:rsid w:val="00816C17"/>
    <w:rsid w:val="00842204"/>
    <w:rsid w:val="00883321"/>
    <w:rsid w:val="008D217D"/>
    <w:rsid w:val="008E3A3A"/>
    <w:rsid w:val="00913EF2"/>
    <w:rsid w:val="009B0C30"/>
    <w:rsid w:val="009C272A"/>
    <w:rsid w:val="009D0DF1"/>
    <w:rsid w:val="00A1080B"/>
    <w:rsid w:val="00A20C75"/>
    <w:rsid w:val="00A74C4A"/>
    <w:rsid w:val="00AC1AA5"/>
    <w:rsid w:val="00AC2008"/>
    <w:rsid w:val="00AC5A48"/>
    <w:rsid w:val="00AC6F36"/>
    <w:rsid w:val="00AD6B73"/>
    <w:rsid w:val="00B06796"/>
    <w:rsid w:val="00B10D89"/>
    <w:rsid w:val="00B22144"/>
    <w:rsid w:val="00B72A9D"/>
    <w:rsid w:val="00BA7FCA"/>
    <w:rsid w:val="00BB5A00"/>
    <w:rsid w:val="00BC0814"/>
    <w:rsid w:val="00BE7A20"/>
    <w:rsid w:val="00C07FCB"/>
    <w:rsid w:val="00C15E8B"/>
    <w:rsid w:val="00C263C7"/>
    <w:rsid w:val="00C34C4F"/>
    <w:rsid w:val="00C51D0F"/>
    <w:rsid w:val="00C90516"/>
    <w:rsid w:val="00D0145E"/>
    <w:rsid w:val="00D22D52"/>
    <w:rsid w:val="00D50E9A"/>
    <w:rsid w:val="00D5333F"/>
    <w:rsid w:val="00D54CC9"/>
    <w:rsid w:val="00DD59C5"/>
    <w:rsid w:val="00E45364"/>
    <w:rsid w:val="00E574A0"/>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48869A-848F-4195-A62E-5EA1032F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2018-06-05T14:15:00Z</dcterms:created>
  <dcterms:modified xsi:type="dcterms:W3CDTF">2018-06-05T14:15:00Z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-1212092191</vt:i4>
  </property>
  <property fmtid="{D5CDD505-2E9C-101B-9397-08002B2CF9AE}" pid="4" name="_NewReviewCycle">
    <vt:lpwstr/>
  </property>
  <property fmtid="{D5CDD505-2E9C-101B-9397-08002B2CF9AE}" pid="5" name="_EmailSubject">
    <vt:lpwstr>ChMC submissions for June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-248093468</vt:i4>
  </property>
</Properties>
</file>