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951"/>
        <w:tblW w:w="0" w:type="auto"/>
        <w:tblLook w:val="04A0" w:firstRow="1" w:lastRow="0" w:firstColumn="1" w:lastColumn="0" w:noHBand="0" w:noVBand="1"/>
      </w:tblPr>
      <w:tblGrid>
        <w:gridCol w:w="1719"/>
        <w:gridCol w:w="1791"/>
        <w:gridCol w:w="1985"/>
        <w:gridCol w:w="2126"/>
        <w:gridCol w:w="2268"/>
        <w:gridCol w:w="1985"/>
        <w:gridCol w:w="2300"/>
      </w:tblGrid>
      <w:tr w:rsidR="00D143DF" w:rsidRPr="00D143DF" w:rsidTr="00D2627C">
        <w:trPr>
          <w:trHeight w:val="905"/>
        </w:trPr>
        <w:tc>
          <w:tcPr>
            <w:tcW w:w="1719" w:type="dxa"/>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Date</w:t>
            </w:r>
          </w:p>
        </w:tc>
        <w:tc>
          <w:tcPr>
            <w:tcW w:w="1791" w:type="dxa"/>
          </w:tcPr>
          <w:p w:rsidR="00D143DF" w:rsidRPr="00D143DF" w:rsidRDefault="00D143DF" w:rsidP="00D143DF">
            <w:pPr>
              <w:rPr>
                <w:rFonts w:ascii="Arial" w:hAnsi="Arial" w:cs="Arial"/>
                <w:b/>
                <w:sz w:val="18"/>
                <w:szCs w:val="18"/>
              </w:rPr>
            </w:pPr>
          </w:p>
          <w:p w:rsidR="00D143DF" w:rsidRPr="00D143DF" w:rsidRDefault="00D143DF" w:rsidP="00DA58E8">
            <w:pPr>
              <w:jc w:val="center"/>
              <w:rPr>
                <w:rFonts w:ascii="Arial" w:hAnsi="Arial" w:cs="Arial"/>
                <w:sz w:val="18"/>
                <w:szCs w:val="18"/>
              </w:rPr>
            </w:pPr>
            <w:r w:rsidRPr="00D143DF">
              <w:rPr>
                <w:rFonts w:ascii="Arial" w:hAnsi="Arial" w:cs="Arial"/>
                <w:sz w:val="18"/>
                <w:szCs w:val="18"/>
              </w:rPr>
              <w:t>2</w:t>
            </w:r>
            <w:r w:rsidR="00DA58E8">
              <w:rPr>
                <w:rFonts w:ascii="Arial" w:hAnsi="Arial" w:cs="Arial"/>
                <w:sz w:val="18"/>
                <w:szCs w:val="18"/>
              </w:rPr>
              <w:t>7/04</w:t>
            </w:r>
            <w:r w:rsidRPr="00D143DF">
              <w:rPr>
                <w:rFonts w:ascii="Arial" w:hAnsi="Arial" w:cs="Arial"/>
                <w:sz w:val="18"/>
                <w:szCs w:val="18"/>
              </w:rPr>
              <w:t>/2018</w:t>
            </w:r>
          </w:p>
        </w:tc>
        <w:tc>
          <w:tcPr>
            <w:tcW w:w="1985" w:type="dxa"/>
          </w:tcPr>
          <w:p w:rsidR="00D143DF" w:rsidRPr="00D143DF" w:rsidRDefault="00D143DF" w:rsidP="00D143DF">
            <w:pP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Raised by (include contact details)</w:t>
            </w:r>
          </w:p>
        </w:tc>
        <w:tc>
          <w:tcPr>
            <w:tcW w:w="8679" w:type="dxa"/>
            <w:gridSpan w:val="4"/>
          </w:tcPr>
          <w:p w:rsidR="000A3FE7" w:rsidRPr="00A40217" w:rsidRDefault="000A3FE7" w:rsidP="000A3FE7">
            <w:pPr>
              <w:rPr>
                <w:rFonts w:ascii="Arial" w:hAnsi="Arial" w:cs="Arial"/>
                <w:sz w:val="18"/>
                <w:szCs w:val="18"/>
              </w:rPr>
            </w:pPr>
            <w:r w:rsidRPr="00A40217">
              <w:rPr>
                <w:rFonts w:ascii="Arial" w:hAnsi="Arial" w:cs="Arial"/>
                <w:sz w:val="18"/>
                <w:szCs w:val="18"/>
              </w:rPr>
              <w:t>Mark Bellman</w:t>
            </w:r>
          </w:p>
          <w:p w:rsidR="00D143DF" w:rsidRPr="00A40217" w:rsidRDefault="000A3FE7" w:rsidP="000A3FE7">
            <w:pPr>
              <w:rPr>
                <w:rFonts w:ascii="Arial" w:hAnsi="Arial" w:cs="Arial"/>
                <w:sz w:val="18"/>
                <w:szCs w:val="18"/>
              </w:rPr>
            </w:pPr>
            <w:r w:rsidRPr="00A40217">
              <w:rPr>
                <w:rFonts w:ascii="Arial" w:hAnsi="Arial" w:cs="Arial"/>
                <w:sz w:val="18"/>
                <w:szCs w:val="18"/>
              </w:rPr>
              <w:t xml:space="preserve">Scottish Power </w:t>
            </w:r>
            <w:r w:rsidRPr="00A40217">
              <w:rPr>
                <w:rFonts w:ascii="Arial" w:eastAsia="Times New Roman" w:hAnsi="Arial" w:cs="Arial"/>
                <w:sz w:val="18"/>
                <w:szCs w:val="18"/>
              </w:rPr>
              <w:t xml:space="preserve">Tel: </w:t>
            </w:r>
            <w:r w:rsidR="00A40217" w:rsidRPr="00A40217">
              <w:rPr>
                <w:rFonts w:ascii="Arial" w:eastAsia="Times New Roman" w:hAnsi="Arial" w:cs="Arial"/>
                <w:sz w:val="18"/>
                <w:szCs w:val="18"/>
              </w:rPr>
              <w:t xml:space="preserve"> 07841 523648</w:t>
            </w:r>
          </w:p>
          <w:p w:rsidR="000A3FE7" w:rsidRPr="00D143DF" w:rsidRDefault="00DA58E8" w:rsidP="00DA58E8">
            <w:pPr>
              <w:rPr>
                <w:rFonts w:ascii="Arial" w:hAnsi="Arial" w:cs="Arial"/>
                <w:sz w:val="18"/>
                <w:szCs w:val="18"/>
              </w:rPr>
            </w:pPr>
            <w:hyperlink r:id="rId7" w:history="1">
              <w:r w:rsidRPr="00163285">
                <w:rPr>
                  <w:rStyle w:val="Hyperlink"/>
                  <w:rFonts w:ascii="Arial" w:hAnsi="Arial" w:cs="Arial"/>
                  <w:sz w:val="18"/>
                  <w:szCs w:val="18"/>
                </w:rPr>
                <w:t>Mark.Bellman@scottishpower.com</w:t>
              </w:r>
            </w:hyperlink>
            <w:r>
              <w:rPr>
                <w:rFonts w:ascii="Arial" w:hAnsi="Arial" w:cs="Arial"/>
                <w:sz w:val="18"/>
                <w:szCs w:val="18"/>
              </w:rPr>
              <w:t xml:space="preserve"> </w:t>
            </w:r>
          </w:p>
        </w:tc>
      </w:tr>
      <w:tr w:rsidR="00D143DF" w:rsidRPr="00D143DF" w:rsidTr="00D2627C">
        <w:trPr>
          <w:trHeight w:val="832"/>
        </w:trPr>
        <w:tc>
          <w:tcPr>
            <w:tcW w:w="1719" w:type="dxa"/>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r w:rsidRPr="00D143DF">
              <w:rPr>
                <w:rFonts w:ascii="Arial" w:hAnsi="Arial" w:cs="Arial"/>
                <w:b/>
                <w:sz w:val="18"/>
                <w:szCs w:val="18"/>
              </w:rPr>
              <w:t>There is a risk that…</w:t>
            </w:r>
          </w:p>
          <w:p w:rsidR="00D143DF" w:rsidRPr="00D143DF" w:rsidRDefault="00D143DF" w:rsidP="00D143DF">
            <w:pPr>
              <w:rPr>
                <w:rFonts w:ascii="Arial" w:hAnsi="Arial" w:cs="Arial"/>
                <w:b/>
                <w:sz w:val="18"/>
                <w:szCs w:val="18"/>
              </w:rPr>
            </w:pPr>
            <w:r w:rsidRPr="00D143DF">
              <w:rPr>
                <w:rFonts w:ascii="Arial" w:hAnsi="Arial" w:cs="Arial"/>
                <w:b/>
                <w:sz w:val="18"/>
                <w:szCs w:val="18"/>
              </w:rPr>
              <w:t>(Risk Description)</w:t>
            </w:r>
          </w:p>
        </w:tc>
        <w:tc>
          <w:tcPr>
            <w:tcW w:w="12455" w:type="dxa"/>
            <w:gridSpan w:val="6"/>
          </w:tcPr>
          <w:p w:rsidR="00D143DF" w:rsidRPr="00D143DF" w:rsidRDefault="00D143DF" w:rsidP="00D143DF">
            <w:pPr>
              <w:rPr>
                <w:rFonts w:ascii="Arial" w:hAnsi="Arial" w:cs="Arial"/>
                <w:sz w:val="18"/>
                <w:szCs w:val="18"/>
              </w:rPr>
            </w:pPr>
          </w:p>
          <w:p w:rsidR="00D143DF" w:rsidRPr="00D143DF" w:rsidRDefault="000C52D4" w:rsidP="000C52D4">
            <w:pPr>
              <w:rPr>
                <w:rFonts w:ascii="Arial" w:hAnsi="Arial" w:cs="Arial"/>
                <w:sz w:val="18"/>
                <w:szCs w:val="18"/>
              </w:rPr>
            </w:pPr>
            <w:r>
              <w:rPr>
                <w:rFonts w:ascii="Arial" w:hAnsi="Arial" w:cs="Arial"/>
                <w:sz w:val="18"/>
                <w:szCs w:val="18"/>
              </w:rPr>
              <w:t xml:space="preserve">....  the </w:t>
            </w:r>
            <w:r>
              <w:rPr>
                <w:rFonts w:ascii="Arial" w:hAnsi="Arial" w:cs="Arial"/>
                <w:sz w:val="18"/>
                <w:szCs w:val="18"/>
              </w:rPr>
              <w:t>c</w:t>
            </w:r>
            <w:r>
              <w:rPr>
                <w:rFonts w:ascii="Arial" w:hAnsi="Arial" w:cs="Arial"/>
                <w:sz w:val="18"/>
                <w:szCs w:val="18"/>
              </w:rPr>
              <w:t>alculation</w:t>
            </w:r>
            <w:r>
              <w:rPr>
                <w:rFonts w:ascii="Arial" w:hAnsi="Arial" w:cs="Arial"/>
                <w:sz w:val="18"/>
                <w:szCs w:val="18"/>
              </w:rPr>
              <w:t xml:space="preserve"> </w:t>
            </w:r>
            <w:r>
              <w:rPr>
                <w:rFonts w:ascii="Arial" w:hAnsi="Arial" w:cs="Arial"/>
                <w:sz w:val="18"/>
                <w:szCs w:val="18"/>
              </w:rPr>
              <w:t xml:space="preserve">of </w:t>
            </w:r>
            <w:r>
              <w:rPr>
                <w:rFonts w:ascii="Arial" w:hAnsi="Arial" w:cs="Arial"/>
                <w:sz w:val="18"/>
                <w:szCs w:val="18"/>
              </w:rPr>
              <w:t xml:space="preserve">thermal energy (kWh) per metered cubic foot/metre </w:t>
            </w:r>
            <w:r>
              <w:rPr>
                <w:rFonts w:ascii="Arial" w:hAnsi="Arial" w:cs="Arial"/>
                <w:sz w:val="18"/>
                <w:szCs w:val="18"/>
              </w:rPr>
              <w:t xml:space="preserve">of gas is incorrect for a site where </w:t>
            </w:r>
            <w:r w:rsidR="00DA58E8">
              <w:rPr>
                <w:rFonts w:ascii="Arial" w:hAnsi="Arial" w:cs="Arial"/>
                <w:sz w:val="18"/>
                <w:szCs w:val="18"/>
              </w:rPr>
              <w:t xml:space="preserve">site-specific correction factor (&gt;732,000kWh) </w:t>
            </w:r>
            <w:r>
              <w:rPr>
                <w:rFonts w:ascii="Arial" w:hAnsi="Arial" w:cs="Arial"/>
                <w:sz w:val="18"/>
                <w:szCs w:val="18"/>
              </w:rPr>
              <w:t xml:space="preserve">is mandatory under Thermal Regulations </w:t>
            </w:r>
            <w:r w:rsidRPr="000C52D4">
              <w:rPr>
                <w:rFonts w:ascii="Arial" w:hAnsi="Arial" w:cs="Arial"/>
                <w:sz w:val="18"/>
                <w:szCs w:val="18"/>
                <w:vertAlign w:val="superscript"/>
              </w:rPr>
              <w:t>1</w:t>
            </w:r>
          </w:p>
        </w:tc>
      </w:tr>
      <w:tr w:rsidR="00D143DF" w:rsidRPr="00D143DF" w:rsidTr="00D2627C">
        <w:trPr>
          <w:trHeight w:val="844"/>
        </w:trPr>
        <w:tc>
          <w:tcPr>
            <w:tcW w:w="1719" w:type="dxa"/>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r w:rsidRPr="00D143DF">
              <w:rPr>
                <w:rFonts w:ascii="Arial" w:hAnsi="Arial" w:cs="Arial"/>
                <w:b/>
                <w:sz w:val="18"/>
                <w:szCs w:val="18"/>
              </w:rPr>
              <w:t xml:space="preserve">Because of… </w:t>
            </w:r>
          </w:p>
          <w:p w:rsidR="00D143DF" w:rsidRPr="00D143DF" w:rsidRDefault="00D143DF" w:rsidP="00D143DF">
            <w:pPr>
              <w:rPr>
                <w:rFonts w:ascii="Arial" w:hAnsi="Arial" w:cs="Arial"/>
                <w:b/>
                <w:sz w:val="18"/>
                <w:szCs w:val="18"/>
              </w:rPr>
            </w:pPr>
            <w:r w:rsidRPr="00D143DF">
              <w:rPr>
                <w:rFonts w:ascii="Arial" w:hAnsi="Arial" w:cs="Arial"/>
                <w:b/>
                <w:sz w:val="18"/>
                <w:szCs w:val="18"/>
              </w:rPr>
              <w:t>(Cause)</w:t>
            </w:r>
          </w:p>
        </w:tc>
        <w:tc>
          <w:tcPr>
            <w:tcW w:w="12455" w:type="dxa"/>
            <w:gridSpan w:val="6"/>
          </w:tcPr>
          <w:p w:rsidR="00D143DF" w:rsidRPr="00D143DF" w:rsidRDefault="00D143DF" w:rsidP="00D143DF">
            <w:pPr>
              <w:rPr>
                <w:rFonts w:ascii="Arial" w:hAnsi="Arial" w:cs="Arial"/>
                <w:sz w:val="18"/>
                <w:szCs w:val="18"/>
              </w:rPr>
            </w:pPr>
          </w:p>
          <w:p w:rsidR="00D143DF" w:rsidRPr="00D143DF" w:rsidRDefault="000C52D4" w:rsidP="000C52D4">
            <w:pPr>
              <w:rPr>
                <w:rFonts w:ascii="Arial" w:hAnsi="Arial" w:cs="Arial"/>
                <w:sz w:val="18"/>
                <w:szCs w:val="18"/>
              </w:rPr>
            </w:pPr>
            <w:r>
              <w:rPr>
                <w:rFonts w:ascii="Arial" w:hAnsi="Arial" w:cs="Arial"/>
                <w:sz w:val="18"/>
                <w:szCs w:val="18"/>
              </w:rPr>
              <w:t xml:space="preserve">....  correction factor being </w:t>
            </w:r>
            <w:r>
              <w:rPr>
                <w:rFonts w:ascii="Arial" w:hAnsi="Arial" w:cs="Arial"/>
                <w:sz w:val="18"/>
                <w:szCs w:val="18"/>
              </w:rPr>
              <w:t>defaulted to standard correction factor</w:t>
            </w:r>
            <w:r>
              <w:rPr>
                <w:rFonts w:ascii="Arial" w:hAnsi="Arial" w:cs="Arial"/>
                <w:sz w:val="18"/>
                <w:szCs w:val="18"/>
              </w:rPr>
              <w:t xml:space="preserve"> (s</w:t>
            </w:r>
            <w:r w:rsidR="00DA58E8">
              <w:rPr>
                <w:rFonts w:ascii="Arial" w:hAnsi="Arial" w:cs="Arial"/>
                <w:sz w:val="18"/>
                <w:szCs w:val="18"/>
              </w:rPr>
              <w:t xml:space="preserve">ite-specific </w:t>
            </w:r>
            <w:r w:rsidR="00D143DF" w:rsidRPr="00D143DF">
              <w:rPr>
                <w:rFonts w:ascii="Arial" w:hAnsi="Arial" w:cs="Arial"/>
                <w:sz w:val="18"/>
                <w:szCs w:val="18"/>
              </w:rPr>
              <w:t xml:space="preserve">correction factors </w:t>
            </w:r>
            <w:r w:rsidR="00DA58E8">
              <w:rPr>
                <w:rFonts w:ascii="Arial" w:hAnsi="Arial" w:cs="Arial"/>
                <w:sz w:val="18"/>
                <w:szCs w:val="18"/>
              </w:rPr>
              <w:t xml:space="preserve">are intended to </w:t>
            </w:r>
            <w:r w:rsidR="00D143DF" w:rsidRPr="00D143DF">
              <w:rPr>
                <w:rFonts w:ascii="Arial" w:hAnsi="Arial" w:cs="Arial"/>
                <w:sz w:val="18"/>
                <w:szCs w:val="18"/>
              </w:rPr>
              <w:t xml:space="preserve">account for </w:t>
            </w:r>
            <w:r w:rsidR="00DA58E8">
              <w:rPr>
                <w:rFonts w:ascii="Arial" w:hAnsi="Arial" w:cs="Arial"/>
                <w:sz w:val="18"/>
                <w:szCs w:val="18"/>
              </w:rPr>
              <w:t xml:space="preserve">site specific conditions </w:t>
            </w:r>
            <w:r w:rsidR="00D143DF" w:rsidRPr="00D143DF">
              <w:rPr>
                <w:rFonts w:ascii="Arial" w:hAnsi="Arial" w:cs="Arial"/>
                <w:sz w:val="18"/>
                <w:szCs w:val="18"/>
              </w:rPr>
              <w:t>of temperature and pressur</w:t>
            </w:r>
            <w:r>
              <w:rPr>
                <w:rFonts w:ascii="Arial" w:hAnsi="Arial" w:cs="Arial"/>
                <w:sz w:val="18"/>
                <w:szCs w:val="18"/>
              </w:rPr>
              <w:t>e)</w:t>
            </w:r>
          </w:p>
        </w:tc>
      </w:tr>
      <w:tr w:rsidR="00D143DF" w:rsidRPr="00D143DF" w:rsidTr="00DA58E8">
        <w:trPr>
          <w:trHeight w:val="854"/>
        </w:trPr>
        <w:tc>
          <w:tcPr>
            <w:tcW w:w="1719" w:type="dxa"/>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r w:rsidRPr="00D143DF">
              <w:rPr>
                <w:rFonts w:ascii="Arial" w:hAnsi="Arial" w:cs="Arial"/>
                <w:b/>
                <w:sz w:val="18"/>
                <w:szCs w:val="18"/>
              </w:rPr>
              <w:t xml:space="preserve">Leading to… </w:t>
            </w:r>
          </w:p>
          <w:p w:rsidR="00D143DF" w:rsidRPr="00D143DF" w:rsidRDefault="00D143DF" w:rsidP="00D143DF">
            <w:pPr>
              <w:rPr>
                <w:rFonts w:ascii="Arial" w:hAnsi="Arial" w:cs="Arial"/>
                <w:b/>
                <w:sz w:val="18"/>
                <w:szCs w:val="18"/>
              </w:rPr>
            </w:pPr>
            <w:r w:rsidRPr="00D143DF">
              <w:rPr>
                <w:rFonts w:ascii="Arial" w:hAnsi="Arial" w:cs="Arial"/>
                <w:b/>
                <w:sz w:val="18"/>
                <w:szCs w:val="18"/>
              </w:rPr>
              <w:t>(consequence)</w:t>
            </w:r>
          </w:p>
        </w:tc>
        <w:tc>
          <w:tcPr>
            <w:tcW w:w="12455" w:type="dxa"/>
            <w:gridSpan w:val="6"/>
          </w:tcPr>
          <w:p w:rsidR="00D143DF" w:rsidRPr="00D143DF" w:rsidRDefault="00D143DF" w:rsidP="00D143DF">
            <w:pPr>
              <w:rPr>
                <w:rFonts w:ascii="Arial" w:hAnsi="Arial" w:cs="Arial"/>
                <w:sz w:val="18"/>
                <w:szCs w:val="18"/>
              </w:rPr>
            </w:pPr>
          </w:p>
          <w:p w:rsidR="00D143DF" w:rsidRPr="00D143DF" w:rsidRDefault="000C52D4" w:rsidP="005733EF">
            <w:pPr>
              <w:rPr>
                <w:rFonts w:ascii="Arial" w:hAnsi="Arial" w:cs="Arial"/>
                <w:sz w:val="18"/>
                <w:szCs w:val="18"/>
              </w:rPr>
            </w:pPr>
            <w:r>
              <w:rPr>
                <w:rFonts w:ascii="Arial" w:hAnsi="Arial" w:cs="Arial"/>
                <w:sz w:val="18"/>
                <w:szCs w:val="18"/>
              </w:rPr>
              <w:t xml:space="preserve">.... </w:t>
            </w:r>
            <w:proofErr w:type="spellStart"/>
            <w:r w:rsidR="005733EF">
              <w:rPr>
                <w:rFonts w:ascii="Arial" w:hAnsi="Arial" w:cs="Arial"/>
                <w:sz w:val="18"/>
                <w:szCs w:val="18"/>
              </w:rPr>
              <w:t>i</w:t>
            </w:r>
            <w:proofErr w:type="spellEnd"/>
            <w:r w:rsidR="005733EF">
              <w:rPr>
                <w:rFonts w:ascii="Arial" w:hAnsi="Arial" w:cs="Arial"/>
                <w:sz w:val="18"/>
                <w:szCs w:val="18"/>
              </w:rPr>
              <w:t xml:space="preserve">) </w:t>
            </w:r>
            <w:r>
              <w:rPr>
                <w:rFonts w:ascii="Arial" w:hAnsi="Arial" w:cs="Arial"/>
                <w:sz w:val="18"/>
                <w:szCs w:val="18"/>
              </w:rPr>
              <w:t>i</w:t>
            </w:r>
            <w:r w:rsidR="00D143DF" w:rsidRPr="00D143DF">
              <w:rPr>
                <w:rFonts w:ascii="Arial" w:hAnsi="Arial" w:cs="Arial"/>
                <w:sz w:val="18"/>
                <w:szCs w:val="18"/>
              </w:rPr>
              <w:t xml:space="preserve">ncorrect settlement </w:t>
            </w:r>
            <w:r>
              <w:rPr>
                <w:rFonts w:ascii="Arial" w:hAnsi="Arial" w:cs="Arial"/>
                <w:sz w:val="18"/>
                <w:szCs w:val="18"/>
              </w:rPr>
              <w:t xml:space="preserve">allocation for that shipper and </w:t>
            </w:r>
            <w:r w:rsidR="005733EF">
              <w:rPr>
                <w:rFonts w:ascii="Arial" w:hAnsi="Arial" w:cs="Arial"/>
                <w:sz w:val="18"/>
                <w:szCs w:val="18"/>
              </w:rPr>
              <w:t xml:space="preserve">ii) increased/reduced Unidentified Gas </w:t>
            </w:r>
            <w:r>
              <w:rPr>
                <w:rFonts w:ascii="Arial" w:hAnsi="Arial" w:cs="Arial"/>
                <w:sz w:val="18"/>
                <w:szCs w:val="18"/>
              </w:rPr>
              <w:t>smeared across all other shippers</w:t>
            </w:r>
            <w:bookmarkStart w:id="0" w:name="_GoBack"/>
            <w:bookmarkEnd w:id="0"/>
            <w:r w:rsidR="00D143DF" w:rsidRPr="00D143DF">
              <w:rPr>
                <w:rFonts w:ascii="Arial" w:hAnsi="Arial" w:cs="Arial"/>
                <w:sz w:val="18"/>
                <w:szCs w:val="18"/>
              </w:rPr>
              <w:t>.</w:t>
            </w:r>
          </w:p>
        </w:tc>
      </w:tr>
      <w:tr w:rsidR="00D143DF" w:rsidRPr="00D143DF" w:rsidTr="00D2627C">
        <w:trPr>
          <w:trHeight w:val="859"/>
        </w:trPr>
        <w:tc>
          <w:tcPr>
            <w:tcW w:w="1719" w:type="dxa"/>
            <w:vMerge w:val="restart"/>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p>
          <w:p w:rsidR="00D143DF" w:rsidRPr="00D143DF" w:rsidRDefault="00D143DF" w:rsidP="00D143DF">
            <w:pPr>
              <w:jc w:val="center"/>
              <w:rPr>
                <w:rFonts w:ascii="Arial" w:hAnsi="Arial" w:cs="Arial"/>
                <w:b/>
                <w:sz w:val="18"/>
                <w:szCs w:val="18"/>
              </w:rPr>
            </w:pPr>
          </w:p>
          <w:p w:rsidR="00D143DF" w:rsidRPr="00D143DF" w:rsidRDefault="00D143DF" w:rsidP="00D143DF">
            <w:pPr>
              <w:jc w:val="center"/>
              <w:rPr>
                <w:rFonts w:ascii="Arial" w:hAnsi="Arial" w:cs="Arial"/>
                <w:b/>
                <w:sz w:val="18"/>
                <w:szCs w:val="18"/>
              </w:rPr>
            </w:pPr>
          </w:p>
          <w:p w:rsidR="00D143DF" w:rsidRPr="00D143DF" w:rsidRDefault="00D143DF" w:rsidP="00D143DF">
            <w:pPr>
              <w:jc w:val="cente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Risk Scores</w:t>
            </w:r>
          </w:p>
        </w:tc>
        <w:tc>
          <w:tcPr>
            <w:tcW w:w="1791" w:type="dxa"/>
          </w:tcPr>
          <w:p w:rsidR="00D143DF" w:rsidRPr="00D143DF" w:rsidRDefault="00D143DF" w:rsidP="00D143DF">
            <w:pPr>
              <w:rPr>
                <w:rFonts w:ascii="Arial" w:hAnsi="Arial" w:cs="Arial"/>
                <w:b/>
                <w:sz w:val="18"/>
                <w:szCs w:val="18"/>
              </w:rPr>
            </w:pPr>
          </w:p>
        </w:tc>
        <w:tc>
          <w:tcPr>
            <w:tcW w:w="1985" w:type="dxa"/>
          </w:tcPr>
          <w:p w:rsidR="00D143DF" w:rsidRPr="00D143DF" w:rsidRDefault="00D143DF" w:rsidP="00D143DF">
            <w:pPr>
              <w:jc w:val="cente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Throughput (1-5)</w:t>
            </w:r>
          </w:p>
        </w:tc>
        <w:tc>
          <w:tcPr>
            <w:tcW w:w="2126" w:type="dxa"/>
          </w:tcPr>
          <w:p w:rsidR="00D143DF" w:rsidRPr="00D143DF" w:rsidRDefault="00D143DF" w:rsidP="00D143DF">
            <w:pPr>
              <w:jc w:val="cente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Probability (1-5)</w:t>
            </w:r>
          </w:p>
        </w:tc>
        <w:tc>
          <w:tcPr>
            <w:tcW w:w="2268" w:type="dxa"/>
          </w:tcPr>
          <w:p w:rsidR="00D143DF" w:rsidRPr="00D143DF" w:rsidRDefault="00D143DF" w:rsidP="00D143DF">
            <w:pPr>
              <w:jc w:val="cente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Control (Not Effective, Partially Effective, Effective)</w:t>
            </w:r>
          </w:p>
          <w:p w:rsidR="00D143DF" w:rsidRPr="00D143DF" w:rsidRDefault="00D143DF" w:rsidP="00D143DF">
            <w:pPr>
              <w:jc w:val="center"/>
              <w:rPr>
                <w:rFonts w:ascii="Arial" w:hAnsi="Arial" w:cs="Arial"/>
                <w:b/>
                <w:sz w:val="18"/>
                <w:szCs w:val="18"/>
              </w:rPr>
            </w:pPr>
          </w:p>
        </w:tc>
        <w:tc>
          <w:tcPr>
            <w:tcW w:w="1985" w:type="dxa"/>
          </w:tcPr>
          <w:p w:rsidR="00D143DF" w:rsidRPr="00D143DF" w:rsidRDefault="00D143DF" w:rsidP="00D143DF">
            <w:pP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Gross Risk</w:t>
            </w:r>
          </w:p>
        </w:tc>
        <w:tc>
          <w:tcPr>
            <w:tcW w:w="2300" w:type="dxa"/>
          </w:tcPr>
          <w:p w:rsidR="00D143DF" w:rsidRPr="00D143DF" w:rsidRDefault="00D143DF" w:rsidP="00D143DF">
            <w:pP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Total (Net Risk)</w:t>
            </w:r>
          </w:p>
        </w:tc>
      </w:tr>
      <w:tr w:rsidR="00D143DF" w:rsidRPr="00D143DF" w:rsidTr="00DA58E8">
        <w:trPr>
          <w:trHeight w:val="387"/>
        </w:trPr>
        <w:tc>
          <w:tcPr>
            <w:tcW w:w="1719" w:type="dxa"/>
            <w:vMerge/>
          </w:tcPr>
          <w:p w:rsidR="00D143DF" w:rsidRPr="00D143DF" w:rsidRDefault="00D143DF" w:rsidP="00D143DF">
            <w:pPr>
              <w:rPr>
                <w:rFonts w:ascii="Arial" w:hAnsi="Arial" w:cs="Arial"/>
                <w:b/>
                <w:sz w:val="18"/>
                <w:szCs w:val="18"/>
              </w:rPr>
            </w:pPr>
          </w:p>
        </w:tc>
        <w:tc>
          <w:tcPr>
            <w:tcW w:w="1791" w:type="dxa"/>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r w:rsidRPr="00D143DF">
              <w:rPr>
                <w:rFonts w:ascii="Arial" w:hAnsi="Arial" w:cs="Arial"/>
                <w:b/>
                <w:sz w:val="18"/>
                <w:szCs w:val="18"/>
              </w:rPr>
              <w:t>Current</w:t>
            </w:r>
          </w:p>
        </w:tc>
        <w:tc>
          <w:tcPr>
            <w:tcW w:w="1985" w:type="dxa"/>
          </w:tcPr>
          <w:p w:rsidR="00D143DF" w:rsidRPr="00D143DF" w:rsidRDefault="00D143DF" w:rsidP="00D143DF">
            <w:pPr>
              <w:jc w:val="center"/>
              <w:rPr>
                <w:rFonts w:ascii="Arial" w:hAnsi="Arial" w:cs="Arial"/>
                <w:sz w:val="18"/>
                <w:szCs w:val="18"/>
              </w:rPr>
            </w:pPr>
          </w:p>
          <w:p w:rsidR="00D143DF" w:rsidRPr="00D143DF" w:rsidRDefault="00D143DF" w:rsidP="00D143DF">
            <w:pPr>
              <w:jc w:val="center"/>
              <w:rPr>
                <w:rFonts w:ascii="Arial" w:hAnsi="Arial" w:cs="Arial"/>
                <w:sz w:val="18"/>
                <w:szCs w:val="18"/>
              </w:rPr>
            </w:pPr>
            <w:r w:rsidRPr="00D143DF">
              <w:rPr>
                <w:rFonts w:ascii="Arial" w:hAnsi="Arial" w:cs="Arial"/>
                <w:sz w:val="18"/>
                <w:szCs w:val="18"/>
              </w:rPr>
              <w:t>3</w:t>
            </w:r>
          </w:p>
        </w:tc>
        <w:tc>
          <w:tcPr>
            <w:tcW w:w="2126" w:type="dxa"/>
          </w:tcPr>
          <w:p w:rsidR="00D143DF" w:rsidRPr="00D143DF" w:rsidRDefault="00D143DF" w:rsidP="00D143DF">
            <w:pPr>
              <w:jc w:val="center"/>
              <w:rPr>
                <w:rFonts w:ascii="Arial" w:hAnsi="Arial" w:cs="Arial"/>
                <w:sz w:val="18"/>
                <w:szCs w:val="18"/>
              </w:rPr>
            </w:pPr>
          </w:p>
          <w:p w:rsidR="00D143DF" w:rsidRPr="00D143DF" w:rsidRDefault="00D143DF" w:rsidP="00D143DF">
            <w:pPr>
              <w:jc w:val="center"/>
              <w:rPr>
                <w:rFonts w:ascii="Arial" w:hAnsi="Arial" w:cs="Arial"/>
                <w:sz w:val="18"/>
                <w:szCs w:val="18"/>
              </w:rPr>
            </w:pPr>
            <w:r w:rsidRPr="00D143DF">
              <w:rPr>
                <w:rFonts w:ascii="Arial" w:hAnsi="Arial" w:cs="Arial"/>
                <w:sz w:val="18"/>
                <w:szCs w:val="18"/>
              </w:rPr>
              <w:t>4</w:t>
            </w:r>
          </w:p>
        </w:tc>
        <w:tc>
          <w:tcPr>
            <w:tcW w:w="2268" w:type="dxa"/>
          </w:tcPr>
          <w:p w:rsidR="00D143DF" w:rsidRPr="00D143DF" w:rsidRDefault="00D143DF" w:rsidP="00D143DF">
            <w:pPr>
              <w:jc w:val="center"/>
              <w:rPr>
                <w:rFonts w:ascii="Arial" w:hAnsi="Arial" w:cs="Arial"/>
                <w:sz w:val="18"/>
                <w:szCs w:val="18"/>
              </w:rPr>
            </w:pPr>
          </w:p>
          <w:p w:rsidR="00D143DF" w:rsidRPr="00D143DF" w:rsidRDefault="00DA58E8" w:rsidP="00D143DF">
            <w:pPr>
              <w:jc w:val="center"/>
              <w:rPr>
                <w:rFonts w:ascii="Arial" w:hAnsi="Arial" w:cs="Arial"/>
                <w:sz w:val="18"/>
                <w:szCs w:val="18"/>
              </w:rPr>
            </w:pPr>
            <w:r>
              <w:rPr>
                <w:rFonts w:ascii="Arial" w:hAnsi="Arial" w:cs="Arial"/>
                <w:sz w:val="18"/>
                <w:szCs w:val="18"/>
              </w:rPr>
              <w:t>Unknown</w:t>
            </w:r>
          </w:p>
        </w:tc>
        <w:tc>
          <w:tcPr>
            <w:tcW w:w="1985" w:type="dxa"/>
          </w:tcPr>
          <w:p w:rsidR="00D143DF" w:rsidRPr="00D143DF" w:rsidRDefault="00D143DF" w:rsidP="00D143DF">
            <w:pPr>
              <w:jc w:val="center"/>
              <w:rPr>
                <w:rFonts w:ascii="Arial" w:hAnsi="Arial" w:cs="Arial"/>
                <w:sz w:val="18"/>
                <w:szCs w:val="18"/>
              </w:rPr>
            </w:pPr>
          </w:p>
          <w:p w:rsidR="00D143DF" w:rsidRPr="00D143DF" w:rsidRDefault="00D143DF" w:rsidP="00D143DF">
            <w:pPr>
              <w:jc w:val="center"/>
              <w:rPr>
                <w:rFonts w:ascii="Arial" w:hAnsi="Arial" w:cs="Arial"/>
                <w:sz w:val="18"/>
                <w:szCs w:val="18"/>
              </w:rPr>
            </w:pPr>
            <w:r w:rsidRPr="00D143DF">
              <w:rPr>
                <w:rFonts w:ascii="Arial" w:hAnsi="Arial" w:cs="Arial"/>
                <w:sz w:val="18"/>
                <w:szCs w:val="18"/>
              </w:rPr>
              <w:t>12</w:t>
            </w:r>
          </w:p>
        </w:tc>
        <w:tc>
          <w:tcPr>
            <w:tcW w:w="2300" w:type="dxa"/>
          </w:tcPr>
          <w:p w:rsidR="00D143DF" w:rsidRPr="00D143DF" w:rsidRDefault="00D143DF" w:rsidP="00D143DF">
            <w:pPr>
              <w:jc w:val="center"/>
              <w:rPr>
                <w:rFonts w:ascii="Arial" w:hAnsi="Arial" w:cs="Arial"/>
                <w:sz w:val="18"/>
                <w:szCs w:val="18"/>
              </w:rPr>
            </w:pPr>
          </w:p>
          <w:p w:rsidR="00D143DF" w:rsidRPr="00D143DF" w:rsidRDefault="00D143DF" w:rsidP="00D143DF">
            <w:pPr>
              <w:jc w:val="center"/>
              <w:rPr>
                <w:rFonts w:ascii="Arial" w:hAnsi="Arial" w:cs="Arial"/>
                <w:sz w:val="18"/>
                <w:szCs w:val="18"/>
              </w:rPr>
            </w:pPr>
            <w:r w:rsidRPr="00D143DF">
              <w:rPr>
                <w:rFonts w:ascii="Arial" w:hAnsi="Arial" w:cs="Arial"/>
                <w:sz w:val="18"/>
                <w:szCs w:val="18"/>
              </w:rPr>
              <w:t>12</w:t>
            </w:r>
          </w:p>
        </w:tc>
      </w:tr>
      <w:tr w:rsidR="00D143DF" w:rsidRPr="00D143DF" w:rsidTr="00DA58E8">
        <w:trPr>
          <w:trHeight w:val="411"/>
        </w:trPr>
        <w:tc>
          <w:tcPr>
            <w:tcW w:w="1719" w:type="dxa"/>
            <w:vMerge/>
          </w:tcPr>
          <w:p w:rsidR="00D143DF" w:rsidRPr="00D143DF" w:rsidRDefault="00D143DF" w:rsidP="00D143DF">
            <w:pPr>
              <w:rPr>
                <w:rFonts w:ascii="Arial" w:hAnsi="Arial" w:cs="Arial"/>
                <w:b/>
                <w:sz w:val="18"/>
                <w:szCs w:val="18"/>
              </w:rPr>
            </w:pPr>
          </w:p>
        </w:tc>
        <w:tc>
          <w:tcPr>
            <w:tcW w:w="1791" w:type="dxa"/>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r w:rsidRPr="00D143DF">
              <w:rPr>
                <w:rFonts w:ascii="Arial" w:hAnsi="Arial" w:cs="Arial"/>
                <w:b/>
                <w:sz w:val="18"/>
                <w:szCs w:val="18"/>
              </w:rPr>
              <w:t>Target</w:t>
            </w:r>
          </w:p>
        </w:tc>
        <w:tc>
          <w:tcPr>
            <w:tcW w:w="1985" w:type="dxa"/>
          </w:tcPr>
          <w:p w:rsidR="00D143DF" w:rsidRPr="00D143DF" w:rsidRDefault="00D143DF" w:rsidP="00D143DF">
            <w:pPr>
              <w:jc w:val="center"/>
              <w:rPr>
                <w:rFonts w:ascii="Arial" w:hAnsi="Arial" w:cs="Arial"/>
                <w:sz w:val="18"/>
                <w:szCs w:val="18"/>
              </w:rPr>
            </w:pPr>
          </w:p>
        </w:tc>
        <w:tc>
          <w:tcPr>
            <w:tcW w:w="2126" w:type="dxa"/>
          </w:tcPr>
          <w:p w:rsidR="00D143DF" w:rsidRPr="00D143DF" w:rsidRDefault="00D143DF" w:rsidP="00D143DF">
            <w:pPr>
              <w:jc w:val="center"/>
              <w:rPr>
                <w:rFonts w:ascii="Arial" w:hAnsi="Arial" w:cs="Arial"/>
                <w:sz w:val="18"/>
                <w:szCs w:val="18"/>
              </w:rPr>
            </w:pPr>
          </w:p>
        </w:tc>
        <w:tc>
          <w:tcPr>
            <w:tcW w:w="2268" w:type="dxa"/>
          </w:tcPr>
          <w:p w:rsidR="00D143DF" w:rsidRPr="00D143DF" w:rsidRDefault="00D143DF" w:rsidP="00D143DF">
            <w:pPr>
              <w:jc w:val="center"/>
              <w:rPr>
                <w:rFonts w:ascii="Arial" w:hAnsi="Arial" w:cs="Arial"/>
                <w:sz w:val="18"/>
                <w:szCs w:val="18"/>
              </w:rPr>
            </w:pPr>
          </w:p>
        </w:tc>
        <w:tc>
          <w:tcPr>
            <w:tcW w:w="1985" w:type="dxa"/>
          </w:tcPr>
          <w:p w:rsidR="00D143DF" w:rsidRPr="00D143DF" w:rsidRDefault="00D143DF" w:rsidP="00D143DF">
            <w:pPr>
              <w:jc w:val="center"/>
              <w:rPr>
                <w:rFonts w:ascii="Arial" w:hAnsi="Arial" w:cs="Arial"/>
                <w:sz w:val="18"/>
                <w:szCs w:val="18"/>
              </w:rPr>
            </w:pPr>
          </w:p>
        </w:tc>
        <w:tc>
          <w:tcPr>
            <w:tcW w:w="2300" w:type="dxa"/>
          </w:tcPr>
          <w:p w:rsidR="00D143DF" w:rsidRPr="00D143DF" w:rsidRDefault="00D143DF" w:rsidP="00D143DF">
            <w:pPr>
              <w:jc w:val="center"/>
              <w:rPr>
                <w:rFonts w:ascii="Arial" w:hAnsi="Arial" w:cs="Arial"/>
                <w:sz w:val="18"/>
                <w:szCs w:val="18"/>
              </w:rPr>
            </w:pPr>
          </w:p>
        </w:tc>
      </w:tr>
      <w:tr w:rsidR="00D143DF" w:rsidRPr="00D143DF" w:rsidTr="00DA58E8">
        <w:trPr>
          <w:trHeight w:val="383"/>
        </w:trPr>
        <w:tc>
          <w:tcPr>
            <w:tcW w:w="1719" w:type="dxa"/>
            <w:vMerge/>
          </w:tcPr>
          <w:p w:rsidR="00D143DF" w:rsidRPr="00D143DF" w:rsidRDefault="00D143DF" w:rsidP="00D143DF">
            <w:pPr>
              <w:rPr>
                <w:rFonts w:ascii="Arial" w:hAnsi="Arial" w:cs="Arial"/>
                <w:b/>
                <w:sz w:val="18"/>
                <w:szCs w:val="18"/>
              </w:rPr>
            </w:pPr>
          </w:p>
        </w:tc>
        <w:tc>
          <w:tcPr>
            <w:tcW w:w="1791" w:type="dxa"/>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r w:rsidRPr="00D143DF">
              <w:rPr>
                <w:rFonts w:ascii="Arial" w:hAnsi="Arial" w:cs="Arial"/>
                <w:b/>
                <w:sz w:val="18"/>
                <w:szCs w:val="18"/>
              </w:rPr>
              <w:t>Inherent</w:t>
            </w:r>
          </w:p>
        </w:tc>
        <w:tc>
          <w:tcPr>
            <w:tcW w:w="1985" w:type="dxa"/>
          </w:tcPr>
          <w:p w:rsidR="00D143DF" w:rsidRPr="00D143DF" w:rsidRDefault="00D143DF" w:rsidP="00D143DF">
            <w:pPr>
              <w:jc w:val="center"/>
              <w:rPr>
                <w:rFonts w:ascii="Arial" w:hAnsi="Arial" w:cs="Arial"/>
                <w:sz w:val="18"/>
                <w:szCs w:val="18"/>
              </w:rPr>
            </w:pPr>
          </w:p>
        </w:tc>
        <w:tc>
          <w:tcPr>
            <w:tcW w:w="2126" w:type="dxa"/>
          </w:tcPr>
          <w:p w:rsidR="00D143DF" w:rsidRPr="00D143DF" w:rsidRDefault="00D143DF" w:rsidP="00D143DF">
            <w:pPr>
              <w:jc w:val="center"/>
              <w:rPr>
                <w:rFonts w:ascii="Arial" w:hAnsi="Arial" w:cs="Arial"/>
                <w:sz w:val="18"/>
                <w:szCs w:val="18"/>
              </w:rPr>
            </w:pPr>
          </w:p>
        </w:tc>
        <w:tc>
          <w:tcPr>
            <w:tcW w:w="2268" w:type="dxa"/>
          </w:tcPr>
          <w:p w:rsidR="00D143DF" w:rsidRPr="00D143DF" w:rsidRDefault="00D143DF" w:rsidP="00D143DF">
            <w:pPr>
              <w:jc w:val="center"/>
              <w:rPr>
                <w:rFonts w:ascii="Arial" w:hAnsi="Arial" w:cs="Arial"/>
                <w:sz w:val="18"/>
                <w:szCs w:val="18"/>
              </w:rPr>
            </w:pPr>
          </w:p>
        </w:tc>
        <w:tc>
          <w:tcPr>
            <w:tcW w:w="1985" w:type="dxa"/>
          </w:tcPr>
          <w:p w:rsidR="00D143DF" w:rsidRPr="00D143DF" w:rsidRDefault="00D143DF" w:rsidP="00D143DF">
            <w:pPr>
              <w:jc w:val="center"/>
              <w:rPr>
                <w:rFonts w:ascii="Arial" w:hAnsi="Arial" w:cs="Arial"/>
                <w:sz w:val="18"/>
                <w:szCs w:val="18"/>
              </w:rPr>
            </w:pPr>
          </w:p>
        </w:tc>
        <w:tc>
          <w:tcPr>
            <w:tcW w:w="2300" w:type="dxa"/>
          </w:tcPr>
          <w:p w:rsidR="00D143DF" w:rsidRPr="00D143DF" w:rsidRDefault="00D143DF" w:rsidP="00D143DF">
            <w:pPr>
              <w:jc w:val="center"/>
              <w:rPr>
                <w:rFonts w:ascii="Arial" w:hAnsi="Arial" w:cs="Arial"/>
                <w:sz w:val="18"/>
                <w:szCs w:val="18"/>
              </w:rPr>
            </w:pPr>
          </w:p>
        </w:tc>
      </w:tr>
      <w:tr w:rsidR="00D143DF" w:rsidRPr="00D143DF" w:rsidTr="00D2627C">
        <w:trPr>
          <w:trHeight w:val="1103"/>
        </w:trPr>
        <w:tc>
          <w:tcPr>
            <w:tcW w:w="1719" w:type="dxa"/>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Current Controls Identified - Explanation</w:t>
            </w:r>
          </w:p>
        </w:tc>
        <w:tc>
          <w:tcPr>
            <w:tcW w:w="3776" w:type="dxa"/>
            <w:gridSpan w:val="2"/>
          </w:tcPr>
          <w:p w:rsidR="00D143DF" w:rsidRPr="00D143DF" w:rsidRDefault="00D143DF" w:rsidP="00D143DF">
            <w:pPr>
              <w:rPr>
                <w:rFonts w:ascii="Arial" w:hAnsi="Arial" w:cs="Arial"/>
                <w:b/>
                <w:sz w:val="18"/>
                <w:szCs w:val="18"/>
              </w:rPr>
            </w:pPr>
          </w:p>
          <w:p w:rsidR="00D143DF" w:rsidRPr="00D143DF" w:rsidRDefault="00D143DF" w:rsidP="00D143DF">
            <w:pPr>
              <w:rPr>
                <w:rFonts w:ascii="Arial" w:hAnsi="Arial" w:cs="Arial"/>
                <w:sz w:val="18"/>
                <w:szCs w:val="18"/>
              </w:rPr>
            </w:pPr>
            <w:r w:rsidRPr="00D143DF">
              <w:rPr>
                <w:rFonts w:ascii="Arial" w:hAnsi="Arial" w:cs="Arial"/>
                <w:sz w:val="18"/>
                <w:szCs w:val="18"/>
              </w:rPr>
              <w:t>None</w:t>
            </w:r>
          </w:p>
        </w:tc>
        <w:tc>
          <w:tcPr>
            <w:tcW w:w="2126" w:type="dxa"/>
          </w:tcPr>
          <w:p w:rsidR="00D143DF" w:rsidRPr="00D143DF" w:rsidRDefault="00D143DF" w:rsidP="00D143DF">
            <w:pPr>
              <w:rPr>
                <w:rFonts w:ascii="Arial" w:hAnsi="Arial" w:cs="Arial"/>
                <w:b/>
                <w:sz w:val="18"/>
                <w:szCs w:val="18"/>
              </w:rPr>
            </w:pPr>
          </w:p>
          <w:p w:rsidR="00D143DF" w:rsidRPr="00D143DF" w:rsidRDefault="00D143DF" w:rsidP="00D143DF">
            <w:pPr>
              <w:jc w:val="center"/>
              <w:rPr>
                <w:rFonts w:ascii="Arial" w:hAnsi="Arial" w:cs="Arial"/>
                <w:b/>
                <w:sz w:val="18"/>
                <w:szCs w:val="18"/>
              </w:rPr>
            </w:pPr>
            <w:r w:rsidRPr="00D143DF">
              <w:rPr>
                <w:rFonts w:ascii="Arial" w:hAnsi="Arial" w:cs="Arial"/>
                <w:b/>
                <w:sz w:val="18"/>
                <w:szCs w:val="18"/>
              </w:rPr>
              <w:t>Any additional information  / Supporting information (optional)</w:t>
            </w:r>
          </w:p>
          <w:p w:rsidR="00D143DF" w:rsidRPr="00D143DF" w:rsidRDefault="00D143DF" w:rsidP="00D143DF">
            <w:pPr>
              <w:rPr>
                <w:rFonts w:ascii="Arial" w:hAnsi="Arial" w:cs="Arial"/>
                <w:b/>
                <w:sz w:val="18"/>
                <w:szCs w:val="18"/>
              </w:rPr>
            </w:pPr>
          </w:p>
        </w:tc>
        <w:tc>
          <w:tcPr>
            <w:tcW w:w="6553" w:type="dxa"/>
            <w:gridSpan w:val="3"/>
          </w:tcPr>
          <w:p w:rsidR="00E7467C" w:rsidRDefault="00E7467C" w:rsidP="00D143DF">
            <w:r w:rsidRPr="00E7467C">
              <w:rPr>
                <w:vertAlign w:val="superscript"/>
              </w:rPr>
              <w:t>1</w:t>
            </w:r>
            <w:r>
              <w:t xml:space="preserve"> </w:t>
            </w:r>
            <w:r w:rsidRPr="00E7467C">
              <w:t>The Gas (Calculation of Thermal Energy) Regulations 1996</w:t>
            </w:r>
          </w:p>
          <w:p w:rsidR="00E7467C" w:rsidRDefault="00E7467C" w:rsidP="00D143DF">
            <w:hyperlink r:id="rId8" w:history="1">
              <w:r w:rsidRPr="00163285">
                <w:rPr>
                  <w:rStyle w:val="Hyperlink"/>
                </w:rPr>
                <w:t>http://www.legislation.gov.uk/uksi/1996/439/made/data.pdf</w:t>
              </w:r>
            </w:hyperlink>
          </w:p>
          <w:p w:rsidR="00E7467C" w:rsidRDefault="00E7467C" w:rsidP="00D143DF"/>
          <w:p w:rsidR="00D143DF" w:rsidRDefault="00DA58E8" w:rsidP="00D143DF">
            <w:r>
              <w:t>Dave Lander Consulting paper on accuracy of standard correction factors:</w:t>
            </w:r>
          </w:p>
          <w:p w:rsidR="00DA58E8" w:rsidRDefault="00DA58E8" w:rsidP="00D143DF">
            <w:hyperlink r:id="rId9" w:history="1">
              <w:r w:rsidRPr="00163285">
                <w:rPr>
                  <w:rStyle w:val="Hyperlink"/>
                </w:rPr>
                <w:t>https://www.ofgem.gov.uk/ofgem-publications/89464/dlcreportfinal-gasenergymeasurement.pdf</w:t>
              </w:r>
            </w:hyperlink>
          </w:p>
          <w:p w:rsidR="00D143DF" w:rsidRPr="00D143DF" w:rsidRDefault="00D143DF" w:rsidP="00DA58E8"/>
        </w:tc>
      </w:tr>
    </w:tbl>
    <w:p w:rsidR="00D143DF" w:rsidRPr="00D143DF" w:rsidRDefault="00D143DF" w:rsidP="00D143DF">
      <w:pPr>
        <w:spacing w:after="0" w:line="240" w:lineRule="auto"/>
        <w:rPr>
          <w:rFonts w:ascii="Arial" w:eastAsia="Times New Roman" w:hAnsi="Arial" w:cs="Arial"/>
          <w:sz w:val="20"/>
          <w:szCs w:val="20"/>
          <w:lang w:eastAsia="en-GB"/>
        </w:rPr>
      </w:pPr>
      <w:r w:rsidRPr="00D143DF">
        <w:rPr>
          <w:rFonts w:ascii="Arial" w:eastAsia="Times New Roman" w:hAnsi="Arial" w:cs="Arial"/>
          <w:b/>
          <w:sz w:val="20"/>
          <w:szCs w:val="20"/>
          <w:lang w:eastAsia="en-GB"/>
        </w:rPr>
        <w:t>Appendix 1 – Performance Assurance: Risk Template</w:t>
      </w:r>
      <w:r w:rsidRPr="00D143DF">
        <w:rPr>
          <w:rFonts w:ascii="Arial" w:eastAsia="Times New Roman" w:hAnsi="Arial" w:cs="Arial"/>
          <w:sz w:val="20"/>
          <w:szCs w:val="20"/>
          <w:lang w:eastAsia="en-GB"/>
        </w:rPr>
        <w:t xml:space="preserve"> Please complete the template with as much information as possible that to aid the registration and initial investigation of the proposed risk.  All fields are mandatory unless otherwise specified.  Please refer to the guidance notes.</w:t>
      </w:r>
    </w:p>
    <w:sectPr w:rsidR="00D143DF" w:rsidRPr="00D143DF" w:rsidSect="00D143DF">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40" w:rsidRDefault="001D3540" w:rsidP="003834B7">
      <w:pPr>
        <w:spacing w:after="0" w:line="240" w:lineRule="auto"/>
      </w:pPr>
      <w:r>
        <w:separator/>
      </w:r>
    </w:p>
  </w:endnote>
  <w:endnote w:type="continuationSeparator" w:id="0">
    <w:p w:rsidR="001D3540" w:rsidRDefault="001D3540" w:rsidP="0038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B7" w:rsidRDefault="00383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B7" w:rsidRDefault="00383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B7" w:rsidRDefault="00383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40" w:rsidRDefault="001D3540" w:rsidP="003834B7">
      <w:pPr>
        <w:spacing w:after="0" w:line="240" w:lineRule="auto"/>
      </w:pPr>
      <w:r>
        <w:separator/>
      </w:r>
    </w:p>
  </w:footnote>
  <w:footnote w:type="continuationSeparator" w:id="0">
    <w:p w:rsidR="001D3540" w:rsidRDefault="001D3540" w:rsidP="00383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B7" w:rsidRDefault="00383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B7" w:rsidRDefault="00383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B7" w:rsidRDefault="00383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DF"/>
    <w:rsid w:val="000A3FE7"/>
    <w:rsid w:val="000C52D4"/>
    <w:rsid w:val="001D3540"/>
    <w:rsid w:val="00285F90"/>
    <w:rsid w:val="00347053"/>
    <w:rsid w:val="003834B7"/>
    <w:rsid w:val="005733EF"/>
    <w:rsid w:val="00732FDD"/>
    <w:rsid w:val="008B3B71"/>
    <w:rsid w:val="00940D7E"/>
    <w:rsid w:val="00A40217"/>
    <w:rsid w:val="00D105EE"/>
    <w:rsid w:val="00D143DF"/>
    <w:rsid w:val="00DA58E8"/>
    <w:rsid w:val="00E74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4B7"/>
  </w:style>
  <w:style w:type="paragraph" w:styleId="Footer">
    <w:name w:val="footer"/>
    <w:basedOn w:val="Normal"/>
    <w:link w:val="FooterChar"/>
    <w:uiPriority w:val="99"/>
    <w:unhideWhenUsed/>
    <w:rsid w:val="00383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4B7"/>
  </w:style>
  <w:style w:type="character" w:styleId="Hyperlink">
    <w:name w:val="Hyperlink"/>
    <w:basedOn w:val="DefaultParagraphFont"/>
    <w:uiPriority w:val="99"/>
    <w:unhideWhenUsed/>
    <w:rsid w:val="00285F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4B7"/>
  </w:style>
  <w:style w:type="paragraph" w:styleId="Footer">
    <w:name w:val="footer"/>
    <w:basedOn w:val="Normal"/>
    <w:link w:val="FooterChar"/>
    <w:uiPriority w:val="99"/>
    <w:unhideWhenUsed/>
    <w:rsid w:val="00383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4B7"/>
  </w:style>
  <w:style w:type="character" w:styleId="Hyperlink">
    <w:name w:val="Hyperlink"/>
    <w:basedOn w:val="DefaultParagraphFont"/>
    <w:uiPriority w:val="99"/>
    <w:unhideWhenUsed/>
    <w:rsid w:val="00285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24068">
      <w:bodyDiv w:val="1"/>
      <w:marLeft w:val="0"/>
      <w:marRight w:val="0"/>
      <w:marTop w:val="0"/>
      <w:marBottom w:val="0"/>
      <w:divBdr>
        <w:top w:val="none" w:sz="0" w:space="0" w:color="auto"/>
        <w:left w:val="none" w:sz="0" w:space="0" w:color="auto"/>
        <w:bottom w:val="none" w:sz="0" w:space="0" w:color="auto"/>
        <w:right w:val="none" w:sz="0" w:space="0" w:color="auto"/>
      </w:divBdr>
    </w:div>
    <w:div w:id="19101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1996/439/made/data.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k.Bellman@scottishpower.com"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fgem.gov.uk/ofgem-publications/89464/dlcreportfinal-gasenergymeasuremen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2018-04-27T13:38:00Z</dcterms:created>
  <dcterms:modified xsi:type="dcterms:W3CDTF">2018-04-27T13:38:00Z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