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AF" w:rsidRDefault="00C04FFE" w:rsidP="001E1278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Request Report</w:t>
      </w:r>
    </w:p>
    <w:p w:rsidR="00C54A57" w:rsidRDefault="002B753D" w:rsidP="001E1278">
      <w:pPr>
        <w:ind w:left="720"/>
        <w:jc w:val="center"/>
        <w:rPr>
          <w:b/>
        </w:rPr>
      </w:pPr>
      <w:r w:rsidRPr="00B80887">
        <w:rPr>
          <w:b/>
        </w:rPr>
        <w:t xml:space="preserve">DSC CoMC Consent </w:t>
      </w:r>
      <w:r w:rsidR="00C54A57">
        <w:rPr>
          <w:b/>
        </w:rPr>
        <w:t>for Disclosure of Information</w:t>
      </w:r>
    </w:p>
    <w:p w:rsidR="002B753D" w:rsidRPr="00C54A57" w:rsidRDefault="00477150" w:rsidP="001E1278">
      <w:pPr>
        <w:ind w:left="720"/>
        <w:jc w:val="center"/>
        <w:rPr>
          <w:b/>
        </w:rPr>
      </w:pPr>
      <w:r>
        <w:rPr>
          <w:b/>
        </w:rPr>
        <w:t>Principle that</w:t>
      </w:r>
      <w:r w:rsidR="00E42902">
        <w:rPr>
          <w:b/>
        </w:rPr>
        <w:t xml:space="preserve"> the</w:t>
      </w:r>
      <w:r>
        <w:rPr>
          <w:b/>
        </w:rPr>
        <w:t xml:space="preserve"> </w:t>
      </w:r>
      <w:r w:rsidR="00D70618">
        <w:rPr>
          <w:b/>
        </w:rPr>
        <w:t xml:space="preserve">Supplier </w:t>
      </w:r>
      <w:r>
        <w:rPr>
          <w:b/>
        </w:rPr>
        <w:t xml:space="preserve">Portfolio data </w:t>
      </w:r>
      <w:r w:rsidR="00E42902">
        <w:rPr>
          <w:b/>
        </w:rPr>
        <w:t>(as defined in the Data Portfolio Matrix DES and API portfolio view)</w:t>
      </w:r>
      <w:r w:rsidR="00D70618">
        <w:rPr>
          <w:b/>
        </w:rPr>
        <w:t xml:space="preserve"> disclosure rule applies to ot</w:t>
      </w:r>
      <w:r>
        <w:rPr>
          <w:b/>
        </w:rPr>
        <w:t xml:space="preserve">her delivery mechanism </w:t>
      </w:r>
      <w:r w:rsidR="00D70618">
        <w:rPr>
          <w:b/>
        </w:rPr>
        <w:t>e.g. reports.</w:t>
      </w:r>
    </w:p>
    <w:p w:rsidR="00C54A57" w:rsidRDefault="00C54A57" w:rsidP="00B80887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6A53EF" w:rsidTr="006A53EF">
        <w:tc>
          <w:tcPr>
            <w:tcW w:w="1798" w:type="dxa"/>
          </w:tcPr>
          <w:p w:rsidR="006A53EF" w:rsidRDefault="006A53EF" w:rsidP="00B80887">
            <w:r>
              <w:t>Prepared by</w:t>
            </w:r>
          </w:p>
        </w:tc>
        <w:tc>
          <w:tcPr>
            <w:tcW w:w="6724" w:type="dxa"/>
          </w:tcPr>
          <w:p w:rsidR="006A53EF" w:rsidRDefault="006A53EF" w:rsidP="00B80887">
            <w:r>
              <w:t>Andy Miller</w:t>
            </w:r>
          </w:p>
        </w:tc>
      </w:tr>
      <w:tr w:rsidR="006A53EF" w:rsidTr="006A53EF">
        <w:tc>
          <w:tcPr>
            <w:tcW w:w="1798" w:type="dxa"/>
          </w:tcPr>
          <w:p w:rsidR="006A53EF" w:rsidRDefault="006A53EF" w:rsidP="00B80887">
            <w:r>
              <w:t>Submitted for</w:t>
            </w:r>
          </w:p>
        </w:tc>
        <w:tc>
          <w:tcPr>
            <w:tcW w:w="6724" w:type="dxa"/>
          </w:tcPr>
          <w:p w:rsidR="006A53EF" w:rsidRDefault="00466409" w:rsidP="00B80887">
            <w:r>
              <w:t>Decision</w:t>
            </w:r>
            <w:r w:rsidR="00CB33AA">
              <w:t>.</w:t>
            </w:r>
          </w:p>
        </w:tc>
      </w:tr>
      <w:tr w:rsidR="006A53EF" w:rsidTr="006A53EF">
        <w:tc>
          <w:tcPr>
            <w:tcW w:w="1798" w:type="dxa"/>
          </w:tcPr>
          <w:p w:rsidR="006A53EF" w:rsidRDefault="006A53EF" w:rsidP="00B80887">
            <w:r>
              <w:t>Decision details</w:t>
            </w:r>
          </w:p>
        </w:tc>
        <w:tc>
          <w:tcPr>
            <w:tcW w:w="6724" w:type="dxa"/>
          </w:tcPr>
          <w:p w:rsidR="00D70618" w:rsidRPr="00E309E4" w:rsidRDefault="006A53EF" w:rsidP="00E42902">
            <w:r w:rsidRPr="00E309E4">
              <w:t xml:space="preserve">The CoMC is requested to determine whether the </w:t>
            </w:r>
            <w:r w:rsidR="00D70618">
              <w:t xml:space="preserve">general disclosure permission associated with DES </w:t>
            </w:r>
            <w:r w:rsidR="00E42902">
              <w:t xml:space="preserve">and API portfolio </w:t>
            </w:r>
            <w:r w:rsidR="00D70618">
              <w:t>data can be extended to other delivery mechanisms for supply meter points within the Supplier portfolio.</w:t>
            </w:r>
          </w:p>
        </w:tc>
      </w:tr>
      <w:tr w:rsidR="006A53EF" w:rsidTr="006A53EF">
        <w:tc>
          <w:tcPr>
            <w:tcW w:w="1798" w:type="dxa"/>
          </w:tcPr>
          <w:p w:rsidR="006A53EF" w:rsidRDefault="006A53EF" w:rsidP="00B80887">
            <w:r>
              <w:t>Date</w:t>
            </w:r>
          </w:p>
        </w:tc>
        <w:tc>
          <w:tcPr>
            <w:tcW w:w="6724" w:type="dxa"/>
          </w:tcPr>
          <w:p w:rsidR="006A53EF" w:rsidRPr="00E309E4" w:rsidRDefault="001C239F" w:rsidP="00D70618">
            <w:r>
              <w:t xml:space="preserve">5 </w:t>
            </w:r>
            <w:r w:rsidR="00D70618">
              <w:t xml:space="preserve">October </w:t>
            </w:r>
            <w:r>
              <w:t>2018</w:t>
            </w:r>
          </w:p>
        </w:tc>
      </w:tr>
    </w:tbl>
    <w:p w:rsidR="00C54A57" w:rsidRDefault="00C54A57" w:rsidP="00B80887">
      <w:pPr>
        <w:ind w:left="720"/>
      </w:pPr>
    </w:p>
    <w:p w:rsidR="006A53EF" w:rsidRPr="00C54A57" w:rsidRDefault="006A53EF" w:rsidP="00B80887">
      <w:pPr>
        <w:ind w:left="720"/>
      </w:pPr>
    </w:p>
    <w:p w:rsidR="00B80887" w:rsidRPr="00B80887" w:rsidRDefault="002B753D" w:rsidP="00B80887">
      <w:pPr>
        <w:pStyle w:val="ListParagraph"/>
        <w:numPr>
          <w:ilvl w:val="0"/>
          <w:numId w:val="1"/>
        </w:numPr>
        <w:rPr>
          <w:b/>
        </w:rPr>
      </w:pPr>
      <w:r w:rsidRPr="00B80887">
        <w:rPr>
          <w:b/>
        </w:rPr>
        <w:t>Introduction and background</w:t>
      </w:r>
    </w:p>
    <w:p w:rsidR="00B80887" w:rsidRDefault="00B80887" w:rsidP="00B80887">
      <w:pPr>
        <w:pStyle w:val="ListParagraph"/>
        <w:ind w:left="1080"/>
      </w:pPr>
    </w:p>
    <w:p w:rsidR="00D70618" w:rsidRDefault="00E1570E" w:rsidP="00B80887">
      <w:pPr>
        <w:pStyle w:val="ListParagraph"/>
        <w:ind w:left="1080"/>
      </w:pPr>
      <w:r w:rsidRPr="00E309E4">
        <w:t xml:space="preserve">UNC modification 0649S </w:t>
      </w:r>
      <w:r w:rsidRPr="00E309E4">
        <w:rPr>
          <w:rFonts w:cs="Arial"/>
          <w:lang w:val="en"/>
        </w:rPr>
        <w:t>Update to UNC to formalise the Data Enquiry Service Permissions Matrix</w:t>
      </w:r>
      <w:r>
        <w:rPr>
          <w:rFonts w:cs="Arial"/>
          <w:lang w:val="en"/>
        </w:rPr>
        <w:t>,</w:t>
      </w:r>
      <w:r w:rsidRPr="00E309E4">
        <w:rPr>
          <w:rFonts w:cs="Arial"/>
          <w:lang w:val="en"/>
        </w:rPr>
        <w:t xml:space="preserve"> </w:t>
      </w:r>
      <w:r w:rsidRPr="00E309E4">
        <w:t xml:space="preserve">and </w:t>
      </w:r>
      <w:r>
        <w:t xml:space="preserve">iGT </w:t>
      </w:r>
      <w:r w:rsidRPr="00E309E4">
        <w:t xml:space="preserve">UNC modification </w:t>
      </w:r>
      <w:r>
        <w:t>115 Update to IGT UNC to formalise the Data Permissions Matrix, established the Data Permissions Matrix</w:t>
      </w:r>
      <w:r w:rsidR="00FD296C">
        <w:t xml:space="preserve"> (DPM)</w:t>
      </w:r>
      <w:r w:rsidR="0071349B">
        <w:t xml:space="preserve"> which can be found here [</w:t>
      </w:r>
      <w:r w:rsidR="0071349B" w:rsidRPr="0071349B">
        <w:rPr>
          <w:highlight w:val="yellow"/>
        </w:rPr>
        <w:t>link</w:t>
      </w:r>
      <w:r w:rsidR="0071349B">
        <w:t xml:space="preserve">] and delegated </w:t>
      </w:r>
      <w:r w:rsidR="00FD296C">
        <w:t>authority for disclosure of data to parties on the DMP to the DSC Contract Management Committee (CoMC).</w:t>
      </w:r>
    </w:p>
    <w:p w:rsidR="00E1570E" w:rsidRDefault="00E1570E" w:rsidP="00B80887">
      <w:pPr>
        <w:pStyle w:val="ListParagraph"/>
        <w:ind w:left="1080"/>
      </w:pPr>
    </w:p>
    <w:p w:rsidR="00E1570E" w:rsidRDefault="00E1570E" w:rsidP="00B80887">
      <w:pPr>
        <w:pStyle w:val="ListParagraph"/>
        <w:ind w:left="1080"/>
      </w:pPr>
      <w:r>
        <w:t xml:space="preserve">Supplier id is linked to a supply meter point with effective from and to dates. It is from this id that the portfolio view is established. The Supplier id is provided at each </w:t>
      </w:r>
      <w:r w:rsidR="007D4504">
        <w:t>confirmation event and can be updated independently of a change of Shipper event. All supply meter points in a live confirmation have a Supplier id.</w:t>
      </w:r>
    </w:p>
    <w:p w:rsidR="007D4504" w:rsidRDefault="007D4504" w:rsidP="00B80887">
      <w:pPr>
        <w:pStyle w:val="ListParagraph"/>
        <w:ind w:left="1080"/>
      </w:pPr>
    </w:p>
    <w:p w:rsidR="00E1570E" w:rsidRDefault="00E1570E" w:rsidP="00B80887">
      <w:pPr>
        <w:pStyle w:val="ListParagraph"/>
        <w:ind w:left="1080"/>
      </w:pPr>
      <w:r>
        <w:t xml:space="preserve">The </w:t>
      </w:r>
      <w:r w:rsidR="00FD296C">
        <w:t>DPM</w:t>
      </w:r>
      <w:r>
        <w:t xml:space="preserve"> sets out the data items available to Suppliers in their</w:t>
      </w:r>
      <w:r w:rsidR="00E42902">
        <w:t xml:space="preserve"> DES and API</w:t>
      </w:r>
      <w:r>
        <w:t xml:space="preserve"> portfolio view.</w:t>
      </w:r>
    </w:p>
    <w:p w:rsidR="0071349B" w:rsidRDefault="0071349B" w:rsidP="00B80887">
      <w:pPr>
        <w:pStyle w:val="ListParagraph"/>
        <w:ind w:left="1080"/>
      </w:pPr>
    </w:p>
    <w:p w:rsidR="0071349B" w:rsidRPr="00FD296C" w:rsidRDefault="0071349B" w:rsidP="0071349B">
      <w:pPr>
        <w:pStyle w:val="ListParagraph"/>
        <w:numPr>
          <w:ilvl w:val="0"/>
          <w:numId w:val="1"/>
        </w:numPr>
        <w:rPr>
          <w:b/>
        </w:rPr>
      </w:pPr>
      <w:r w:rsidRPr="00FD296C">
        <w:rPr>
          <w:b/>
        </w:rPr>
        <w:t>Proposal</w:t>
      </w:r>
    </w:p>
    <w:p w:rsidR="0071349B" w:rsidRDefault="0071349B" w:rsidP="0071349B">
      <w:pPr>
        <w:pStyle w:val="ListParagraph"/>
        <w:ind w:left="1080"/>
      </w:pPr>
    </w:p>
    <w:p w:rsidR="0071349B" w:rsidRDefault="0071349B" w:rsidP="0071349B">
      <w:pPr>
        <w:pStyle w:val="ListParagraph"/>
        <w:ind w:left="1080"/>
      </w:pPr>
      <w:r>
        <w:t>The CoM</w:t>
      </w:r>
      <w:r w:rsidR="00FD296C">
        <w:t>C is requested to approve the principle that if data is available to a Supplier in their</w:t>
      </w:r>
      <w:r w:rsidR="0066698F">
        <w:t xml:space="preserve"> DES</w:t>
      </w:r>
      <w:r w:rsidR="00E42902">
        <w:t xml:space="preserve"> and API</w:t>
      </w:r>
      <w:r w:rsidR="00FD296C">
        <w:t xml:space="preserve"> portfolio view that it can be delivered by other mechanisms e.g. portfolio report.</w:t>
      </w:r>
    </w:p>
    <w:p w:rsidR="00FD296C" w:rsidRDefault="00FD296C" w:rsidP="0071349B">
      <w:pPr>
        <w:pStyle w:val="ListParagraph"/>
        <w:ind w:left="1080"/>
      </w:pPr>
    </w:p>
    <w:p w:rsidR="00FD296C" w:rsidRDefault="00FD296C" w:rsidP="0071349B">
      <w:pPr>
        <w:pStyle w:val="ListParagraph"/>
        <w:ind w:left="1080"/>
      </w:pPr>
      <w:r>
        <w:t xml:space="preserve">For the avoidance of doubt the proposal does not include </w:t>
      </w:r>
      <w:r w:rsidR="0066698F">
        <w:t xml:space="preserve">data in the Supplier community views in the DPM or any data Supplier are permitted to receive that is not shown in the DES </w:t>
      </w:r>
      <w:r w:rsidR="00E42902">
        <w:t xml:space="preserve">or API </w:t>
      </w:r>
      <w:r w:rsidR="0066698F">
        <w:t>portfolio view.</w:t>
      </w:r>
    </w:p>
    <w:p w:rsidR="00FD296C" w:rsidRDefault="00FD296C" w:rsidP="0071349B">
      <w:pPr>
        <w:pStyle w:val="ListParagraph"/>
        <w:ind w:left="1080"/>
      </w:pPr>
    </w:p>
    <w:p w:rsidR="00E1570E" w:rsidRDefault="00E1570E" w:rsidP="00B80887">
      <w:pPr>
        <w:pStyle w:val="ListParagraph"/>
        <w:ind w:left="1080"/>
      </w:pPr>
    </w:p>
    <w:p w:rsidR="00E1570E" w:rsidRDefault="00E1570E" w:rsidP="00B80887">
      <w:pPr>
        <w:pStyle w:val="ListParagraph"/>
        <w:ind w:left="1080"/>
      </w:pPr>
    </w:p>
    <w:p w:rsidR="00B80887" w:rsidRPr="00024F11" w:rsidRDefault="00B80887" w:rsidP="00B80887">
      <w:pPr>
        <w:pStyle w:val="ListParagraph"/>
        <w:ind w:left="1080"/>
      </w:pPr>
    </w:p>
    <w:p w:rsidR="002B753D" w:rsidRPr="00B80887" w:rsidRDefault="00B80887" w:rsidP="00B80887">
      <w:pPr>
        <w:pStyle w:val="ListParagraph"/>
        <w:numPr>
          <w:ilvl w:val="0"/>
          <w:numId w:val="1"/>
        </w:numPr>
        <w:rPr>
          <w:b/>
        </w:rPr>
      </w:pPr>
      <w:r w:rsidRPr="00B80887">
        <w:rPr>
          <w:b/>
        </w:rPr>
        <w:t>Data items</w:t>
      </w:r>
    </w:p>
    <w:p w:rsidR="00B80887" w:rsidRDefault="00B80887" w:rsidP="00B80887">
      <w:pPr>
        <w:pStyle w:val="ListParagraph"/>
        <w:ind w:left="1080"/>
      </w:pPr>
    </w:p>
    <w:p w:rsidR="00186445" w:rsidRDefault="00E42902" w:rsidP="00B80887">
      <w:pPr>
        <w:pStyle w:val="ListParagraph"/>
        <w:ind w:left="1080"/>
      </w:pPr>
      <w:r>
        <w:t>The data items in Supplier DES and API portfolio view are</w:t>
      </w:r>
      <w:r w:rsidR="00520C34">
        <w:t xml:space="preserve"> shown in Appendix A.</w:t>
      </w:r>
    </w:p>
    <w:p w:rsidR="00186445" w:rsidRDefault="00186445" w:rsidP="00B80887">
      <w:pPr>
        <w:pStyle w:val="ListParagraph"/>
        <w:ind w:left="1080"/>
      </w:pPr>
    </w:p>
    <w:p w:rsidR="006F58B9" w:rsidRPr="003643A1" w:rsidRDefault="003643A1" w:rsidP="003643A1">
      <w:pPr>
        <w:pStyle w:val="ListParagraph"/>
        <w:numPr>
          <w:ilvl w:val="0"/>
          <w:numId w:val="1"/>
        </w:numPr>
        <w:rPr>
          <w:b/>
        </w:rPr>
      </w:pPr>
      <w:r w:rsidRPr="003643A1">
        <w:rPr>
          <w:b/>
        </w:rPr>
        <w:t>Privacy Impact Assessment</w:t>
      </w:r>
    </w:p>
    <w:p w:rsidR="005754F7" w:rsidRDefault="005754F7" w:rsidP="00E70DCA">
      <w:pPr>
        <w:pStyle w:val="ListParagraph"/>
        <w:ind w:left="1080"/>
      </w:pPr>
    </w:p>
    <w:p w:rsidR="005754F7" w:rsidRDefault="005754F7" w:rsidP="00E70DCA">
      <w:pPr>
        <w:pStyle w:val="ListParagraph"/>
        <w:ind w:left="1080"/>
      </w:pPr>
      <w:r>
        <w:t>Where the disclosure of information includes the</w:t>
      </w:r>
      <w:r w:rsidR="009746D9">
        <w:t xml:space="preserve"> processing of personal data a Privacy Impact A</w:t>
      </w:r>
      <w:r>
        <w:t>ssessment may be required.</w:t>
      </w:r>
    </w:p>
    <w:p w:rsidR="005754F7" w:rsidRDefault="005754F7" w:rsidP="00E70DCA">
      <w:pPr>
        <w:pStyle w:val="ListParagraph"/>
        <w:ind w:left="1080"/>
      </w:pPr>
    </w:p>
    <w:p w:rsidR="009746D9" w:rsidRDefault="009746D9" w:rsidP="00E70DCA">
      <w:pPr>
        <w:pStyle w:val="ListParagraph"/>
        <w:ind w:left="1080"/>
      </w:pPr>
      <w:r>
        <w:t>Xoserve has considered the various tests that may be applied and considers that none of these are met and so a Privacy Impact Assessment is not required.</w:t>
      </w:r>
    </w:p>
    <w:p w:rsidR="009D6BAF" w:rsidRDefault="009D6BAF" w:rsidP="00E70DCA">
      <w:pPr>
        <w:pStyle w:val="ListParagraph"/>
        <w:ind w:left="1080"/>
      </w:pPr>
    </w:p>
    <w:p w:rsidR="00E70DCA" w:rsidRPr="009D6BAF" w:rsidRDefault="003643A1" w:rsidP="00E70DCA">
      <w:pPr>
        <w:pStyle w:val="ListParagraph"/>
        <w:ind w:left="1080"/>
      </w:pPr>
      <w:r w:rsidRPr="009D6BAF">
        <w:t>The tests</w:t>
      </w:r>
      <w:r w:rsidR="009746D9">
        <w:t xml:space="preserve"> (and answers) </w:t>
      </w:r>
      <w:r w:rsidRPr="009D6BAF">
        <w:t xml:space="preserve"> applied in determining whether a Privacy Imp</w:t>
      </w:r>
      <w:r w:rsidR="009E01EA">
        <w:t xml:space="preserve">act Assessment was </w:t>
      </w:r>
      <w:r w:rsidR="009746D9">
        <w:t>required we</w:t>
      </w:r>
      <w:r w:rsidR="00E70DCA" w:rsidRPr="009D6BAF">
        <w:t>re: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involve the collection of new information about individuals?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compel individuals to provide information about themselves?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information about individuals be disclosed to organisations or people who have not previously had routine access to the information?</w:t>
      </w:r>
    </w:p>
    <w:p w:rsidR="009746D9" w:rsidRPr="009D6BAF" w:rsidRDefault="009746D9" w:rsidP="009746D9">
      <w:pPr>
        <w:pStyle w:val="ListParagraph"/>
        <w:ind w:left="1440"/>
      </w:pPr>
      <w:r>
        <w:t>No, Suppliers already have access to a number of supply point information services.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Are you using information about individuals for a purpose it is not currently used for, or in a way it is not currently used?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Does the project involve you using new technology that might be perceived as being privacy intrusive? For example, the use of biometrics or facial recognition.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 xml:space="preserve">Will the project result in you making decisions or taking action against </w:t>
      </w:r>
      <w:r w:rsidR="005754F7" w:rsidRPr="009D6BAF">
        <w:t>individuals in</w:t>
      </w:r>
      <w:r w:rsidRPr="009D6BAF">
        <w:t xml:space="preserve"> ways that can have a significant impact on them?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Is the information about individuals of a kind particularly likely to raise privacy concerns or expectations? For example, health records, criminal records or other information that people would consider to be private.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Pr="009D6BAF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require you to contact individuals in ways that they may find intrusive?</w:t>
      </w:r>
    </w:p>
    <w:p w:rsidR="005754F7" w:rsidRPr="009D6BAF" w:rsidRDefault="009746D9" w:rsidP="005754F7">
      <w:pPr>
        <w:pStyle w:val="ListParagraph"/>
        <w:ind w:left="1440"/>
      </w:pPr>
      <w:r>
        <w:t>No</w:t>
      </w:r>
    </w:p>
    <w:p w:rsidR="005754F7" w:rsidRDefault="005754F7" w:rsidP="005754F7">
      <w:pPr>
        <w:pStyle w:val="ListParagraph"/>
        <w:numPr>
          <w:ilvl w:val="0"/>
          <w:numId w:val="2"/>
        </w:numPr>
      </w:pPr>
      <w:r w:rsidRPr="009D6BAF">
        <w:t>Will the disclosure of information utilise new technology for Xoserve</w:t>
      </w:r>
      <w:r w:rsidR="009746D9">
        <w:t>?</w:t>
      </w:r>
    </w:p>
    <w:p w:rsidR="009746D9" w:rsidRPr="009D6BAF" w:rsidRDefault="009746D9" w:rsidP="009746D9">
      <w:pPr>
        <w:pStyle w:val="ListParagraph"/>
        <w:ind w:left="1440"/>
      </w:pPr>
      <w:r>
        <w:t xml:space="preserve">No. </w:t>
      </w:r>
    </w:p>
    <w:p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include information that identifies a vulnerable customer</w:t>
      </w:r>
      <w:r w:rsidR="009746D9">
        <w:t>?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9746D9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release mass data to a party</w:t>
      </w:r>
      <w:r w:rsidR="009746D9">
        <w:t>?</w:t>
      </w:r>
    </w:p>
    <w:p w:rsidR="005754F7" w:rsidRPr="009D6BAF" w:rsidRDefault="009746D9" w:rsidP="009746D9">
      <w:pPr>
        <w:pStyle w:val="ListParagraph"/>
        <w:ind w:left="1440"/>
      </w:pPr>
      <w:r>
        <w:t>No</w:t>
      </w:r>
      <w:r w:rsidR="005754F7" w:rsidRPr="009D6BAF">
        <w:t xml:space="preserve"> </w:t>
      </w:r>
    </w:p>
    <w:p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include information that identifies an occurrence of theft of gas</w:t>
      </w:r>
      <w:r w:rsidR="009746D9">
        <w:t>.</w:t>
      </w:r>
    </w:p>
    <w:p w:rsidR="009746D9" w:rsidRPr="009D6BAF" w:rsidRDefault="009746D9" w:rsidP="009746D9">
      <w:pPr>
        <w:pStyle w:val="ListParagraph"/>
        <w:ind w:left="1440"/>
      </w:pPr>
      <w:r>
        <w:lastRenderedPageBreak/>
        <w:t>No</w:t>
      </w:r>
    </w:p>
    <w:p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require a fundamental change to Xoserve business</w:t>
      </w:r>
    </w:p>
    <w:p w:rsidR="009746D9" w:rsidRPr="009D6BAF" w:rsidRDefault="009746D9" w:rsidP="009746D9">
      <w:pPr>
        <w:pStyle w:val="ListParagraph"/>
        <w:ind w:left="1440"/>
      </w:pPr>
      <w:r>
        <w:t>No</w:t>
      </w:r>
    </w:p>
    <w:p w:rsidR="00E70DCA" w:rsidRDefault="00E70DCA" w:rsidP="00B80887">
      <w:pPr>
        <w:pStyle w:val="ListParagraph"/>
        <w:ind w:left="1080"/>
      </w:pPr>
    </w:p>
    <w:p w:rsidR="00E70DCA" w:rsidRPr="001722F5" w:rsidRDefault="00E70DCA" w:rsidP="00E70DCA">
      <w:pPr>
        <w:pStyle w:val="ListParagraph"/>
        <w:numPr>
          <w:ilvl w:val="0"/>
          <w:numId w:val="1"/>
        </w:numPr>
        <w:rPr>
          <w:b/>
        </w:rPr>
      </w:pPr>
      <w:r w:rsidRPr="001722F5">
        <w:rPr>
          <w:b/>
        </w:rPr>
        <w:t>Commercial model</w:t>
      </w:r>
    </w:p>
    <w:p w:rsidR="00E70DCA" w:rsidRDefault="00E70DCA" w:rsidP="00E70DCA">
      <w:pPr>
        <w:pStyle w:val="ListParagraph"/>
        <w:ind w:left="1080"/>
      </w:pPr>
    </w:p>
    <w:p w:rsidR="0032388C" w:rsidRDefault="0066698F" w:rsidP="001738D2">
      <w:pPr>
        <w:pStyle w:val="ListParagraph"/>
        <w:ind w:left="1080"/>
      </w:pPr>
      <w:r>
        <w:t>Suppliers take the DES service under a commercial contract with Xoserve which is largely based upon the DSC</w:t>
      </w:r>
      <w:r w:rsidR="001738D2">
        <w:t xml:space="preserve"> (this followed on from the Non-Code User Pays arrangements</w:t>
      </w:r>
      <w:r>
        <w:t xml:space="preserve">. </w:t>
      </w:r>
    </w:p>
    <w:p w:rsidR="0032388C" w:rsidRDefault="0032388C" w:rsidP="001738D2">
      <w:pPr>
        <w:pStyle w:val="ListParagraph"/>
        <w:ind w:left="1080"/>
      </w:pPr>
    </w:p>
    <w:p w:rsidR="0066698F" w:rsidRDefault="000671D7" w:rsidP="001738D2">
      <w:pPr>
        <w:pStyle w:val="ListParagraph"/>
        <w:ind w:left="1080"/>
      </w:pPr>
      <w:r>
        <w:t xml:space="preserve">Suppliers </w:t>
      </w:r>
      <w:r w:rsidR="0032388C">
        <w:t xml:space="preserve">will </w:t>
      </w:r>
      <w:r>
        <w:t>take the API servi</w:t>
      </w:r>
      <w:r w:rsidR="0032388C">
        <w:t>ce under a similar</w:t>
      </w:r>
      <w:r w:rsidR="001738D2">
        <w:t xml:space="preserve"> contract </w:t>
      </w:r>
      <w:r w:rsidR="0032388C">
        <w:t xml:space="preserve">which will include the necessary confidentiality provisions. </w:t>
      </w:r>
    </w:p>
    <w:p w:rsidR="0032388C" w:rsidRDefault="0032388C" w:rsidP="001738D2">
      <w:pPr>
        <w:pStyle w:val="ListParagraph"/>
        <w:ind w:left="1080"/>
      </w:pPr>
    </w:p>
    <w:p w:rsidR="0032388C" w:rsidRDefault="0032388C" w:rsidP="001738D2">
      <w:pPr>
        <w:pStyle w:val="ListParagraph"/>
        <w:ind w:left="1080"/>
      </w:pPr>
      <w:r>
        <w:t>Suppliers will take portfolio reporting services under a similar contract which will include the necessary confidentiality provisions.</w:t>
      </w:r>
    </w:p>
    <w:p w:rsidR="0032388C" w:rsidRDefault="0032388C" w:rsidP="001738D2">
      <w:pPr>
        <w:pStyle w:val="ListParagraph"/>
        <w:ind w:left="1080"/>
      </w:pPr>
    </w:p>
    <w:p w:rsidR="0032388C" w:rsidRDefault="0032388C" w:rsidP="001738D2">
      <w:pPr>
        <w:pStyle w:val="ListParagraph"/>
        <w:ind w:left="1080"/>
      </w:pPr>
      <w:r>
        <w:t>Xoserve may look to rationalise these contracts in future to become a single framework contract with separate service schedules.</w:t>
      </w:r>
    </w:p>
    <w:p w:rsidR="0066698F" w:rsidRDefault="0066698F" w:rsidP="00E70DCA">
      <w:pPr>
        <w:pStyle w:val="ListParagraph"/>
        <w:ind w:left="1080"/>
      </w:pPr>
    </w:p>
    <w:p w:rsidR="003664FF" w:rsidRPr="003664FF" w:rsidRDefault="003664FF" w:rsidP="003664FF">
      <w:pPr>
        <w:pStyle w:val="ListParagraph"/>
        <w:numPr>
          <w:ilvl w:val="0"/>
          <w:numId w:val="1"/>
        </w:numPr>
        <w:rPr>
          <w:b/>
        </w:rPr>
      </w:pPr>
      <w:r w:rsidRPr="003664FF">
        <w:rPr>
          <w:b/>
        </w:rPr>
        <w:t xml:space="preserve">Method </w:t>
      </w:r>
      <w:r w:rsidR="009746D9">
        <w:rPr>
          <w:b/>
        </w:rPr>
        <w:t>of</w:t>
      </w:r>
      <w:r w:rsidR="0066698F">
        <w:rPr>
          <w:b/>
        </w:rPr>
        <w:t xml:space="preserve"> delivery of portfolio reporting services</w:t>
      </w:r>
    </w:p>
    <w:p w:rsidR="003664FF" w:rsidRDefault="003664FF" w:rsidP="003664FF">
      <w:pPr>
        <w:pStyle w:val="ListParagraph"/>
        <w:ind w:left="1080"/>
      </w:pPr>
    </w:p>
    <w:p w:rsidR="004D12CF" w:rsidRDefault="0066698F" w:rsidP="003664FF">
      <w:pPr>
        <w:pStyle w:val="ListParagraph"/>
        <w:ind w:left="1080"/>
      </w:pPr>
      <w:r>
        <w:t>This will be agreed with the relevant Supplier</w:t>
      </w:r>
      <w:r w:rsidR="00A318DC">
        <w:t xml:space="preserve"> and</w:t>
      </w:r>
      <w:r>
        <w:t xml:space="preserve"> could include; email reports, USB</w:t>
      </w:r>
      <w:r w:rsidR="00672065">
        <w:t xml:space="preserve"> delivery, shared area delivery etc.</w:t>
      </w:r>
    </w:p>
    <w:p w:rsidR="001C239F" w:rsidRDefault="001C239F" w:rsidP="003664FF">
      <w:pPr>
        <w:pStyle w:val="ListParagraph"/>
        <w:ind w:left="1080"/>
      </w:pPr>
    </w:p>
    <w:p w:rsidR="00CB33AA" w:rsidRPr="00B23093" w:rsidRDefault="00EB6B3C" w:rsidP="00EB6B3C">
      <w:pPr>
        <w:pStyle w:val="ListParagraph"/>
        <w:numPr>
          <w:ilvl w:val="0"/>
          <w:numId w:val="1"/>
        </w:numPr>
        <w:rPr>
          <w:b/>
        </w:rPr>
      </w:pPr>
      <w:r w:rsidRPr="00B23093">
        <w:rPr>
          <w:b/>
        </w:rPr>
        <w:t>CoMC determinations</w:t>
      </w:r>
    </w:p>
    <w:p w:rsidR="00EB6B3C" w:rsidRDefault="00EB6B3C" w:rsidP="00EB6B3C">
      <w:pPr>
        <w:pStyle w:val="ListParagraph"/>
        <w:ind w:left="1080"/>
      </w:pPr>
    </w:p>
    <w:p w:rsidR="000A7121" w:rsidRDefault="000A7121" w:rsidP="000A7121">
      <w:pPr>
        <w:pStyle w:val="ListParagraph"/>
        <w:ind w:left="1080"/>
      </w:pPr>
      <w:r>
        <w:t>The CoMC is requested to approve the principle that if data is available to a Supplier in their DES and API portfolio view that it can be delivered by other mechanisms e.g. portfolio report.</w:t>
      </w:r>
    </w:p>
    <w:p w:rsidR="00B23093" w:rsidRDefault="00B23093" w:rsidP="00EB6B3C">
      <w:pPr>
        <w:pStyle w:val="ListParagraph"/>
        <w:ind w:left="1080"/>
      </w:pPr>
    </w:p>
    <w:p w:rsidR="001E1278" w:rsidRDefault="001E1278" w:rsidP="009D6BAF">
      <w:pPr>
        <w:pStyle w:val="ListParagraph"/>
        <w:numPr>
          <w:ilvl w:val="0"/>
          <w:numId w:val="3"/>
        </w:numPr>
      </w:pPr>
      <w:r>
        <w:br w:type="page"/>
      </w:r>
    </w:p>
    <w:p w:rsidR="00E70DCA" w:rsidRPr="009746D9" w:rsidRDefault="001E1278" w:rsidP="00E70DCA">
      <w:pPr>
        <w:pStyle w:val="ListParagraph"/>
        <w:ind w:left="1080"/>
        <w:rPr>
          <w:b/>
        </w:rPr>
      </w:pPr>
      <w:r w:rsidRPr="009746D9">
        <w:rPr>
          <w:b/>
        </w:rPr>
        <w:lastRenderedPageBreak/>
        <w:t xml:space="preserve">Appendix </w:t>
      </w:r>
      <w:r w:rsidR="009746D9">
        <w:rPr>
          <w:b/>
        </w:rPr>
        <w:t xml:space="preserve">A. </w:t>
      </w:r>
      <w:r w:rsidR="00E060C3">
        <w:rPr>
          <w:b/>
        </w:rPr>
        <w:t>Supplier DES and API portfolio view data items</w:t>
      </w:r>
    </w:p>
    <w:p w:rsidR="005E30E9" w:rsidRDefault="005E30E9" w:rsidP="00E70DCA">
      <w:pPr>
        <w:pStyle w:val="ListParagraph"/>
        <w:ind w:left="1080"/>
      </w:pPr>
    </w:p>
    <w:tbl>
      <w:tblPr>
        <w:tblW w:w="8960" w:type="dxa"/>
        <w:tblInd w:w="103" w:type="dxa"/>
        <w:tblLook w:val="04A0" w:firstRow="1" w:lastRow="0" w:firstColumn="1" w:lastColumn="0" w:noHBand="0" w:noVBand="1"/>
      </w:tblPr>
      <w:tblGrid>
        <w:gridCol w:w="2760"/>
        <w:gridCol w:w="3520"/>
        <w:gridCol w:w="1340"/>
        <w:gridCol w:w="1340"/>
      </w:tblGrid>
      <w:tr w:rsidR="00E060C3" w:rsidRPr="00E060C3" w:rsidTr="00E060C3">
        <w:trPr>
          <w:trHeight w:val="2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 TYPE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 ITEM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DES </w:t>
            </w:r>
            <w:r w:rsidRPr="00E06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PORTFOLIO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API </w:t>
            </w:r>
            <w:r w:rsidRPr="00E060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PORTFOLIO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Point Reference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SMP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Shipper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Shipper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Supplier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Supplier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Incoming Supplier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Incoming Supplier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Previous Supplier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Previous Supplier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Logical Meter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Confirmation Reference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Confirmation Effective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Withdrawal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Sector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Link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Class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Contract Exists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LDZ 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Exit Zone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Owner EFD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Priority Consumers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Read Batch Frequency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Bypass Fitted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Twin Stream Site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CSEP 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Shared SMP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AQ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Formula Year SMP AQ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CSEP Max AQ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Original SMP AQ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Year Minimum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SMP SOQ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Formula Year SMP SOQ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CSEP SOQ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Quantities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SMP SHQ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Related Meter Point Reference Number(s)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Related Meter Points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Emergency Contact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Emergency Contact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Emergency Contact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Emergency Contact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Emergency Contact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Emergency Contact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Bid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Contract Start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Contract End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Tranche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Interruptible Capacity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Interruptible Days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Option Price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Exercise Price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Shipper Bid Reference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Interruption Results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Location 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Type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Manufacture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Installation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Device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of Dials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Mechanism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Capacity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Correction Factor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Gas Act Owner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MAM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MAM EFD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SMSO 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SMS Operating Entity EFD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DCC Service Flag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DCC Service Flag EFD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Installing Supplier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Installing Supplier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SMETS Installation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IHD Install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Daily Read Equipment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Daily Read Equipment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Installation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Daily Read Equipment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Device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Daily Read Equipment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Daily Read Equipment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Daily Read Equipment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Telemetered Site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Daily Read Equipment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Daily Read Equipment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 Effective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Correction Factor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Serial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Dials Corrected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Manufacture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Device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Isolation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 Service Provider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Read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Latest Meter Read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Read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Latest Meter Read Type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060C3" w:rsidRPr="00E060C3" w:rsidTr="00E060C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Read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Latest Meter Read Value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C3" w:rsidRPr="00E060C3" w:rsidRDefault="00E060C3" w:rsidP="00E06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060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</w:tbl>
    <w:p w:rsidR="005E30E9" w:rsidRDefault="005E30E9" w:rsidP="00E70DCA">
      <w:pPr>
        <w:pStyle w:val="ListParagraph"/>
        <w:ind w:left="1080"/>
      </w:pPr>
    </w:p>
    <w:p w:rsidR="001E1278" w:rsidRDefault="001E1278" w:rsidP="00E70DCA">
      <w:pPr>
        <w:pStyle w:val="ListParagraph"/>
        <w:ind w:left="1080"/>
      </w:pPr>
    </w:p>
    <w:p w:rsidR="001E1278" w:rsidRDefault="001E1278" w:rsidP="00E70DCA">
      <w:pPr>
        <w:pStyle w:val="ListParagraph"/>
        <w:ind w:left="1080"/>
      </w:pPr>
    </w:p>
    <w:p w:rsidR="00FD587D" w:rsidRDefault="00FD587D"/>
    <w:sectPr w:rsidR="00FD58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76" w:rsidRDefault="00DA5176" w:rsidP="00E70DCA">
      <w:pPr>
        <w:spacing w:after="0" w:line="240" w:lineRule="auto"/>
      </w:pPr>
      <w:r>
        <w:separator/>
      </w:r>
    </w:p>
  </w:endnote>
  <w:endnote w:type="continuationSeparator" w:id="0">
    <w:p w:rsidR="00DA5176" w:rsidRDefault="00DA5176" w:rsidP="00E7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7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8D2" w:rsidRDefault="001738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8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38D2" w:rsidRDefault="0017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76" w:rsidRDefault="00DA5176" w:rsidP="00E70DCA">
      <w:pPr>
        <w:spacing w:after="0" w:line="240" w:lineRule="auto"/>
      </w:pPr>
      <w:r>
        <w:separator/>
      </w:r>
    </w:p>
  </w:footnote>
  <w:footnote w:type="continuationSeparator" w:id="0">
    <w:p w:rsidR="00DA5176" w:rsidRDefault="00DA5176" w:rsidP="00E7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B5C"/>
    <w:multiLevelType w:val="hybridMultilevel"/>
    <w:tmpl w:val="1F0EDDB2"/>
    <w:lvl w:ilvl="0" w:tplc="A0DA7A0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60F1"/>
    <w:multiLevelType w:val="hybridMultilevel"/>
    <w:tmpl w:val="55D4FD24"/>
    <w:lvl w:ilvl="0" w:tplc="2CDE8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30B4B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53D"/>
    <w:rsid w:val="00024F11"/>
    <w:rsid w:val="000671D7"/>
    <w:rsid w:val="000676FD"/>
    <w:rsid w:val="000A7121"/>
    <w:rsid w:val="00123034"/>
    <w:rsid w:val="001722F5"/>
    <w:rsid w:val="001738D2"/>
    <w:rsid w:val="00186445"/>
    <w:rsid w:val="001B2164"/>
    <w:rsid w:val="001C239F"/>
    <w:rsid w:val="001E1278"/>
    <w:rsid w:val="00297F05"/>
    <w:rsid w:val="002B753D"/>
    <w:rsid w:val="002F3476"/>
    <w:rsid w:val="002F521F"/>
    <w:rsid w:val="00311AC1"/>
    <w:rsid w:val="0032388C"/>
    <w:rsid w:val="003643A1"/>
    <w:rsid w:val="003664FF"/>
    <w:rsid w:val="00466409"/>
    <w:rsid w:val="0047700A"/>
    <w:rsid w:val="00477150"/>
    <w:rsid w:val="00491E0A"/>
    <w:rsid w:val="004A6C0B"/>
    <w:rsid w:val="004D12CF"/>
    <w:rsid w:val="00520C34"/>
    <w:rsid w:val="00522725"/>
    <w:rsid w:val="00533331"/>
    <w:rsid w:val="005754F7"/>
    <w:rsid w:val="005E30E9"/>
    <w:rsid w:val="0066698F"/>
    <w:rsid w:val="00672065"/>
    <w:rsid w:val="006750D1"/>
    <w:rsid w:val="006A53EF"/>
    <w:rsid w:val="006C6F40"/>
    <w:rsid w:val="006F58B9"/>
    <w:rsid w:val="0071349B"/>
    <w:rsid w:val="00720B9A"/>
    <w:rsid w:val="007D4504"/>
    <w:rsid w:val="007E4361"/>
    <w:rsid w:val="007E7644"/>
    <w:rsid w:val="0085681F"/>
    <w:rsid w:val="009746D9"/>
    <w:rsid w:val="009D6BAF"/>
    <w:rsid w:val="009E01EA"/>
    <w:rsid w:val="00A318DC"/>
    <w:rsid w:val="00A96CDD"/>
    <w:rsid w:val="00AF3463"/>
    <w:rsid w:val="00B23093"/>
    <w:rsid w:val="00B30B64"/>
    <w:rsid w:val="00B73CCF"/>
    <w:rsid w:val="00B80887"/>
    <w:rsid w:val="00C04FFE"/>
    <w:rsid w:val="00C54A57"/>
    <w:rsid w:val="00CB33AA"/>
    <w:rsid w:val="00CE4697"/>
    <w:rsid w:val="00CF1FD8"/>
    <w:rsid w:val="00D54E32"/>
    <w:rsid w:val="00D70618"/>
    <w:rsid w:val="00DA5176"/>
    <w:rsid w:val="00E060C3"/>
    <w:rsid w:val="00E1570E"/>
    <w:rsid w:val="00E309E4"/>
    <w:rsid w:val="00E34B47"/>
    <w:rsid w:val="00E42902"/>
    <w:rsid w:val="00E62069"/>
    <w:rsid w:val="00E70DCA"/>
    <w:rsid w:val="00E878F0"/>
    <w:rsid w:val="00EB6B3C"/>
    <w:rsid w:val="00FD296C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BFE4-4EA9-9041-86D3-3AF4578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3D"/>
    <w:pPr>
      <w:ind w:left="720"/>
      <w:contextualSpacing/>
    </w:pPr>
  </w:style>
  <w:style w:type="table" w:styleId="TableGrid">
    <w:name w:val="Table Grid"/>
    <w:basedOn w:val="TableNormal"/>
    <w:uiPriority w:val="59"/>
    <w:rsid w:val="006F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CA"/>
  </w:style>
  <w:style w:type="paragraph" w:styleId="Footer">
    <w:name w:val="footer"/>
    <w:basedOn w:val="Normal"/>
    <w:link w:val="FooterChar"/>
    <w:uiPriority w:val="99"/>
    <w:unhideWhenUsed/>
    <w:rsid w:val="00E7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CA"/>
  </w:style>
  <w:style w:type="character" w:styleId="Hyperlink">
    <w:name w:val="Hyperlink"/>
    <w:basedOn w:val="DefaultParagraphFont"/>
    <w:uiPriority w:val="99"/>
    <w:unhideWhenUsed/>
    <w:rsid w:val="006A53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Helen Bennett</cp:lastModifiedBy>
  <cp:revision>2</cp:revision>
  <cp:lastPrinted>2018-08-29T10:37:00Z</cp:lastPrinted>
  <dcterms:created xsi:type="dcterms:W3CDTF">2018-10-10T19:47:00Z</dcterms:created>
  <dcterms:modified xsi:type="dcterms:W3CDTF">2018-10-10T19:47:00Z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1920967833</vt:i4>
  </property>
  <property fmtid="{D5CDD505-2E9C-101B-9397-08002B2CF9AE}" pid="3" name="_NewReviewCycle">
    <vt:lpwstr/>
  </property>
  <property fmtid="{D5CDD505-2E9C-101B-9397-08002B2CF9AE}" pid="4" name="_EmailSubject">
    <vt:lpwstr>EXT || DSC Contract Management Committee - Agenda</vt:lpwstr>
  </property>
  <property fmtid="{D5CDD505-2E9C-101B-9397-08002B2CF9AE}" pid="5" name="_AuthorEmail">
    <vt:lpwstr>Michael.Orsler@xoserve.com</vt:lpwstr>
  </property>
  <property fmtid="{D5CDD505-2E9C-101B-9397-08002B2CF9AE}" pid="6" name="_AuthorEmailDisplayName">
    <vt:lpwstr>Orsler, Michael</vt:lpwstr>
  </property>
</Properties>
</file>