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bookmarkStart w:id="0" w:name="_GoBack"/>
      <w:bookmarkEnd w:id="0"/>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
        <w:tblW w:w="5256" w:type="pct"/>
        <w:tblLayout w:type="fixed"/>
        <w:tblLook w:val="04A0" w:firstRow="1" w:lastRow="0" w:firstColumn="1" w:lastColumn="0" w:noHBand="0" w:noVBand="1"/>
      </w:tblPr>
      <w:tblGrid>
        <w:gridCol w:w="4504"/>
        <w:gridCol w:w="5211"/>
      </w:tblGrid>
      <w:tr w:rsidR="007242F3" w:rsidRPr="00683A0C" w14:paraId="02CE8ABA" w14:textId="77777777" w:rsidTr="001C2439">
        <w:tc>
          <w:tcPr>
            <w:tcW w:w="2318" w:type="pct"/>
            <w:shd w:val="clear" w:color="auto" w:fill="FFFFFF" w:themeFill="background1"/>
            <w:vAlign w:val="center"/>
          </w:tcPr>
          <w:p w14:paraId="74FF9F14" w14:textId="77777777" w:rsidR="007242F3" w:rsidRPr="00CD7096" w:rsidRDefault="007242F3" w:rsidP="001C2439">
            <w:pPr>
              <w:rPr>
                <w:rFonts w:cs="Arial"/>
                <w:b/>
                <w:sz w:val="20"/>
                <w:szCs w:val="16"/>
              </w:rPr>
            </w:pPr>
            <w:r w:rsidRPr="00CD7096">
              <w:rPr>
                <w:rFonts w:cs="Arial"/>
                <w:b/>
                <w:sz w:val="20"/>
                <w:szCs w:val="16"/>
              </w:rPr>
              <w:t>Change Title</w:t>
            </w:r>
          </w:p>
        </w:tc>
        <w:tc>
          <w:tcPr>
            <w:tcW w:w="2682" w:type="pct"/>
          </w:tcPr>
          <w:p w14:paraId="0D86AE04" w14:textId="77777777" w:rsidR="007242F3" w:rsidRPr="00795816" w:rsidRDefault="007242F3" w:rsidP="001C2439">
            <w:pPr>
              <w:rPr>
                <w:rFonts w:cstheme="minorHAnsi"/>
                <w:sz w:val="20"/>
                <w:szCs w:val="20"/>
              </w:rPr>
            </w:pPr>
            <w:r w:rsidRPr="00443DD4">
              <w:rPr>
                <w:rFonts w:cstheme="minorHAnsi"/>
                <w:sz w:val="20"/>
                <w:szCs w:val="20"/>
              </w:rPr>
              <w:t>Formula Year AQSOQ to Proposing Users (API Solution)</w:t>
            </w:r>
          </w:p>
        </w:tc>
      </w:tr>
      <w:tr w:rsidR="007242F3" w:rsidRPr="00683A0C" w14:paraId="23AA6657" w14:textId="77777777" w:rsidTr="001C2439">
        <w:tc>
          <w:tcPr>
            <w:tcW w:w="2318" w:type="pct"/>
            <w:shd w:val="clear" w:color="auto" w:fill="FFFFFF" w:themeFill="background1"/>
            <w:vAlign w:val="center"/>
          </w:tcPr>
          <w:p w14:paraId="48ACA8AF" w14:textId="77777777" w:rsidR="007242F3" w:rsidRPr="00CD7096" w:rsidRDefault="007242F3" w:rsidP="001C2439">
            <w:pPr>
              <w:rPr>
                <w:rFonts w:cs="Arial"/>
                <w:b/>
                <w:sz w:val="20"/>
                <w:szCs w:val="16"/>
              </w:rPr>
            </w:pPr>
            <w:r w:rsidRPr="00CD7096">
              <w:rPr>
                <w:rFonts w:cs="Arial"/>
                <w:b/>
                <w:sz w:val="20"/>
                <w:szCs w:val="16"/>
              </w:rPr>
              <w:t>Change reference number (XRN)</w:t>
            </w:r>
          </w:p>
        </w:tc>
        <w:tc>
          <w:tcPr>
            <w:tcW w:w="2682" w:type="pct"/>
          </w:tcPr>
          <w:p w14:paraId="22D01460" w14:textId="77777777" w:rsidR="007242F3" w:rsidRPr="00795816" w:rsidRDefault="007242F3" w:rsidP="001C2439">
            <w:pPr>
              <w:rPr>
                <w:rFonts w:cstheme="minorHAnsi"/>
                <w:sz w:val="20"/>
                <w:szCs w:val="20"/>
              </w:rPr>
            </w:pPr>
            <w:r>
              <w:rPr>
                <w:rFonts w:cstheme="minorHAnsi"/>
                <w:sz w:val="20"/>
                <w:szCs w:val="20"/>
              </w:rPr>
              <w:t>XRN3667a</w:t>
            </w:r>
          </w:p>
        </w:tc>
      </w:tr>
      <w:tr w:rsidR="007242F3" w:rsidRPr="00683A0C" w14:paraId="5EF76FCD" w14:textId="77777777" w:rsidTr="001C2439">
        <w:tc>
          <w:tcPr>
            <w:tcW w:w="2318" w:type="pct"/>
            <w:tcBorders>
              <w:bottom w:val="single" w:sz="4" w:space="0" w:color="auto"/>
            </w:tcBorders>
            <w:shd w:val="clear" w:color="auto" w:fill="FFFFFF" w:themeFill="background1"/>
            <w:vAlign w:val="center"/>
          </w:tcPr>
          <w:p w14:paraId="5B24EBAC" w14:textId="77777777" w:rsidR="007242F3" w:rsidRPr="00CD7096" w:rsidRDefault="007242F3" w:rsidP="001C2439">
            <w:pPr>
              <w:rPr>
                <w:rFonts w:cs="Arial"/>
                <w:b/>
                <w:sz w:val="20"/>
                <w:szCs w:val="16"/>
              </w:rPr>
            </w:pPr>
            <w:r w:rsidRPr="00CD7096">
              <w:rPr>
                <w:rFonts w:cs="Arial"/>
                <w:b/>
                <w:sz w:val="20"/>
                <w:szCs w:val="16"/>
              </w:rPr>
              <w:t xml:space="preserve">Xoserve Project Manager  </w:t>
            </w:r>
          </w:p>
        </w:tc>
        <w:tc>
          <w:tcPr>
            <w:tcW w:w="2682" w:type="pct"/>
            <w:tcBorders>
              <w:bottom w:val="single" w:sz="4" w:space="0" w:color="auto"/>
            </w:tcBorders>
          </w:tcPr>
          <w:p w14:paraId="32721E0C" w14:textId="77777777" w:rsidR="007242F3" w:rsidRPr="00795816" w:rsidRDefault="007242F3" w:rsidP="001C2439">
            <w:pPr>
              <w:rPr>
                <w:rFonts w:cstheme="minorHAnsi"/>
                <w:sz w:val="20"/>
                <w:szCs w:val="20"/>
              </w:rPr>
            </w:pPr>
            <w:r>
              <w:rPr>
                <w:rFonts w:cstheme="minorHAnsi"/>
                <w:sz w:val="20"/>
                <w:szCs w:val="20"/>
              </w:rPr>
              <w:t>Charlie Haley</w:t>
            </w:r>
          </w:p>
        </w:tc>
      </w:tr>
      <w:tr w:rsidR="007242F3" w:rsidRPr="00683A0C" w14:paraId="269913C0" w14:textId="77777777" w:rsidTr="001C2439">
        <w:tc>
          <w:tcPr>
            <w:tcW w:w="2318" w:type="pct"/>
            <w:tcBorders>
              <w:bottom w:val="single" w:sz="4" w:space="0" w:color="auto"/>
            </w:tcBorders>
            <w:shd w:val="clear" w:color="auto" w:fill="FFFFFF" w:themeFill="background1"/>
            <w:vAlign w:val="center"/>
          </w:tcPr>
          <w:p w14:paraId="5588E336" w14:textId="77777777" w:rsidR="007242F3" w:rsidRPr="00CD7096" w:rsidRDefault="007242F3" w:rsidP="001C2439">
            <w:pPr>
              <w:rPr>
                <w:rFonts w:cs="Arial"/>
                <w:b/>
                <w:sz w:val="20"/>
                <w:szCs w:val="16"/>
              </w:rPr>
            </w:pPr>
            <w:r w:rsidRPr="00CD7096">
              <w:rPr>
                <w:rFonts w:cs="Arial"/>
                <w:b/>
                <w:sz w:val="20"/>
                <w:szCs w:val="16"/>
              </w:rPr>
              <w:t>Email address</w:t>
            </w:r>
          </w:p>
        </w:tc>
        <w:tc>
          <w:tcPr>
            <w:tcW w:w="2682" w:type="pct"/>
            <w:tcBorders>
              <w:bottom w:val="single" w:sz="4" w:space="0" w:color="auto"/>
            </w:tcBorders>
          </w:tcPr>
          <w:p w14:paraId="7F81835A" w14:textId="77777777" w:rsidR="007242F3" w:rsidRPr="00795816" w:rsidRDefault="007242F3" w:rsidP="001C2439">
            <w:pPr>
              <w:rPr>
                <w:rFonts w:cstheme="minorHAnsi"/>
                <w:sz w:val="20"/>
                <w:szCs w:val="20"/>
              </w:rPr>
            </w:pPr>
            <w:r>
              <w:rPr>
                <w:rFonts w:cstheme="minorHAnsi"/>
                <w:sz w:val="20"/>
                <w:szCs w:val="20"/>
              </w:rPr>
              <w:t>Charlie.Haley@xoserve.com</w:t>
            </w:r>
          </w:p>
        </w:tc>
      </w:tr>
      <w:tr w:rsidR="007242F3" w:rsidRPr="00683A0C" w14:paraId="44F61894" w14:textId="77777777" w:rsidTr="001C2439">
        <w:tc>
          <w:tcPr>
            <w:tcW w:w="2318" w:type="pct"/>
            <w:tcBorders>
              <w:bottom w:val="single" w:sz="4" w:space="0" w:color="auto"/>
            </w:tcBorders>
            <w:shd w:val="clear" w:color="auto" w:fill="FFFFFF" w:themeFill="background1"/>
            <w:vAlign w:val="center"/>
          </w:tcPr>
          <w:p w14:paraId="5997708F" w14:textId="77777777" w:rsidR="007242F3" w:rsidRPr="00007514" w:rsidRDefault="007242F3" w:rsidP="001C2439">
            <w:pPr>
              <w:rPr>
                <w:rFonts w:cs="Arial"/>
                <w:b/>
                <w:sz w:val="20"/>
                <w:szCs w:val="16"/>
              </w:rPr>
            </w:pPr>
            <w:r w:rsidRPr="00007514">
              <w:rPr>
                <w:rFonts w:cs="Arial"/>
                <w:b/>
                <w:sz w:val="20"/>
                <w:szCs w:val="16"/>
              </w:rPr>
              <w:t>Contact number</w:t>
            </w:r>
          </w:p>
        </w:tc>
        <w:tc>
          <w:tcPr>
            <w:tcW w:w="2682" w:type="pct"/>
            <w:tcBorders>
              <w:bottom w:val="single" w:sz="4" w:space="0" w:color="auto"/>
            </w:tcBorders>
          </w:tcPr>
          <w:p w14:paraId="21C6068D" w14:textId="77777777" w:rsidR="007242F3" w:rsidRPr="00795816" w:rsidRDefault="007242F3" w:rsidP="001C2439">
            <w:pPr>
              <w:rPr>
                <w:rFonts w:cstheme="minorHAnsi"/>
                <w:sz w:val="20"/>
                <w:szCs w:val="20"/>
              </w:rPr>
            </w:pPr>
            <w:r>
              <w:rPr>
                <w:rFonts w:cstheme="minorHAnsi"/>
                <w:sz w:val="20"/>
                <w:szCs w:val="20"/>
              </w:rPr>
              <w:t>01216232620</w:t>
            </w:r>
          </w:p>
        </w:tc>
      </w:tr>
      <w:tr w:rsidR="007242F3" w:rsidRPr="00683A0C" w14:paraId="41AB9C4E" w14:textId="77777777" w:rsidTr="001C2439">
        <w:tc>
          <w:tcPr>
            <w:tcW w:w="2318" w:type="pct"/>
            <w:tcBorders>
              <w:bottom w:val="single" w:sz="4" w:space="0" w:color="auto"/>
            </w:tcBorders>
            <w:shd w:val="clear" w:color="auto" w:fill="FFFFFF" w:themeFill="background1"/>
            <w:vAlign w:val="center"/>
          </w:tcPr>
          <w:p w14:paraId="3019B8F0" w14:textId="77777777" w:rsidR="007242F3" w:rsidRPr="00752472" w:rsidRDefault="007242F3" w:rsidP="001C2439">
            <w:pPr>
              <w:rPr>
                <w:rFonts w:cs="Arial"/>
                <w:b/>
                <w:sz w:val="20"/>
                <w:szCs w:val="16"/>
              </w:rPr>
            </w:pPr>
            <w:r>
              <w:rPr>
                <w:rFonts w:cs="Arial"/>
                <w:b/>
                <w:sz w:val="20"/>
                <w:szCs w:val="16"/>
              </w:rPr>
              <w:t>Target Change Management Committee date</w:t>
            </w:r>
          </w:p>
        </w:tc>
        <w:tc>
          <w:tcPr>
            <w:tcW w:w="2682" w:type="pct"/>
            <w:tcBorders>
              <w:bottom w:val="single" w:sz="4" w:space="0" w:color="auto"/>
            </w:tcBorders>
          </w:tcPr>
          <w:p w14:paraId="65D89A7D" w14:textId="77777777" w:rsidR="007242F3" w:rsidRPr="00795816" w:rsidRDefault="007242F3" w:rsidP="001C2439">
            <w:pPr>
              <w:rPr>
                <w:rFonts w:cstheme="minorHAnsi"/>
                <w:sz w:val="20"/>
                <w:szCs w:val="20"/>
              </w:rPr>
            </w:pPr>
            <w:r>
              <w:rPr>
                <w:rFonts w:cstheme="minorHAnsi"/>
                <w:sz w:val="20"/>
                <w:szCs w:val="20"/>
              </w:rPr>
              <w:t>13/03/19</w:t>
            </w:r>
          </w:p>
        </w:tc>
      </w:tr>
      <w:tr w:rsidR="007242F3" w:rsidRPr="00683A0C" w14:paraId="38B4E8FA" w14:textId="77777777" w:rsidTr="001C2439">
        <w:tc>
          <w:tcPr>
            <w:tcW w:w="2318" w:type="pct"/>
            <w:tcBorders>
              <w:bottom w:val="single" w:sz="4" w:space="0" w:color="auto"/>
            </w:tcBorders>
            <w:shd w:val="clear" w:color="auto" w:fill="FFFFFF" w:themeFill="background1"/>
            <w:vAlign w:val="center"/>
          </w:tcPr>
          <w:p w14:paraId="6F982F94" w14:textId="77777777" w:rsidR="007242F3" w:rsidRPr="00007514" w:rsidRDefault="007242F3" w:rsidP="001C2439">
            <w:pPr>
              <w:rPr>
                <w:rFonts w:cs="Arial"/>
                <w:b/>
                <w:sz w:val="20"/>
                <w:szCs w:val="16"/>
              </w:rPr>
            </w:pPr>
            <w:r w:rsidRPr="00007514">
              <w:rPr>
                <w:rFonts w:cs="Arial"/>
                <w:b/>
                <w:sz w:val="20"/>
                <w:szCs w:val="16"/>
              </w:rPr>
              <w:t>Date of Solution Implementation</w:t>
            </w:r>
          </w:p>
        </w:tc>
        <w:tc>
          <w:tcPr>
            <w:tcW w:w="2682" w:type="pct"/>
            <w:tcBorders>
              <w:bottom w:val="single" w:sz="4" w:space="0" w:color="auto"/>
            </w:tcBorders>
          </w:tcPr>
          <w:p w14:paraId="3C663967" w14:textId="77777777" w:rsidR="007242F3" w:rsidRPr="00795816" w:rsidRDefault="007242F3" w:rsidP="001C2439">
            <w:pPr>
              <w:rPr>
                <w:rFonts w:cstheme="minorHAnsi"/>
                <w:sz w:val="20"/>
                <w:szCs w:val="20"/>
              </w:rPr>
            </w:pPr>
            <w:r>
              <w:rPr>
                <w:rFonts w:cstheme="minorHAnsi"/>
                <w:sz w:val="20"/>
                <w:szCs w:val="20"/>
              </w:rPr>
              <w:t>15/02/19</w:t>
            </w:r>
          </w:p>
        </w:tc>
      </w:tr>
      <w:tr w:rsidR="007242F3" w:rsidRPr="00683A0C" w14:paraId="22C76FBF" w14:textId="77777777" w:rsidTr="001C2439">
        <w:tc>
          <w:tcPr>
            <w:tcW w:w="5000" w:type="pct"/>
            <w:gridSpan w:val="2"/>
            <w:tcBorders>
              <w:bottom w:val="single" w:sz="4" w:space="0" w:color="auto"/>
            </w:tcBorders>
            <w:shd w:val="clear" w:color="auto" w:fill="3E5AA8" w:themeFill="accent1"/>
            <w:vAlign w:val="center"/>
          </w:tcPr>
          <w:p w14:paraId="0F5AA061" w14:textId="77777777" w:rsidR="007242F3" w:rsidRPr="00532D52" w:rsidRDefault="007242F3" w:rsidP="001C2439">
            <w:pPr>
              <w:jc w:val="center"/>
              <w:rPr>
                <w:rFonts w:cs="Arial"/>
                <w:b/>
                <w:color w:val="FFFFFF" w:themeColor="background1"/>
                <w:sz w:val="20"/>
              </w:rPr>
            </w:pPr>
            <w:r w:rsidRPr="00532D52">
              <w:rPr>
                <w:rFonts w:asciiTheme="majorHAnsi" w:eastAsiaTheme="minorHAnsi" w:hAnsiTheme="majorHAnsi" w:cstheme="majorHAnsi"/>
                <w:b/>
                <w:color w:val="FFFFFF" w:themeColor="background1"/>
                <w:sz w:val="20"/>
                <w:lang w:eastAsia="en-US"/>
              </w:rPr>
              <w:t>Section 1: Overview of Change Delivery</w:t>
            </w:r>
          </w:p>
        </w:tc>
      </w:tr>
      <w:tr w:rsidR="007242F3" w:rsidRPr="00683A0C" w14:paraId="21B32AE7" w14:textId="77777777" w:rsidTr="001C2439">
        <w:tc>
          <w:tcPr>
            <w:tcW w:w="5000" w:type="pct"/>
            <w:gridSpan w:val="2"/>
            <w:tcBorders>
              <w:bottom w:val="single" w:sz="4" w:space="0" w:color="auto"/>
            </w:tcBorders>
            <w:shd w:val="clear" w:color="auto" w:fill="FFFFFF" w:themeFill="background1"/>
          </w:tcPr>
          <w:p w14:paraId="5816C94D" w14:textId="77777777" w:rsidR="007242F3" w:rsidRPr="00056481" w:rsidRDefault="007242F3" w:rsidP="001C2439">
            <w:pPr>
              <w:pStyle w:val="ListParagraph"/>
              <w:rPr>
                <w:rFonts w:cs="Arial"/>
                <w:i/>
                <w:color w:val="0070C0"/>
              </w:rPr>
            </w:pPr>
          </w:p>
          <w:p w14:paraId="7D3583C8" w14:textId="77777777" w:rsidR="007242F3" w:rsidRPr="002577F9" w:rsidRDefault="007242F3" w:rsidP="001C2439">
            <w:pPr>
              <w:autoSpaceDE w:val="0"/>
              <w:autoSpaceDN w:val="0"/>
              <w:adjustRightInd w:val="0"/>
              <w:rPr>
                <w:rFonts w:cs="Arial"/>
                <w:color w:val="000000"/>
                <w:sz w:val="20"/>
                <w:szCs w:val="20"/>
              </w:rPr>
            </w:pPr>
            <w:r w:rsidRPr="002577F9">
              <w:rPr>
                <w:rFonts w:cs="Arial"/>
                <w:color w:val="000000"/>
                <w:sz w:val="20"/>
                <w:szCs w:val="20"/>
              </w:rPr>
              <w:t>XRN3667a was raised to look at options on how Shippers can get visibility of the perspective formula year quantity values (AQ/SOQ) prior to them being issued out formally in late March.  The formula year quantity values to become effective in the 1</w:t>
            </w:r>
            <w:r w:rsidRPr="002577F9">
              <w:rPr>
                <w:rFonts w:cs="Arial"/>
                <w:color w:val="000000"/>
                <w:sz w:val="20"/>
                <w:szCs w:val="20"/>
                <w:vertAlign w:val="superscript"/>
              </w:rPr>
              <w:t>st</w:t>
            </w:r>
            <w:r w:rsidRPr="002577F9">
              <w:rPr>
                <w:rFonts w:cs="Arial"/>
                <w:color w:val="000000"/>
                <w:sz w:val="20"/>
                <w:szCs w:val="20"/>
              </w:rPr>
              <w:t xml:space="preserve"> April are actually calculated by UKL in December the previous year.  Shippers (current and proposing) have stated that it would be of great benefit to be able to have visibility of these perspective quantity values in the case of a possible switching event (with end consumer consent obtained), as currently they are unable to effectively quote end consumers for the coming financial year causing quote errors and possible failures of switches. </w:t>
            </w:r>
          </w:p>
          <w:p w14:paraId="090D96AE" w14:textId="77777777" w:rsidR="007242F3" w:rsidRPr="002577F9" w:rsidRDefault="007242F3" w:rsidP="001C2439">
            <w:pPr>
              <w:autoSpaceDE w:val="0"/>
              <w:autoSpaceDN w:val="0"/>
              <w:adjustRightInd w:val="0"/>
              <w:rPr>
                <w:rFonts w:cs="Arial"/>
                <w:color w:val="000000"/>
                <w:sz w:val="20"/>
                <w:szCs w:val="20"/>
              </w:rPr>
            </w:pPr>
          </w:p>
          <w:p w14:paraId="695A50F9" w14:textId="77777777" w:rsidR="007242F3" w:rsidRDefault="007242F3" w:rsidP="001C2439">
            <w:pPr>
              <w:rPr>
                <w:rFonts w:cs="Arial"/>
                <w:color w:val="000000"/>
                <w:sz w:val="20"/>
                <w:szCs w:val="20"/>
              </w:rPr>
            </w:pPr>
            <w:r w:rsidRPr="002577F9">
              <w:rPr>
                <w:rFonts w:cs="Arial"/>
                <w:color w:val="000000"/>
                <w:sz w:val="20"/>
                <w:szCs w:val="20"/>
              </w:rPr>
              <w:t>The permissions to allow Shippers access to the relevant data set via API was discussed and approved at DSC Contract Managers Committee (CoMC) on the 16</w:t>
            </w:r>
            <w:r w:rsidRPr="002577F9">
              <w:rPr>
                <w:rFonts w:cs="Arial"/>
                <w:color w:val="000000"/>
                <w:sz w:val="20"/>
                <w:szCs w:val="20"/>
                <w:vertAlign w:val="superscript"/>
              </w:rPr>
              <w:t>th</w:t>
            </w:r>
            <w:r w:rsidRPr="002577F9">
              <w:rPr>
                <w:rFonts w:cs="Arial"/>
                <w:color w:val="000000"/>
                <w:sz w:val="20"/>
                <w:szCs w:val="20"/>
              </w:rPr>
              <w:t xml:space="preserve"> January 2019 </w:t>
            </w:r>
          </w:p>
          <w:p w14:paraId="48E15066" w14:textId="77777777" w:rsidR="007242F3" w:rsidRDefault="007242F3" w:rsidP="001C2439">
            <w:pPr>
              <w:rPr>
                <w:rFonts w:cs="Arial"/>
                <w:color w:val="000000"/>
                <w:sz w:val="20"/>
                <w:szCs w:val="20"/>
              </w:rPr>
            </w:pPr>
          </w:p>
          <w:p w14:paraId="06D64122" w14:textId="77777777" w:rsidR="007242F3" w:rsidRDefault="007242F3" w:rsidP="001C2439">
            <w:pPr>
              <w:rPr>
                <w:rFonts w:cs="Arial"/>
                <w:color w:val="000000"/>
                <w:sz w:val="20"/>
                <w:szCs w:val="20"/>
              </w:rPr>
            </w:pPr>
            <w:r>
              <w:rPr>
                <w:rFonts w:cs="Arial"/>
                <w:color w:val="000000"/>
                <w:sz w:val="20"/>
                <w:szCs w:val="20"/>
              </w:rPr>
              <w:t>This API is a chargeable service, the delivery costs will be recovered via Shippers who sign up to the service.</w:t>
            </w:r>
          </w:p>
          <w:p w14:paraId="67DF5C5B" w14:textId="77777777" w:rsidR="00D41340" w:rsidRDefault="00D41340" w:rsidP="001C2439">
            <w:pPr>
              <w:rPr>
                <w:rFonts w:cs="Arial"/>
                <w:color w:val="000000"/>
                <w:sz w:val="20"/>
                <w:szCs w:val="20"/>
              </w:rPr>
            </w:pPr>
          </w:p>
          <w:p w14:paraId="7EE70A89" w14:textId="54D663D8" w:rsidR="00D41340" w:rsidRPr="002577F9" w:rsidRDefault="00D41340" w:rsidP="001C2439">
            <w:pPr>
              <w:rPr>
                <w:rFonts w:cs="Arial"/>
                <w:i/>
                <w:color w:val="0070C0"/>
                <w:sz w:val="20"/>
                <w:szCs w:val="20"/>
              </w:rPr>
            </w:pPr>
            <w:r>
              <w:rPr>
                <w:rFonts w:cs="Arial"/>
                <w:color w:val="000000"/>
                <w:sz w:val="20"/>
                <w:szCs w:val="20"/>
              </w:rPr>
              <w:t xml:space="preserve">The service line associated with this initiative is </w:t>
            </w:r>
            <w:r w:rsidRPr="00D41340">
              <w:rPr>
                <w:rFonts w:cs="Arial"/>
                <w:b/>
                <w:color w:val="000000"/>
                <w:sz w:val="20"/>
                <w:szCs w:val="20"/>
              </w:rPr>
              <w:t>SS SA22 84.</w:t>
            </w:r>
          </w:p>
          <w:p w14:paraId="648D744A" w14:textId="77777777" w:rsidR="007242F3" w:rsidRPr="00AF2238" w:rsidRDefault="007242F3" w:rsidP="001C2439">
            <w:pPr>
              <w:pStyle w:val="ListParagraph"/>
              <w:rPr>
                <w:rFonts w:cs="Arial"/>
                <w:i/>
                <w:color w:val="0070C0"/>
              </w:rPr>
            </w:pPr>
          </w:p>
        </w:tc>
      </w:tr>
      <w:tr w:rsidR="007242F3" w:rsidRPr="00683A0C" w14:paraId="162DD6C4" w14:textId="77777777" w:rsidTr="001C2439">
        <w:tc>
          <w:tcPr>
            <w:tcW w:w="5000" w:type="pct"/>
            <w:gridSpan w:val="2"/>
            <w:tcBorders>
              <w:bottom w:val="single" w:sz="4" w:space="0" w:color="auto"/>
            </w:tcBorders>
            <w:shd w:val="clear" w:color="auto" w:fill="3E5AA8" w:themeFill="accent1"/>
            <w:vAlign w:val="center"/>
          </w:tcPr>
          <w:p w14:paraId="7181A899" w14:textId="77777777" w:rsidR="007242F3" w:rsidRPr="00532D52" w:rsidRDefault="007242F3" w:rsidP="001C2439">
            <w:pPr>
              <w:jc w:val="center"/>
              <w:rPr>
                <w:rFonts w:cs="Arial"/>
                <w:b/>
                <w:color w:val="FFFFFF" w:themeColor="background1"/>
                <w:sz w:val="20"/>
                <w:szCs w:val="20"/>
              </w:rPr>
            </w:pPr>
            <w:r w:rsidRPr="00CD7096">
              <w:rPr>
                <w:rFonts w:asciiTheme="majorHAnsi" w:eastAsiaTheme="minorHAnsi" w:hAnsiTheme="majorHAnsi" w:cstheme="majorHAnsi"/>
                <w:b/>
                <w:color w:val="FFFFFF" w:themeColor="background1"/>
                <w:sz w:val="20"/>
                <w:lang w:eastAsia="en-US"/>
              </w:rPr>
              <w:t>Section 2: Confirmed Funding Arrangements</w:t>
            </w:r>
          </w:p>
        </w:tc>
      </w:tr>
      <w:tr w:rsidR="007242F3" w:rsidRPr="00683A0C" w14:paraId="5BF6AB24" w14:textId="77777777" w:rsidTr="001C2439">
        <w:tc>
          <w:tcPr>
            <w:tcW w:w="5000" w:type="pct"/>
            <w:gridSpan w:val="2"/>
            <w:tcBorders>
              <w:bottom w:val="single" w:sz="4" w:space="0" w:color="auto"/>
            </w:tcBorders>
            <w:shd w:val="clear" w:color="auto" w:fill="FFFFFF" w:themeFill="background1"/>
          </w:tcPr>
          <w:tbl>
            <w:tblPr>
              <w:tblStyle w:val="TableGrid"/>
              <w:tblW w:w="0" w:type="auto"/>
              <w:tblLayout w:type="fixed"/>
              <w:tblLook w:val="04A0" w:firstRow="1" w:lastRow="0" w:firstColumn="1" w:lastColumn="0" w:noHBand="0" w:noVBand="1"/>
            </w:tblPr>
            <w:tblGrid>
              <w:gridCol w:w="2547"/>
              <w:gridCol w:w="1417"/>
              <w:gridCol w:w="1729"/>
              <w:gridCol w:w="1532"/>
              <w:gridCol w:w="2264"/>
            </w:tblGrid>
            <w:tr w:rsidR="007242F3" w:rsidRPr="00007514" w14:paraId="4847DBE9" w14:textId="77777777" w:rsidTr="001C2439">
              <w:tc>
                <w:tcPr>
                  <w:tcW w:w="2547" w:type="dxa"/>
                </w:tcPr>
                <w:p w14:paraId="7794E74E" w14:textId="77777777" w:rsidR="007242F3" w:rsidRPr="00007514" w:rsidRDefault="007242F3" w:rsidP="001C2439">
                  <w:pPr>
                    <w:jc w:val="center"/>
                    <w:rPr>
                      <w:rFonts w:cs="Arial"/>
                      <w:b/>
                      <w:sz w:val="20"/>
                      <w:szCs w:val="20"/>
                    </w:rPr>
                  </w:pPr>
                  <w:r w:rsidRPr="00007514">
                    <w:rPr>
                      <w:rFonts w:cs="Arial"/>
                      <w:b/>
                      <w:sz w:val="20"/>
                      <w:szCs w:val="20"/>
                    </w:rPr>
                    <w:t>Gas Industry Participant</w:t>
                  </w:r>
                </w:p>
              </w:tc>
              <w:tc>
                <w:tcPr>
                  <w:tcW w:w="1417" w:type="dxa"/>
                </w:tcPr>
                <w:p w14:paraId="267A8DD4" w14:textId="77777777" w:rsidR="007242F3" w:rsidRPr="00007514" w:rsidRDefault="007242F3" w:rsidP="001C2439">
                  <w:pPr>
                    <w:jc w:val="center"/>
                    <w:rPr>
                      <w:rFonts w:cs="Arial"/>
                      <w:b/>
                      <w:sz w:val="20"/>
                      <w:szCs w:val="20"/>
                    </w:rPr>
                  </w:pPr>
                  <w:r w:rsidRPr="00007514">
                    <w:rPr>
                      <w:rFonts w:cs="Arial"/>
                      <w:b/>
                      <w:sz w:val="20"/>
                      <w:szCs w:val="20"/>
                    </w:rPr>
                    <w:t>BER Share of  Cost</w:t>
                  </w:r>
                </w:p>
              </w:tc>
              <w:tc>
                <w:tcPr>
                  <w:tcW w:w="1729" w:type="dxa"/>
                </w:tcPr>
                <w:p w14:paraId="469FC679" w14:textId="77777777" w:rsidR="007242F3" w:rsidRPr="00007514" w:rsidRDefault="007242F3" w:rsidP="001C2439">
                  <w:pPr>
                    <w:jc w:val="center"/>
                    <w:rPr>
                      <w:rFonts w:cs="Arial"/>
                      <w:b/>
                      <w:sz w:val="20"/>
                      <w:szCs w:val="20"/>
                    </w:rPr>
                  </w:pPr>
                  <w:r w:rsidRPr="00007514">
                    <w:rPr>
                      <w:rFonts w:cs="Arial"/>
                      <w:b/>
                      <w:sz w:val="20"/>
                      <w:szCs w:val="20"/>
                    </w:rPr>
                    <w:t>Actual Share of Cost</w:t>
                  </w:r>
                </w:p>
              </w:tc>
              <w:tc>
                <w:tcPr>
                  <w:tcW w:w="1532" w:type="dxa"/>
                </w:tcPr>
                <w:p w14:paraId="7A8DDC3B" w14:textId="77777777" w:rsidR="007242F3" w:rsidRPr="00007514" w:rsidRDefault="007242F3" w:rsidP="001C2439">
                  <w:pPr>
                    <w:jc w:val="center"/>
                    <w:rPr>
                      <w:rFonts w:cs="Arial"/>
                      <w:b/>
                      <w:sz w:val="20"/>
                      <w:szCs w:val="20"/>
                    </w:rPr>
                  </w:pPr>
                  <w:r w:rsidRPr="00007514">
                    <w:rPr>
                      <w:rFonts w:cs="Arial"/>
                      <w:b/>
                      <w:sz w:val="20"/>
                      <w:szCs w:val="20"/>
                    </w:rPr>
                    <w:t>BER Cost Value</w:t>
                  </w:r>
                </w:p>
              </w:tc>
              <w:tc>
                <w:tcPr>
                  <w:tcW w:w="2264" w:type="dxa"/>
                </w:tcPr>
                <w:p w14:paraId="2F46C031" w14:textId="77777777" w:rsidR="007242F3" w:rsidRPr="00007514" w:rsidRDefault="007242F3" w:rsidP="001C2439">
                  <w:pPr>
                    <w:jc w:val="center"/>
                    <w:rPr>
                      <w:rFonts w:cs="Arial"/>
                      <w:b/>
                      <w:sz w:val="20"/>
                      <w:szCs w:val="20"/>
                    </w:rPr>
                  </w:pPr>
                  <w:r w:rsidRPr="00007514">
                    <w:rPr>
                      <w:rFonts w:cs="Arial"/>
                      <w:b/>
                      <w:sz w:val="20"/>
                      <w:szCs w:val="20"/>
                    </w:rPr>
                    <w:t>Actual Cost Value</w:t>
                  </w:r>
                </w:p>
              </w:tc>
            </w:tr>
            <w:tr w:rsidR="007242F3" w:rsidRPr="00007514" w14:paraId="7BE13477" w14:textId="77777777" w:rsidTr="001C2439">
              <w:tc>
                <w:tcPr>
                  <w:tcW w:w="2547" w:type="dxa"/>
                </w:tcPr>
                <w:p w14:paraId="07CC57C2" w14:textId="77777777" w:rsidR="007242F3" w:rsidRPr="00007514" w:rsidRDefault="007242F3" w:rsidP="001C2439">
                  <w:pPr>
                    <w:rPr>
                      <w:rFonts w:cs="Arial"/>
                      <w:b/>
                      <w:sz w:val="20"/>
                      <w:szCs w:val="20"/>
                    </w:rPr>
                  </w:pPr>
                  <w:r>
                    <w:rPr>
                      <w:rFonts w:cs="Arial"/>
                      <w:b/>
                      <w:sz w:val="20"/>
                      <w:szCs w:val="20"/>
                    </w:rPr>
                    <w:t>Shippers</w:t>
                  </w:r>
                </w:p>
              </w:tc>
              <w:tc>
                <w:tcPr>
                  <w:tcW w:w="1417" w:type="dxa"/>
                  <w:vAlign w:val="center"/>
                </w:tcPr>
                <w:p w14:paraId="454F6659" w14:textId="77777777" w:rsidR="007242F3" w:rsidRPr="00795816" w:rsidRDefault="007242F3" w:rsidP="001C2439">
                  <w:pPr>
                    <w:jc w:val="center"/>
                    <w:rPr>
                      <w:rFonts w:cs="Arial"/>
                      <w:sz w:val="20"/>
                      <w:szCs w:val="20"/>
                    </w:rPr>
                  </w:pPr>
                  <w:r>
                    <w:rPr>
                      <w:rFonts w:cs="Arial"/>
                      <w:sz w:val="20"/>
                      <w:szCs w:val="20"/>
                    </w:rPr>
                    <w:t>100%</w:t>
                  </w:r>
                </w:p>
              </w:tc>
              <w:tc>
                <w:tcPr>
                  <w:tcW w:w="1729" w:type="dxa"/>
                  <w:vAlign w:val="center"/>
                </w:tcPr>
                <w:p w14:paraId="12163901" w14:textId="77777777" w:rsidR="007242F3" w:rsidRPr="00795816" w:rsidRDefault="007242F3" w:rsidP="001C2439">
                  <w:pPr>
                    <w:jc w:val="center"/>
                    <w:rPr>
                      <w:rFonts w:cs="Arial"/>
                      <w:sz w:val="20"/>
                      <w:szCs w:val="20"/>
                    </w:rPr>
                  </w:pPr>
                  <w:r>
                    <w:rPr>
                      <w:rFonts w:cs="Arial"/>
                      <w:sz w:val="20"/>
                      <w:szCs w:val="20"/>
                    </w:rPr>
                    <w:t>100%</w:t>
                  </w:r>
                </w:p>
              </w:tc>
              <w:tc>
                <w:tcPr>
                  <w:tcW w:w="1532" w:type="dxa"/>
                  <w:vAlign w:val="center"/>
                </w:tcPr>
                <w:p w14:paraId="79959894" w14:textId="77777777" w:rsidR="007242F3" w:rsidRPr="00795816" w:rsidRDefault="007242F3" w:rsidP="001C2439">
                  <w:pPr>
                    <w:rPr>
                      <w:rFonts w:cs="Arial"/>
                      <w:sz w:val="20"/>
                      <w:szCs w:val="20"/>
                    </w:rPr>
                  </w:pPr>
                  <w:r>
                    <w:rPr>
                      <w:rFonts w:cs="Arial"/>
                      <w:sz w:val="20"/>
                      <w:szCs w:val="20"/>
                    </w:rPr>
                    <w:t>N/A</w:t>
                  </w:r>
                </w:p>
              </w:tc>
              <w:tc>
                <w:tcPr>
                  <w:tcW w:w="2264" w:type="dxa"/>
                  <w:vAlign w:val="center"/>
                </w:tcPr>
                <w:p w14:paraId="7B0B4EF6" w14:textId="77777777" w:rsidR="007242F3" w:rsidRPr="00795816" w:rsidRDefault="007242F3" w:rsidP="001C2439">
                  <w:pPr>
                    <w:jc w:val="center"/>
                    <w:rPr>
                      <w:rFonts w:cs="Arial"/>
                      <w:sz w:val="20"/>
                      <w:szCs w:val="20"/>
                    </w:rPr>
                  </w:pPr>
                  <w:r>
                    <w:rPr>
                      <w:rFonts w:cs="Arial"/>
                      <w:sz w:val="20"/>
                      <w:szCs w:val="20"/>
                    </w:rPr>
                    <w:t>N/A</w:t>
                  </w:r>
                </w:p>
              </w:tc>
            </w:tr>
          </w:tbl>
          <w:p w14:paraId="09A6B83D" w14:textId="77777777" w:rsidR="007242F3" w:rsidRPr="00007514" w:rsidRDefault="007242F3" w:rsidP="001C2439">
            <w:pPr>
              <w:rPr>
                <w:rFonts w:cs="Arial"/>
                <w:b/>
                <w:i/>
                <w:sz w:val="20"/>
                <w:szCs w:val="20"/>
              </w:rPr>
            </w:pPr>
          </w:p>
        </w:tc>
      </w:tr>
      <w:tr w:rsidR="007242F3" w:rsidRPr="00683A0C" w14:paraId="0B4BF96B" w14:textId="77777777" w:rsidTr="001C2439">
        <w:tc>
          <w:tcPr>
            <w:tcW w:w="5000" w:type="pct"/>
            <w:gridSpan w:val="2"/>
            <w:tcBorders>
              <w:bottom w:val="single" w:sz="4" w:space="0" w:color="auto"/>
            </w:tcBorders>
            <w:shd w:val="clear" w:color="auto" w:fill="3E5AA8" w:themeFill="accent1"/>
            <w:vAlign w:val="center"/>
          </w:tcPr>
          <w:p w14:paraId="211059A6" w14:textId="77777777" w:rsidR="007242F3" w:rsidRPr="003C52B2" w:rsidRDefault="007242F3" w:rsidP="001C2439">
            <w:pPr>
              <w:jc w:val="center"/>
              <w:rPr>
                <w:rFonts w:cs="Arial"/>
                <w:b/>
                <w:color w:val="0070C0"/>
              </w:rPr>
            </w:pPr>
            <w:r w:rsidRPr="00CD7096">
              <w:rPr>
                <w:rFonts w:asciiTheme="majorHAnsi" w:eastAsiaTheme="minorHAnsi" w:hAnsiTheme="majorHAnsi" w:cstheme="majorHAnsi"/>
                <w:b/>
                <w:color w:val="FFFFFF" w:themeColor="background1"/>
                <w:sz w:val="20"/>
                <w:lang w:eastAsia="en-US"/>
              </w:rPr>
              <w:t>Section 3: Provide a summary of any agreed scope changes</w:t>
            </w:r>
          </w:p>
        </w:tc>
      </w:tr>
      <w:tr w:rsidR="007242F3" w:rsidRPr="00683A0C" w14:paraId="758A9498" w14:textId="77777777" w:rsidTr="001C2439">
        <w:tc>
          <w:tcPr>
            <w:tcW w:w="5000" w:type="pct"/>
            <w:gridSpan w:val="2"/>
            <w:tcBorders>
              <w:bottom w:val="single" w:sz="4" w:space="0" w:color="auto"/>
            </w:tcBorders>
            <w:shd w:val="clear" w:color="auto" w:fill="FFFFFF" w:themeFill="background1"/>
            <w:vAlign w:val="center"/>
          </w:tcPr>
          <w:p w14:paraId="7CAC359D" w14:textId="77777777" w:rsidR="007242F3" w:rsidRPr="00A6136D" w:rsidRDefault="007242F3" w:rsidP="001C2439">
            <w:pPr>
              <w:pStyle w:val="ListBullet3"/>
              <w:numPr>
                <w:ilvl w:val="0"/>
                <w:numId w:val="0"/>
              </w:numPr>
            </w:pPr>
            <w:r>
              <w:t>No change</w:t>
            </w:r>
          </w:p>
          <w:p w14:paraId="7591CDA1" w14:textId="77777777" w:rsidR="007242F3" w:rsidRPr="00F710DC" w:rsidRDefault="007242F3" w:rsidP="001C2439">
            <w:pPr>
              <w:pStyle w:val="ListParagraph"/>
              <w:ind w:left="0"/>
              <w:rPr>
                <w:rFonts w:cs="Arial"/>
              </w:rPr>
            </w:pPr>
          </w:p>
        </w:tc>
      </w:tr>
      <w:tr w:rsidR="007242F3" w:rsidRPr="00683A0C" w14:paraId="487CA53A" w14:textId="77777777" w:rsidTr="001C2439">
        <w:tc>
          <w:tcPr>
            <w:tcW w:w="5000" w:type="pct"/>
            <w:gridSpan w:val="2"/>
            <w:shd w:val="clear" w:color="auto" w:fill="3E5AA8" w:themeFill="accent1"/>
            <w:vAlign w:val="center"/>
          </w:tcPr>
          <w:p w14:paraId="607375D7" w14:textId="77777777" w:rsidR="007242F3" w:rsidRPr="00532D52" w:rsidRDefault="007242F3" w:rsidP="001C2439">
            <w:pPr>
              <w:jc w:val="center"/>
              <w:rPr>
                <w:rFonts w:cs="Arial"/>
                <w:b/>
                <w:color w:val="FFFFFF" w:themeColor="background1"/>
                <w:szCs w:val="16"/>
              </w:rPr>
            </w:pPr>
            <w:r w:rsidRPr="00CD7096">
              <w:rPr>
                <w:rFonts w:asciiTheme="majorHAnsi" w:eastAsiaTheme="minorHAnsi" w:hAnsiTheme="majorHAnsi" w:cstheme="majorHAnsi"/>
                <w:b/>
                <w:color w:val="FFFFFF" w:themeColor="background1"/>
                <w:sz w:val="20"/>
                <w:lang w:eastAsia="en-US"/>
              </w:rPr>
              <w:t>Section 4: Detail any changes to the Xoserve Service Description</w:t>
            </w:r>
          </w:p>
        </w:tc>
      </w:tr>
      <w:tr w:rsidR="007242F3" w:rsidRPr="00683A0C" w14:paraId="2FCB8434" w14:textId="77777777" w:rsidTr="001C2439">
        <w:tc>
          <w:tcPr>
            <w:tcW w:w="5000" w:type="pct"/>
            <w:gridSpan w:val="2"/>
            <w:shd w:val="clear" w:color="auto" w:fill="auto"/>
          </w:tcPr>
          <w:p w14:paraId="70DB8007" w14:textId="77777777" w:rsidR="007242F3" w:rsidRPr="00B4169F" w:rsidRDefault="007242F3" w:rsidP="001C2439">
            <w:pPr>
              <w:rPr>
                <w:rFonts w:cs="Arial"/>
                <w:b/>
                <w:sz w:val="20"/>
                <w:szCs w:val="16"/>
              </w:rPr>
            </w:pPr>
            <w:r w:rsidRPr="00775518">
              <w:rPr>
                <w:rFonts w:eastAsia="Times New Roman" w:cs="Arial"/>
                <w:szCs w:val="24"/>
              </w:rPr>
              <w:t>No change</w:t>
            </w:r>
          </w:p>
        </w:tc>
      </w:tr>
      <w:tr w:rsidR="007242F3" w:rsidRPr="00683A0C" w14:paraId="45B7CA2C" w14:textId="77777777" w:rsidTr="001C2439">
        <w:tc>
          <w:tcPr>
            <w:tcW w:w="5000" w:type="pct"/>
            <w:gridSpan w:val="2"/>
            <w:shd w:val="clear" w:color="auto" w:fill="3E5AA8" w:themeFill="accent1"/>
            <w:vAlign w:val="center"/>
          </w:tcPr>
          <w:p w14:paraId="2D9B9BE1" w14:textId="77777777" w:rsidR="007242F3" w:rsidRPr="00532D52" w:rsidRDefault="007242F3" w:rsidP="001C2439">
            <w:pPr>
              <w:jc w:val="center"/>
              <w:rPr>
                <w:rFonts w:cs="Arial"/>
                <w:b/>
                <w:color w:val="FFFFFF" w:themeColor="background1"/>
                <w:szCs w:val="16"/>
              </w:rPr>
            </w:pPr>
            <w:r w:rsidRPr="00CD7096">
              <w:rPr>
                <w:rFonts w:asciiTheme="majorHAnsi" w:eastAsiaTheme="minorHAnsi" w:hAnsiTheme="majorHAnsi" w:cstheme="majorHAnsi"/>
                <w:b/>
                <w:color w:val="FFFFFF" w:themeColor="background1"/>
                <w:sz w:val="20"/>
                <w:lang w:eastAsia="en-US"/>
              </w:rPr>
              <w:t>Section 5: Provide details of any revisions to the text of the UK Link Manual</w:t>
            </w:r>
          </w:p>
        </w:tc>
      </w:tr>
      <w:tr w:rsidR="007242F3" w:rsidRPr="00683A0C" w14:paraId="7A2F77C4" w14:textId="77777777" w:rsidTr="001C2439">
        <w:tc>
          <w:tcPr>
            <w:tcW w:w="5000" w:type="pct"/>
            <w:gridSpan w:val="2"/>
            <w:shd w:val="clear" w:color="auto" w:fill="auto"/>
          </w:tcPr>
          <w:p w14:paraId="36D3E61B" w14:textId="77777777" w:rsidR="007242F3" w:rsidRDefault="007242F3" w:rsidP="001C2439">
            <w:pPr>
              <w:pStyle w:val="ListParagraph"/>
              <w:ind w:left="0"/>
              <w:rPr>
                <w:rFonts w:cs="Arial"/>
                <w:b/>
                <w:color w:val="FF0000"/>
                <w:szCs w:val="16"/>
              </w:rPr>
            </w:pPr>
            <w:r>
              <w:rPr>
                <w:rFonts w:ascii="Tahoma" w:eastAsia="Times New Roman" w:hAnsi="Tahoma" w:cs="Times New Roman"/>
                <w:szCs w:val="24"/>
              </w:rPr>
              <w:t>No c</w:t>
            </w:r>
            <w:r w:rsidRPr="00775518">
              <w:rPr>
                <w:rFonts w:ascii="Tahoma" w:eastAsia="Times New Roman" w:hAnsi="Tahoma" w:cs="Times New Roman"/>
                <w:szCs w:val="24"/>
              </w:rPr>
              <w:t>hange</w:t>
            </w:r>
            <w:r>
              <w:rPr>
                <w:rFonts w:cs="Arial"/>
                <w:i/>
                <w:color w:val="0070C0"/>
              </w:rPr>
              <w:t xml:space="preserve"> </w:t>
            </w:r>
          </w:p>
        </w:tc>
      </w:tr>
      <w:tr w:rsidR="007242F3" w:rsidRPr="00683A0C" w14:paraId="0572A846" w14:textId="77777777" w:rsidTr="001C2439">
        <w:tc>
          <w:tcPr>
            <w:tcW w:w="5000" w:type="pct"/>
            <w:gridSpan w:val="2"/>
            <w:shd w:val="clear" w:color="auto" w:fill="3E5AA8" w:themeFill="accent1"/>
            <w:vAlign w:val="center"/>
          </w:tcPr>
          <w:p w14:paraId="0A1291DE" w14:textId="77777777" w:rsidR="007242F3" w:rsidRPr="003C52B2" w:rsidRDefault="007242F3" w:rsidP="001C2439">
            <w:pPr>
              <w:jc w:val="center"/>
              <w:rPr>
                <w:rFonts w:cs="Arial"/>
                <w:b/>
                <w:color w:val="0070C0"/>
              </w:rPr>
            </w:pPr>
            <w:r w:rsidRPr="00CD7096">
              <w:rPr>
                <w:rFonts w:asciiTheme="majorHAnsi" w:eastAsiaTheme="minorHAnsi" w:hAnsiTheme="majorHAnsi" w:cstheme="majorHAnsi"/>
                <w:b/>
                <w:color w:val="FFFFFF" w:themeColor="background1"/>
                <w:sz w:val="20"/>
                <w:lang w:eastAsia="en-US"/>
              </w:rPr>
              <w:t>Section 6: Lessons Learnt</w:t>
            </w:r>
          </w:p>
        </w:tc>
      </w:tr>
      <w:tr w:rsidR="007242F3" w:rsidRPr="00683A0C" w14:paraId="2B2E3269" w14:textId="77777777" w:rsidTr="001C2439">
        <w:tc>
          <w:tcPr>
            <w:tcW w:w="5000" w:type="pct"/>
            <w:gridSpan w:val="2"/>
            <w:shd w:val="clear" w:color="auto" w:fill="auto"/>
          </w:tcPr>
          <w:p w14:paraId="1AAE48DE" w14:textId="77777777" w:rsidR="007242F3" w:rsidRPr="00957E5C" w:rsidRDefault="007242F3" w:rsidP="001C2439">
            <w:pPr>
              <w:rPr>
                <w:rFonts w:ascii="Tahoma" w:hAnsi="Tahoma"/>
              </w:rPr>
            </w:pPr>
            <w:r w:rsidRPr="00957E5C">
              <w:rPr>
                <w:rFonts w:ascii="Tahoma" w:eastAsia="Times New Roman" w:hAnsi="Tahoma" w:cs="Times New Roman"/>
                <w:szCs w:val="24"/>
              </w:rPr>
              <w:t>N/A</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1"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3208E80C" w14:textId="77777777" w:rsidTr="0001729A">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001729A">
        <w:tc>
          <w:tcPr>
            <w:tcW w:w="902" w:type="pct"/>
          </w:tcPr>
          <w:p w14:paraId="1ABADCE5" w14:textId="77777777" w:rsidR="00EA73B3" w:rsidRPr="00EA73B3" w:rsidRDefault="00EA73B3" w:rsidP="00EA73B3">
            <w:pPr>
              <w:jc w:val="center"/>
              <w:rPr>
                <w:rFonts w:eastAsia="Times New Roman" w:cs="Arial"/>
                <w:sz w:val="20"/>
                <w:szCs w:val="20"/>
              </w:rPr>
            </w:pPr>
          </w:p>
        </w:tc>
        <w:tc>
          <w:tcPr>
            <w:tcW w:w="835" w:type="pct"/>
          </w:tcPr>
          <w:p w14:paraId="0DB8F594" w14:textId="77777777" w:rsidR="00EA73B3" w:rsidRPr="00EA73B3" w:rsidRDefault="00EA73B3" w:rsidP="00EA73B3">
            <w:pPr>
              <w:jc w:val="center"/>
              <w:rPr>
                <w:rFonts w:eastAsia="Times New Roman" w:cs="Arial"/>
                <w:sz w:val="20"/>
                <w:szCs w:val="20"/>
              </w:rPr>
            </w:pPr>
          </w:p>
        </w:tc>
        <w:tc>
          <w:tcPr>
            <w:tcW w:w="556" w:type="pct"/>
          </w:tcPr>
          <w:p w14:paraId="0BB1E953" w14:textId="77777777" w:rsidR="00EA73B3" w:rsidRPr="00EA73B3" w:rsidRDefault="00EA73B3" w:rsidP="00EA73B3">
            <w:pPr>
              <w:jc w:val="center"/>
              <w:rPr>
                <w:rFonts w:eastAsia="Times New Roman" w:cs="Arial"/>
                <w:sz w:val="20"/>
                <w:szCs w:val="20"/>
              </w:rPr>
            </w:pPr>
          </w:p>
        </w:tc>
        <w:tc>
          <w:tcPr>
            <w:tcW w:w="763" w:type="pct"/>
          </w:tcPr>
          <w:p w14:paraId="4350D9F9" w14:textId="77777777" w:rsidR="00EA73B3" w:rsidRPr="00EA73B3" w:rsidRDefault="00EA73B3" w:rsidP="00EA73B3">
            <w:pPr>
              <w:jc w:val="center"/>
              <w:rPr>
                <w:rFonts w:eastAsia="Times New Roman" w:cs="Arial"/>
                <w:sz w:val="20"/>
                <w:szCs w:val="20"/>
              </w:rPr>
            </w:pPr>
          </w:p>
        </w:tc>
        <w:tc>
          <w:tcPr>
            <w:tcW w:w="1944" w:type="pct"/>
          </w:tcPr>
          <w:p w14:paraId="0FC70C39" w14:textId="77777777" w:rsidR="00EA73B3" w:rsidRPr="00EA73B3" w:rsidRDefault="00EA73B3" w:rsidP="00EA73B3">
            <w:pPr>
              <w:jc w:val="center"/>
              <w:rPr>
                <w:rFonts w:eastAsia="Times New Roman" w:cs="Arial"/>
                <w:sz w:val="20"/>
                <w:szCs w:val="20"/>
              </w:rPr>
            </w:pP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C3611" w14:textId="77777777" w:rsidR="00061909" w:rsidRDefault="00061909" w:rsidP="00324744">
      <w:pPr>
        <w:spacing w:after="0" w:line="240" w:lineRule="auto"/>
      </w:pPr>
      <w:r>
        <w:separator/>
      </w:r>
    </w:p>
  </w:endnote>
  <w:endnote w:type="continuationSeparator" w:id="0">
    <w:p w14:paraId="00547245" w14:textId="77777777" w:rsidR="00061909" w:rsidRDefault="00061909"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D4F9D5"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3C10B" w14:textId="77777777" w:rsidR="00061909" w:rsidRDefault="00061909" w:rsidP="00324744">
      <w:pPr>
        <w:spacing w:after="0" w:line="240" w:lineRule="auto"/>
      </w:pPr>
      <w:r>
        <w:separator/>
      </w:r>
    </w:p>
  </w:footnote>
  <w:footnote w:type="continuationSeparator" w:id="0">
    <w:p w14:paraId="09F3E779" w14:textId="77777777" w:rsidR="00061909" w:rsidRDefault="00061909"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3D5BD"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822799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53C86465"/>
    <w:multiLevelType w:val="hybridMultilevel"/>
    <w:tmpl w:val="E9B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61909"/>
    <w:rsid w:val="000A1AD1"/>
    <w:rsid w:val="00125B61"/>
    <w:rsid w:val="00144E00"/>
    <w:rsid w:val="001C2268"/>
    <w:rsid w:val="00226D34"/>
    <w:rsid w:val="00234319"/>
    <w:rsid w:val="00324744"/>
    <w:rsid w:val="00426807"/>
    <w:rsid w:val="004F3362"/>
    <w:rsid w:val="00517F6F"/>
    <w:rsid w:val="0055298E"/>
    <w:rsid w:val="007242F3"/>
    <w:rsid w:val="007243D3"/>
    <w:rsid w:val="007A56DB"/>
    <w:rsid w:val="007D4F26"/>
    <w:rsid w:val="007E7C5B"/>
    <w:rsid w:val="00817A62"/>
    <w:rsid w:val="00AB5B54"/>
    <w:rsid w:val="00AB63DE"/>
    <w:rsid w:val="00B8770C"/>
    <w:rsid w:val="00BD0A45"/>
    <w:rsid w:val="00D41340"/>
    <w:rsid w:val="00D66C7E"/>
    <w:rsid w:val="00D95640"/>
    <w:rsid w:val="00EA73B3"/>
    <w:rsid w:val="00F15A7E"/>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15:docId w15:val="{50BA5CBA-8974-42AD-A298-8A6180EB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2F3"/>
    <w:pPr>
      <w:ind w:left="720"/>
      <w:contextualSpacing/>
    </w:pPr>
    <w:rPr>
      <w:rFonts w:eastAsiaTheme="minorHAnsi"/>
      <w:sz w:val="20"/>
      <w:szCs w:val="20"/>
      <w:lang w:eastAsia="en-US"/>
    </w:rPr>
  </w:style>
  <w:style w:type="paragraph" w:styleId="ListBullet3">
    <w:name w:val="List Bullet 3"/>
    <w:basedOn w:val="Normal"/>
    <w:rsid w:val="007242F3"/>
    <w:pPr>
      <w:numPr>
        <w:numId w:val="2"/>
      </w:numPr>
      <w:spacing w:after="120" w:line="240" w:lineRule="auto"/>
      <w:jc w:val="both"/>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xoserve.portfoliooffice@xoser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Props1.xml><?xml version="1.0" encoding="utf-8"?>
<ds:datastoreItem xmlns:ds="http://schemas.openxmlformats.org/officeDocument/2006/customXml" ds:itemID="{2BE3D53E-0ED9-4C86-985F-3905CC309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Chris Shanley</cp:lastModifiedBy>
  <cp:revision>2</cp:revision>
  <dcterms:created xsi:type="dcterms:W3CDTF">2019-03-07T12:09:00Z</dcterms:created>
  <dcterms:modified xsi:type="dcterms:W3CDTF">2019-03-07T12:09:00Z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-1937176829</vt:i4>
  </property>
  <property fmtid="{D5CDD505-2E9C-101B-9397-08002B2CF9AE}" pid="4" name="_NewReviewCycle">
    <vt:lpwstr/>
  </property>
  <property fmtid="{D5CDD505-2E9C-101B-9397-08002B2CF9AE}" pid="5" name="_EmailSubject">
    <vt:lpwstr>EXT || Re: DSC Change Management Agenda for 13 March 2019</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ReviewingToolsShownOnce">
    <vt:lpwstr/>
  </property>
</Properties>
</file>