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:rsidR="006554CC" w:rsidRPr="00E37EF7" w:rsidRDefault="00287C7F" w:rsidP="00837D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Extending </w:t>
      </w:r>
      <w:r w:rsidR="00837D46" w:rsidRPr="00837D46">
        <w:rPr>
          <w:rFonts w:ascii="Arial" w:hAnsi="Arial" w:cs="Arial"/>
          <w:b/>
          <w:sz w:val="24"/>
          <w:szCs w:val="20"/>
        </w:rPr>
        <w:t xml:space="preserve">Supply Point Enquiry API Service </w:t>
      </w:r>
      <w:r w:rsidR="00837D46">
        <w:rPr>
          <w:rFonts w:ascii="Arial" w:hAnsi="Arial" w:cs="Arial"/>
          <w:b/>
          <w:sz w:val="24"/>
          <w:szCs w:val="20"/>
        </w:rPr>
        <w:t>to</w:t>
      </w:r>
      <w:r w:rsidR="00837D46" w:rsidRPr="00837D46">
        <w:rPr>
          <w:rFonts w:ascii="Arial" w:hAnsi="Arial" w:cs="Arial"/>
          <w:b/>
          <w:sz w:val="24"/>
          <w:szCs w:val="20"/>
        </w:rPr>
        <w:t xml:space="preserve"> Shippers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837D46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Simon Harris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837D46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approve this request to </w:t>
            </w:r>
            <w:r w:rsidR="00927680">
              <w:rPr>
                <w:rFonts w:ascii="Arial" w:hAnsi="Arial" w:cs="Arial"/>
                <w:sz w:val="20"/>
                <w:szCs w:val="20"/>
              </w:rPr>
              <w:t>amended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 Data Permission Matrix and permit </w:t>
            </w:r>
            <w:r w:rsidR="00837D46">
              <w:rPr>
                <w:rFonts w:ascii="Arial" w:hAnsi="Arial" w:cs="Arial"/>
                <w:sz w:val="20"/>
                <w:szCs w:val="20"/>
              </w:rPr>
              <w:t>Shippers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 access to </w:t>
            </w:r>
            <w:r w:rsidR="00837D46">
              <w:rPr>
                <w:rFonts w:ascii="Arial" w:hAnsi="Arial" w:cs="Arial"/>
                <w:sz w:val="20"/>
                <w:szCs w:val="20"/>
              </w:rPr>
              <w:t>the Supply Point Enquiry API service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62F">
              <w:rPr>
                <w:rFonts w:ascii="Arial" w:hAnsi="Arial" w:cs="Arial"/>
                <w:sz w:val="20"/>
                <w:szCs w:val="20"/>
              </w:rPr>
              <w:t>and the data items contained within</w:t>
            </w:r>
            <w:r w:rsidR="00B86FDD">
              <w:rPr>
                <w:rFonts w:ascii="Arial" w:hAnsi="Arial" w:cs="Arial"/>
                <w:sz w:val="20"/>
                <w:szCs w:val="20"/>
              </w:rPr>
              <w:t xml:space="preserve"> - XRN4878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:rsidR="006554CC" w:rsidRPr="00E37EF7" w:rsidRDefault="00A4225F" w:rsidP="00A42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May 2019</w:t>
            </w:r>
            <w:bookmarkStart w:id="0" w:name="_GoBack"/>
            <w:bookmarkEnd w:id="0"/>
          </w:p>
        </w:tc>
      </w:tr>
    </w:tbl>
    <w:p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:rsidR="00927680" w:rsidRDefault="00927680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on from the successful implementation of </w:t>
      </w:r>
      <w:r w:rsidRPr="00927680">
        <w:rPr>
          <w:rFonts w:ascii="Arial" w:hAnsi="Arial" w:cs="Arial"/>
          <w:sz w:val="20"/>
          <w:szCs w:val="20"/>
        </w:rPr>
        <w:t xml:space="preserve">XRN4700 </w:t>
      </w:r>
      <w:r>
        <w:rPr>
          <w:rFonts w:ascii="Arial" w:hAnsi="Arial" w:cs="Arial"/>
          <w:sz w:val="20"/>
          <w:szCs w:val="20"/>
        </w:rPr>
        <w:t>“</w:t>
      </w:r>
      <w:r w:rsidRPr="00927680">
        <w:rPr>
          <w:rFonts w:ascii="Arial" w:hAnsi="Arial" w:cs="Arial"/>
          <w:sz w:val="20"/>
          <w:szCs w:val="20"/>
        </w:rPr>
        <w:t>Provision of data to Suppliers via API</w:t>
      </w:r>
      <w:r>
        <w:rPr>
          <w:rFonts w:ascii="Arial" w:hAnsi="Arial" w:cs="Arial"/>
          <w:sz w:val="20"/>
          <w:szCs w:val="20"/>
        </w:rPr>
        <w:t>”, and the service being utilised</w:t>
      </w:r>
      <w:r w:rsidR="00CE28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60115">
        <w:rPr>
          <w:rFonts w:ascii="Arial" w:hAnsi="Arial" w:cs="Arial"/>
          <w:sz w:val="20"/>
          <w:szCs w:val="20"/>
        </w:rPr>
        <w:t>Shippers have enquired about the possibility of accessing the Supply Point Enquiry AP</w:t>
      </w:r>
      <w:r w:rsidR="007056AA">
        <w:rPr>
          <w:rFonts w:ascii="Arial" w:hAnsi="Arial" w:cs="Arial"/>
          <w:sz w:val="20"/>
          <w:szCs w:val="20"/>
        </w:rPr>
        <w:t xml:space="preserve">I service for the same purpose of enquiring information for switching events and validation of operational processes. </w:t>
      </w:r>
    </w:p>
    <w:p w:rsidR="009A2891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amendments to the Data Permission Matrix are therefore:</w:t>
      </w:r>
    </w:p>
    <w:p w:rsidR="009A2891" w:rsidRDefault="00560115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Extending the Supply Point Enquiry API service, and the data items contained within, to Shipper users</w:t>
      </w:r>
    </w:p>
    <w:p w:rsidR="00275AD6" w:rsidRDefault="00275AD6" w:rsidP="00275AD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</w:p>
    <w:p w:rsidR="0082333C" w:rsidRDefault="00560115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Shippers</w:t>
      </w:r>
      <w:r w:rsidR="00CA1FD2">
        <w:rPr>
          <w:rFonts w:ascii="Arial" w:hAnsi="Arial" w:cs="Arial"/>
          <w:sz w:val="20"/>
          <w:szCs w:val="20"/>
        </w:rPr>
        <w:t xml:space="preserve"> already have access to data via DES</w:t>
      </w:r>
      <w:r>
        <w:rPr>
          <w:rFonts w:ascii="Arial" w:hAnsi="Arial" w:cs="Arial"/>
          <w:sz w:val="20"/>
          <w:szCs w:val="20"/>
        </w:rPr>
        <w:t xml:space="preserve"> &amp; API</w:t>
      </w:r>
      <w:r w:rsidR="00CA1FD2">
        <w:rPr>
          <w:rFonts w:ascii="Arial" w:hAnsi="Arial" w:cs="Arial"/>
          <w:sz w:val="20"/>
          <w:szCs w:val="20"/>
        </w:rPr>
        <w:t xml:space="preserve"> both in a Community and Portfolio view</w:t>
      </w:r>
      <w:r w:rsidR="00AC5B33">
        <w:rPr>
          <w:rFonts w:ascii="Arial" w:hAnsi="Arial" w:cs="Arial"/>
          <w:sz w:val="20"/>
          <w:szCs w:val="20"/>
        </w:rPr>
        <w:t xml:space="preserve"> for </w:t>
      </w:r>
      <w:r w:rsidR="0082333C">
        <w:rPr>
          <w:rFonts w:ascii="Arial" w:hAnsi="Arial" w:cs="Arial"/>
          <w:sz w:val="20"/>
          <w:szCs w:val="20"/>
        </w:rPr>
        <w:t>a range of data items</w:t>
      </w:r>
      <w:r w:rsidR="00CA1FD2">
        <w:rPr>
          <w:rFonts w:ascii="Arial" w:hAnsi="Arial" w:cs="Arial"/>
          <w:sz w:val="20"/>
          <w:szCs w:val="20"/>
        </w:rPr>
        <w:t xml:space="preserve">.  This DRR is </w:t>
      </w:r>
      <w:r w:rsidR="0082333C">
        <w:rPr>
          <w:rFonts w:ascii="Arial" w:hAnsi="Arial" w:cs="Arial"/>
          <w:sz w:val="20"/>
          <w:szCs w:val="20"/>
        </w:rPr>
        <w:t>proposing</w:t>
      </w:r>
      <w:r w:rsidR="00CA1FD2">
        <w:rPr>
          <w:rFonts w:ascii="Arial" w:hAnsi="Arial" w:cs="Arial"/>
          <w:sz w:val="20"/>
          <w:szCs w:val="20"/>
        </w:rPr>
        <w:t xml:space="preserve"> to</w:t>
      </w:r>
      <w:r w:rsidR="0082333C">
        <w:rPr>
          <w:rFonts w:ascii="Arial" w:hAnsi="Arial" w:cs="Arial"/>
          <w:sz w:val="20"/>
          <w:szCs w:val="20"/>
        </w:rPr>
        <w:t>:</w:t>
      </w:r>
    </w:p>
    <w:p w:rsidR="0082333C" w:rsidRDefault="00CE28B4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1FD2">
        <w:rPr>
          <w:rFonts w:ascii="Arial" w:hAnsi="Arial" w:cs="Arial"/>
          <w:sz w:val="20"/>
          <w:szCs w:val="20"/>
        </w:rPr>
        <w:t xml:space="preserve">) </w:t>
      </w:r>
      <w:r w:rsidR="00560115">
        <w:rPr>
          <w:rFonts w:ascii="Arial" w:hAnsi="Arial" w:cs="Arial"/>
          <w:sz w:val="20"/>
          <w:szCs w:val="20"/>
        </w:rPr>
        <w:t xml:space="preserve">Extend the data items contained within the Supply Point Enquiry API to Shipper users </w:t>
      </w:r>
      <w:r w:rsidR="0082333C">
        <w:rPr>
          <w:rFonts w:ascii="Arial" w:hAnsi="Arial" w:cs="Arial"/>
          <w:sz w:val="20"/>
          <w:szCs w:val="20"/>
        </w:rPr>
        <w:t>(see Appendix 1</w:t>
      </w:r>
      <w:r w:rsidR="006558EF">
        <w:rPr>
          <w:rFonts w:ascii="Arial" w:hAnsi="Arial" w:cs="Arial"/>
          <w:sz w:val="20"/>
          <w:szCs w:val="20"/>
        </w:rPr>
        <w:t xml:space="preserve"> for proposed DPM mark-up</w:t>
      </w:r>
      <w:r w:rsidR="0082333C">
        <w:rPr>
          <w:rFonts w:ascii="Arial" w:hAnsi="Arial" w:cs="Arial"/>
          <w:sz w:val="20"/>
          <w:szCs w:val="20"/>
        </w:rPr>
        <w:t xml:space="preserve">) </w:t>
      </w:r>
    </w:p>
    <w:p w:rsidR="006558EF" w:rsidRPr="00E37EF7" w:rsidRDefault="006558EF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outlines the Data Items contained within the Supply Point Enquiry API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629"/>
        <w:gridCol w:w="2693"/>
        <w:gridCol w:w="4142"/>
      </w:tblGrid>
      <w:tr w:rsidR="002F2999" w:rsidRPr="00E37EF7" w:rsidTr="00E070FB">
        <w:trPr>
          <w:tblHeader/>
          <w:jc w:val="center"/>
        </w:trPr>
        <w:tc>
          <w:tcPr>
            <w:tcW w:w="2629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API Data Item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DPM Data Item</w:t>
            </w:r>
          </w:p>
        </w:tc>
        <w:tc>
          <w:tcPr>
            <w:tcW w:w="4142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4E4672" w:rsidRPr="00E37EF7" w:rsidTr="00E070FB">
        <w:trPr>
          <w:jc w:val="center"/>
        </w:trPr>
        <w:tc>
          <w:tcPr>
            <w:tcW w:w="2629" w:type="dxa"/>
            <w:vAlign w:val="center"/>
          </w:tcPr>
          <w:p w:rsidR="004E4672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Meter Point Reference Number</w:t>
            </w:r>
          </w:p>
        </w:tc>
        <w:tc>
          <w:tcPr>
            <w:tcW w:w="2693" w:type="dxa"/>
            <w:vAlign w:val="center"/>
          </w:tcPr>
          <w:p w:rsidR="004E4672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Meter Point Reference Number</w:t>
            </w:r>
          </w:p>
        </w:tc>
        <w:tc>
          <w:tcPr>
            <w:tcW w:w="4142" w:type="dxa"/>
            <w:vAlign w:val="center"/>
          </w:tcPr>
          <w:p w:rsidR="004E4672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4E4672" w:rsidRPr="00E37EF7" w:rsidTr="00E070FB">
        <w:trPr>
          <w:jc w:val="center"/>
        </w:trPr>
        <w:tc>
          <w:tcPr>
            <w:tcW w:w="2629" w:type="dxa"/>
            <w:vAlign w:val="center"/>
          </w:tcPr>
          <w:p w:rsidR="004E4672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Metering Point Postcode</w:t>
            </w:r>
          </w:p>
        </w:tc>
        <w:tc>
          <w:tcPr>
            <w:tcW w:w="2693" w:type="dxa"/>
            <w:vAlign w:val="center"/>
          </w:tcPr>
          <w:p w:rsidR="004E4672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Postcode</w:t>
            </w:r>
          </w:p>
        </w:tc>
        <w:tc>
          <w:tcPr>
            <w:tcW w:w="4142" w:type="dxa"/>
            <w:vAlign w:val="center"/>
          </w:tcPr>
          <w:p w:rsidR="004E4672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4E4672" w:rsidRPr="00E37EF7" w:rsidTr="00E070FB">
        <w:trPr>
          <w:jc w:val="center"/>
        </w:trPr>
        <w:tc>
          <w:tcPr>
            <w:tcW w:w="2629" w:type="dxa"/>
            <w:vAlign w:val="center"/>
          </w:tcPr>
          <w:p w:rsidR="004E4672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Network Owner Name</w:t>
            </w:r>
          </w:p>
        </w:tc>
        <w:tc>
          <w:tcPr>
            <w:tcW w:w="2693" w:type="dxa"/>
            <w:vAlign w:val="center"/>
          </w:tcPr>
          <w:p w:rsidR="004E4672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Network Name</w:t>
            </w:r>
          </w:p>
        </w:tc>
        <w:tc>
          <w:tcPr>
            <w:tcW w:w="4142" w:type="dxa"/>
            <w:vAlign w:val="center"/>
          </w:tcPr>
          <w:p w:rsidR="004E4672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175CBE" w:rsidRPr="00E37EF7" w:rsidTr="00E070FB">
        <w:trPr>
          <w:jc w:val="center"/>
        </w:trPr>
        <w:tc>
          <w:tcPr>
            <w:tcW w:w="2629" w:type="dxa"/>
            <w:vAlign w:val="center"/>
          </w:tcPr>
          <w:p w:rsidR="00175CBE" w:rsidRPr="00FD1CEB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Network Owner Effective From Date</w:t>
            </w:r>
          </w:p>
        </w:tc>
        <w:tc>
          <w:tcPr>
            <w:tcW w:w="2693" w:type="dxa"/>
            <w:vAlign w:val="center"/>
          </w:tcPr>
          <w:p w:rsidR="00175CBE" w:rsidRPr="00FD1CEB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Network Owner EFD</w:t>
            </w:r>
          </w:p>
        </w:tc>
        <w:tc>
          <w:tcPr>
            <w:tcW w:w="4142" w:type="dxa"/>
            <w:vAlign w:val="center"/>
          </w:tcPr>
          <w:p w:rsidR="00175CBE" w:rsidRPr="00FD1CEB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175CBE" w:rsidRPr="00E37EF7" w:rsidTr="00E070FB">
        <w:trPr>
          <w:jc w:val="center"/>
        </w:trPr>
        <w:tc>
          <w:tcPr>
            <w:tcW w:w="2629" w:type="dxa"/>
            <w:vAlign w:val="center"/>
          </w:tcPr>
          <w:p w:rsidR="00175CBE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Local Distribution Zone</w:t>
            </w:r>
          </w:p>
        </w:tc>
        <w:tc>
          <w:tcPr>
            <w:tcW w:w="2693" w:type="dxa"/>
            <w:vAlign w:val="center"/>
          </w:tcPr>
          <w:p w:rsidR="00175CBE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LDZ ID</w:t>
            </w:r>
          </w:p>
        </w:tc>
        <w:tc>
          <w:tcPr>
            <w:tcW w:w="4142" w:type="dxa"/>
            <w:vAlign w:val="center"/>
          </w:tcPr>
          <w:p w:rsidR="00175CBE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175CBE" w:rsidRPr="00E37EF7" w:rsidTr="00E070FB">
        <w:trPr>
          <w:jc w:val="center"/>
        </w:trPr>
        <w:tc>
          <w:tcPr>
            <w:tcW w:w="2629" w:type="dxa"/>
            <w:vAlign w:val="center"/>
          </w:tcPr>
          <w:p w:rsidR="00175CBE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CSEP ID</w:t>
            </w:r>
          </w:p>
        </w:tc>
        <w:tc>
          <w:tcPr>
            <w:tcW w:w="2693" w:type="dxa"/>
            <w:vAlign w:val="center"/>
          </w:tcPr>
          <w:p w:rsidR="00175CBE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CSEP ID</w:t>
            </w:r>
          </w:p>
        </w:tc>
        <w:tc>
          <w:tcPr>
            <w:tcW w:w="4142" w:type="dxa"/>
            <w:vAlign w:val="center"/>
          </w:tcPr>
          <w:p w:rsidR="00175CBE" w:rsidRPr="006558EF" w:rsidRDefault="006558EF" w:rsidP="00DE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175CBE" w:rsidRPr="00E37EF7" w:rsidTr="00E070FB">
        <w:trPr>
          <w:jc w:val="center"/>
        </w:trPr>
        <w:tc>
          <w:tcPr>
            <w:tcW w:w="2629" w:type="dxa"/>
            <w:vAlign w:val="center"/>
          </w:tcPr>
          <w:p w:rsidR="00175CBE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Current Supplier ID</w:t>
            </w:r>
          </w:p>
        </w:tc>
        <w:tc>
          <w:tcPr>
            <w:tcW w:w="2693" w:type="dxa"/>
            <w:vAlign w:val="center"/>
          </w:tcPr>
          <w:p w:rsidR="00175CBE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Current Supplier Short Code</w:t>
            </w:r>
          </w:p>
        </w:tc>
        <w:tc>
          <w:tcPr>
            <w:tcW w:w="4142" w:type="dxa"/>
            <w:vAlign w:val="center"/>
          </w:tcPr>
          <w:p w:rsidR="00175CBE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175CBE" w:rsidRPr="00E37EF7" w:rsidTr="00E070FB">
        <w:trPr>
          <w:jc w:val="center"/>
        </w:trPr>
        <w:tc>
          <w:tcPr>
            <w:tcW w:w="2629" w:type="dxa"/>
            <w:vAlign w:val="center"/>
          </w:tcPr>
          <w:p w:rsidR="00175CBE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Current Supplier Name</w:t>
            </w:r>
          </w:p>
        </w:tc>
        <w:tc>
          <w:tcPr>
            <w:tcW w:w="2693" w:type="dxa"/>
            <w:vAlign w:val="center"/>
          </w:tcPr>
          <w:p w:rsidR="00175CBE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Current Supplier</w:t>
            </w:r>
          </w:p>
        </w:tc>
        <w:tc>
          <w:tcPr>
            <w:tcW w:w="4142" w:type="dxa"/>
            <w:vAlign w:val="center"/>
          </w:tcPr>
          <w:p w:rsidR="00175CBE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Incoming Supplier ID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Incoming Supplier Short Code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Withdrawal Status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Withdrawal Status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lastRenderedPageBreak/>
              <w:t>Isolation Status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Isolation Status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the Supply Point Enquiry API currently accessed by Suppliers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Interruption Contract Exists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Interruption Contract Exists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Meter Point Status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SMP Status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Market Sector Code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Market Sector Code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Supply Point Annual Quantity (AQ)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Supply Meter Point AQ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Supply Point Offtake Quantity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SMP SOQ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Supply Point Formula Year Annual Quantity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Formula Year SMP AQ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Supply Point Formula Year Offtake Quantity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Formula Year SMP SOQ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Twin Stream Indicator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Twin Stream Site Indicator</w:t>
            </w:r>
          </w:p>
        </w:tc>
        <w:tc>
          <w:tcPr>
            <w:tcW w:w="4142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Meter Serial Number</w:t>
            </w:r>
          </w:p>
        </w:tc>
        <w:tc>
          <w:tcPr>
            <w:tcW w:w="2693" w:type="dxa"/>
            <w:vAlign w:val="center"/>
          </w:tcPr>
          <w:p w:rsidR="006558EF" w:rsidRPr="00E37EF7" w:rsidRDefault="003B0955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B0955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FD1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Meter Capacity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Meter Capacity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Meter Mechanism Code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Meter Mechanism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Meter Type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Meter Type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Meter Device Status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Device Status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Meter Imperial Indicator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Imperial Indicator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Automated Meter Reading Indicator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AMR Indicator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i/>
                <w:sz w:val="20"/>
                <w:szCs w:val="20"/>
              </w:rPr>
              <w:t>N/A - DPM already allows Shipper access to this data item via API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Automated Meter Reading Service Provider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AMR Service Provider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the Supply Point Enquiry API currently accessed by Suppliers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MAM ID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MAM Short Code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SMSO ID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SMSO ID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SMSO Effective Date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SMS Operating Entity EFD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DCC Service Flag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DCC Service Flag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DCC Service Flag Effective Date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DCC Service Flag EFD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Installing Supplier ID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Installing Supplier Short Code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First SMETS Installation Date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First SMETS Installation Date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IHD Install Status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IHD Install Status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already has access to this data item via DES (Community &amp; Portfolio view)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Latest Meter Read Date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Latest Meter Read Date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the Supply Point Enquiry API currently accessed by Suppliers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Latest Meter Read Type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Latest Meter Read Type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the Supply Point Enquiry API currently accessed by Suppliers</w:t>
            </w:r>
          </w:p>
        </w:tc>
      </w:tr>
      <w:tr w:rsidR="006558EF" w:rsidRPr="00E37EF7" w:rsidTr="00E070FB">
        <w:trPr>
          <w:jc w:val="center"/>
        </w:trPr>
        <w:tc>
          <w:tcPr>
            <w:tcW w:w="2629" w:type="dxa"/>
            <w:vAlign w:val="center"/>
          </w:tcPr>
          <w:p w:rsidR="006558EF" w:rsidRPr="00E37EF7" w:rsidRDefault="006558EF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6558EF">
              <w:rPr>
                <w:rFonts w:ascii="Arial" w:hAnsi="Arial" w:cs="Arial"/>
                <w:sz w:val="20"/>
                <w:szCs w:val="20"/>
              </w:rPr>
              <w:t>Latest Meter Read Value</w:t>
            </w:r>
          </w:p>
        </w:tc>
        <w:tc>
          <w:tcPr>
            <w:tcW w:w="2693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FD1CEB">
              <w:rPr>
                <w:rFonts w:ascii="Arial" w:hAnsi="Arial" w:cs="Arial"/>
                <w:sz w:val="20"/>
                <w:szCs w:val="20"/>
              </w:rPr>
              <w:t>Latest Meter Read Value</w:t>
            </w:r>
          </w:p>
        </w:tc>
        <w:tc>
          <w:tcPr>
            <w:tcW w:w="4142" w:type="dxa"/>
            <w:vAlign w:val="center"/>
          </w:tcPr>
          <w:p w:rsidR="006558EF" w:rsidRPr="00E37EF7" w:rsidRDefault="00FD1CEB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the Supply Point Enquiry API currently accessed by Suppliers</w:t>
            </w:r>
          </w:p>
        </w:tc>
      </w:tr>
    </w:tbl>
    <w:tbl>
      <w:tblPr>
        <w:tblStyle w:val="TableGrid1"/>
        <w:tblW w:w="9464" w:type="dxa"/>
        <w:jc w:val="center"/>
        <w:tblLook w:val="04A0" w:firstRow="1" w:lastRow="0" w:firstColumn="1" w:lastColumn="0" w:noHBand="0" w:noVBand="1"/>
      </w:tblPr>
      <w:tblGrid>
        <w:gridCol w:w="2629"/>
        <w:gridCol w:w="2693"/>
        <w:gridCol w:w="4142"/>
      </w:tblGrid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Supply Meter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</w:t>
            </w:r>
            <w:r w:rsidRPr="004F5F0C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Supply Meter Point Class</w:t>
            </w:r>
          </w:p>
        </w:tc>
        <w:tc>
          <w:tcPr>
            <w:tcW w:w="4142" w:type="dxa"/>
            <w:vMerge w:val="restart"/>
            <w:vAlign w:val="center"/>
          </w:tcPr>
          <w:p w:rsidR="00E070FB" w:rsidRPr="00E37EF7" w:rsidRDefault="00E070FB" w:rsidP="00E0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data items that were made available to Suppliers via API to improve operational efficiencies and potentially reduce time/resources needed to query DES manually - Propose to extend to Shippers</w:t>
            </w: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End User Category Code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End User Category Code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Small/Large Supply Point Indicator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LSP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Supplier Name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Supplier 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Supplier Short Code</w:t>
            </w:r>
          </w:p>
        </w:tc>
        <w:tc>
          <w:tcPr>
            <w:tcW w:w="2693" w:type="dxa"/>
            <w:vAlign w:val="center"/>
          </w:tcPr>
          <w:p w:rsidR="00E070FB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Supplier Short Code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Reference Number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Reference Number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Effective Date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Effective Date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Priority Consumers Indicator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Priority Consumers Indicator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Meter Read Batch Frequency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Meter Read Batch Frequency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AF45C0">
              <w:rPr>
                <w:rFonts w:ascii="Arial" w:hAnsi="Arial" w:cs="Arial"/>
                <w:sz w:val="20"/>
                <w:szCs w:val="20"/>
              </w:rPr>
              <w:t>Connected System Exit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Max Annual Quantity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CSEP Max AQ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Supply Meter Point Annual Quantity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Original SMP AQ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Meter Point Current Year Minimum Annual Quantity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Current Year Minimum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AF45C0">
              <w:rPr>
                <w:rFonts w:ascii="Arial" w:hAnsi="Arial" w:cs="Arial"/>
                <w:sz w:val="20"/>
                <w:szCs w:val="20"/>
              </w:rPr>
              <w:t>Connected System Exit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5C0">
              <w:rPr>
                <w:rFonts w:ascii="Arial" w:hAnsi="Arial" w:cs="Arial"/>
                <w:sz w:val="20"/>
                <w:szCs w:val="20"/>
              </w:rPr>
              <w:t>Supply Point Offtake Quantity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CSEP SOQ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AF45C0">
              <w:rPr>
                <w:rFonts w:ascii="Arial" w:hAnsi="Arial" w:cs="Arial"/>
                <w:sz w:val="20"/>
                <w:szCs w:val="20"/>
              </w:rPr>
              <w:t xml:space="preserve">Supply Point </w:t>
            </w:r>
            <w:r>
              <w:rPr>
                <w:rFonts w:ascii="Arial" w:hAnsi="Arial" w:cs="Arial"/>
                <w:sz w:val="20"/>
                <w:szCs w:val="20"/>
              </w:rPr>
              <w:t xml:space="preserve">Hourly </w:t>
            </w:r>
            <w:r w:rsidRPr="00AF45C0">
              <w:rPr>
                <w:rFonts w:ascii="Arial" w:hAnsi="Arial" w:cs="Arial"/>
                <w:sz w:val="20"/>
                <w:szCs w:val="20"/>
              </w:rPr>
              <w:t>Offtake Quantity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SMP SHQ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Manufacturer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Model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Year of Manufacture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Year of Manufacture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Installation Date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Installation Date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Units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Units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Location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 Factor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Correction Factor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Act Owner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Gas Act Owner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B" w:rsidRPr="00E37EF7" w:rsidTr="00714FA8">
        <w:trPr>
          <w:jc w:val="center"/>
        </w:trPr>
        <w:tc>
          <w:tcPr>
            <w:tcW w:w="2629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Asset Manager Effective Date</w:t>
            </w:r>
          </w:p>
        </w:tc>
        <w:tc>
          <w:tcPr>
            <w:tcW w:w="2693" w:type="dxa"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  <w:r w:rsidRPr="004F5F0C">
              <w:rPr>
                <w:rFonts w:ascii="Arial" w:hAnsi="Arial" w:cs="Arial"/>
                <w:sz w:val="20"/>
                <w:szCs w:val="20"/>
              </w:rPr>
              <w:t>MAM EFD</w:t>
            </w:r>
          </w:p>
        </w:tc>
        <w:tc>
          <w:tcPr>
            <w:tcW w:w="4142" w:type="dxa"/>
            <w:vMerge/>
            <w:vAlign w:val="center"/>
          </w:tcPr>
          <w:p w:rsidR="00E070FB" w:rsidRPr="00E37EF7" w:rsidRDefault="00E070FB" w:rsidP="0071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8B4" w:rsidRDefault="00CE28B4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themselves?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:rsidR="001C0221" w:rsidRPr="001C0221" w:rsidRDefault="001C0221" w:rsidP="001C0221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Pr="001C02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Shippers</w:t>
      </w:r>
      <w:r w:rsidRPr="001C0221">
        <w:rPr>
          <w:rFonts w:ascii="Arial" w:hAnsi="Arial" w:cs="Arial"/>
          <w:sz w:val="20"/>
          <w:szCs w:val="20"/>
        </w:rPr>
        <w:t xml:space="preserve"> already have access to a number of supply point information services.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>Will the project result in you making decisions or taking action against individuals in ways that can have a significant impact on them?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i)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 xml:space="preserve">No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</w:t>
      </w:r>
    </w:p>
    <w:p w:rsidR="006554CC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6554CC" w:rsidRDefault="006554CC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:rsidR="001C0221" w:rsidRDefault="0082333C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API service </w:t>
      </w:r>
      <w:r w:rsidR="00D3397A">
        <w:rPr>
          <w:rFonts w:ascii="Arial" w:hAnsi="Arial" w:cs="Arial"/>
          <w:sz w:val="20"/>
          <w:szCs w:val="20"/>
        </w:rPr>
        <w:t>is already available within the</w:t>
      </w:r>
      <w:r>
        <w:rPr>
          <w:rFonts w:ascii="Arial" w:hAnsi="Arial" w:cs="Arial"/>
          <w:sz w:val="20"/>
          <w:szCs w:val="20"/>
        </w:rPr>
        <w:t xml:space="preserve"> Data Services Contract, Service Description Table, </w:t>
      </w:r>
      <w:r w:rsidR="00D3397A">
        <w:rPr>
          <w:rFonts w:ascii="Arial" w:hAnsi="Arial" w:cs="Arial"/>
          <w:sz w:val="20"/>
          <w:szCs w:val="20"/>
        </w:rPr>
        <w:t>Service Lines. This service is</w:t>
      </w:r>
      <w:r>
        <w:rPr>
          <w:rFonts w:ascii="Arial" w:hAnsi="Arial" w:cs="Arial"/>
          <w:sz w:val="20"/>
          <w:szCs w:val="20"/>
        </w:rPr>
        <w:t xml:space="preserve"> a Specific</w:t>
      </w:r>
      <w:r w:rsidR="004D31D6">
        <w:rPr>
          <w:rFonts w:ascii="Arial" w:hAnsi="Arial" w:cs="Arial"/>
          <w:sz w:val="20"/>
          <w:szCs w:val="20"/>
        </w:rPr>
        <w:t xml:space="preserve"> Service (Service Area 22) with charges set out in the Annual Charging Statement.</w:t>
      </w:r>
      <w:r w:rsidR="001659B5">
        <w:rPr>
          <w:rFonts w:ascii="Arial" w:hAnsi="Arial" w:cs="Arial"/>
          <w:sz w:val="20"/>
          <w:szCs w:val="20"/>
        </w:rPr>
        <w:t xml:space="preserve"> </w:t>
      </w:r>
    </w:p>
    <w:p w:rsidR="001659B5" w:rsidRDefault="001659B5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the Service Line, the “</w:t>
      </w:r>
      <w:r w:rsidRPr="001659B5">
        <w:rPr>
          <w:rFonts w:ascii="Arial" w:hAnsi="Arial" w:cs="Arial"/>
          <w:sz w:val="20"/>
          <w:szCs w:val="20"/>
        </w:rPr>
        <w:t>Corresponding obligation needed for delivery (Customer Responsibilities)</w:t>
      </w:r>
      <w:r>
        <w:rPr>
          <w:rFonts w:ascii="Arial" w:hAnsi="Arial" w:cs="Arial"/>
          <w:sz w:val="20"/>
          <w:szCs w:val="20"/>
        </w:rPr>
        <w:t>” column will include words to the effect:</w:t>
      </w:r>
    </w:p>
    <w:p w:rsidR="001659B5" w:rsidRDefault="001659B5" w:rsidP="001659B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659B5">
        <w:rPr>
          <w:rFonts w:ascii="Arial" w:hAnsi="Arial" w:cs="Arial"/>
          <w:sz w:val="20"/>
          <w:szCs w:val="20"/>
        </w:rPr>
        <w:t>Where the API call is made by a Proposing User, the Proposing User warrants that it has obtained the consumer</w:t>
      </w:r>
      <w:r>
        <w:rPr>
          <w:rFonts w:ascii="Arial" w:hAnsi="Arial" w:cs="Arial"/>
          <w:sz w:val="20"/>
          <w:szCs w:val="20"/>
        </w:rPr>
        <w:t>’</w:t>
      </w:r>
      <w:r w:rsidRPr="001659B5">
        <w:rPr>
          <w:rFonts w:ascii="Arial" w:hAnsi="Arial" w:cs="Arial"/>
          <w:sz w:val="20"/>
          <w:szCs w:val="20"/>
        </w:rPr>
        <w:t>s consent to access this data. The Proposing User also acknowledges that the CDSP may audit the Proposing Users use of the API Shipper Service.</w:t>
      </w:r>
    </w:p>
    <w:p w:rsidR="00175CBE" w:rsidRDefault="00175CBE" w:rsidP="00175CBE">
      <w:pPr>
        <w:pStyle w:val="ListParagraph"/>
        <w:rPr>
          <w:rFonts w:ascii="Arial" w:hAnsi="Arial" w:cs="Arial"/>
          <w:sz w:val="20"/>
          <w:szCs w:val="20"/>
        </w:rPr>
      </w:pPr>
    </w:p>
    <w:p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:rsidR="0022736C" w:rsidRPr="0022736C" w:rsidRDefault="004D31D6" w:rsidP="00227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the dataset will be</w:t>
      </w:r>
      <w:r w:rsidR="00287C7F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via </w:t>
      </w:r>
      <w:r w:rsidR="00287C7F">
        <w:rPr>
          <w:rFonts w:ascii="Arial" w:hAnsi="Arial" w:cs="Arial"/>
          <w:sz w:val="20"/>
          <w:szCs w:val="20"/>
        </w:rPr>
        <w:t xml:space="preserve">an existing </w:t>
      </w:r>
      <w:r>
        <w:rPr>
          <w:rFonts w:ascii="Arial" w:hAnsi="Arial" w:cs="Arial"/>
          <w:sz w:val="20"/>
          <w:szCs w:val="20"/>
        </w:rPr>
        <w:t>API</w:t>
      </w:r>
      <w:r w:rsidR="00D3397A">
        <w:rPr>
          <w:rFonts w:ascii="Arial" w:hAnsi="Arial" w:cs="Arial"/>
          <w:sz w:val="20"/>
          <w:szCs w:val="20"/>
        </w:rPr>
        <w:t xml:space="preserve"> (Supply Point Enquires)</w:t>
      </w:r>
      <w:r>
        <w:rPr>
          <w:rFonts w:ascii="Arial" w:hAnsi="Arial" w:cs="Arial"/>
          <w:sz w:val="20"/>
          <w:szCs w:val="20"/>
        </w:rPr>
        <w:t xml:space="preserve">. </w:t>
      </w:r>
      <w:r w:rsidR="0022736C" w:rsidRPr="0022736C">
        <w:rPr>
          <w:rFonts w:ascii="Arial" w:hAnsi="Arial" w:cs="Arial"/>
          <w:sz w:val="20"/>
          <w:szCs w:val="20"/>
        </w:rPr>
        <w:t>The API capability enables Xoserve</w:t>
      </w:r>
      <w:r w:rsidR="0022565D">
        <w:rPr>
          <w:rFonts w:ascii="Arial" w:hAnsi="Arial" w:cs="Arial"/>
          <w:sz w:val="20"/>
          <w:szCs w:val="20"/>
        </w:rPr>
        <w:t xml:space="preserve"> to</w:t>
      </w:r>
      <w:r w:rsidR="0022736C" w:rsidRPr="0022736C">
        <w:rPr>
          <w:rFonts w:ascii="Arial" w:hAnsi="Arial" w:cs="Arial"/>
          <w:sz w:val="20"/>
          <w:szCs w:val="20"/>
        </w:rPr>
        <w:t xml:space="preserve"> record each supply meter point accessed by each </w:t>
      </w:r>
      <w:r w:rsidR="00AA3616">
        <w:rPr>
          <w:rFonts w:ascii="Arial" w:hAnsi="Arial" w:cs="Arial"/>
          <w:sz w:val="20"/>
          <w:szCs w:val="20"/>
        </w:rPr>
        <w:t>API user</w:t>
      </w:r>
      <w:r w:rsidR="0022736C" w:rsidRPr="0022736C">
        <w:rPr>
          <w:rFonts w:ascii="Arial" w:hAnsi="Arial" w:cs="Arial"/>
          <w:sz w:val="20"/>
          <w:szCs w:val="20"/>
        </w:rPr>
        <w:t xml:space="preserve"> and to use this data to </w:t>
      </w:r>
      <w:r w:rsidR="00AA3616">
        <w:rPr>
          <w:rFonts w:ascii="Arial" w:hAnsi="Arial" w:cs="Arial"/>
          <w:sz w:val="20"/>
          <w:szCs w:val="20"/>
        </w:rPr>
        <w:t xml:space="preserve">undertake audits </w:t>
      </w:r>
      <w:r>
        <w:rPr>
          <w:rFonts w:ascii="Arial" w:hAnsi="Arial" w:cs="Arial"/>
          <w:sz w:val="20"/>
          <w:szCs w:val="20"/>
        </w:rPr>
        <w:t>where required to</w:t>
      </w:r>
      <w:r w:rsidR="0022736C" w:rsidRPr="00130A24">
        <w:rPr>
          <w:rFonts w:ascii="Arial" w:hAnsi="Arial" w:cs="Arial"/>
          <w:sz w:val="20"/>
          <w:szCs w:val="20"/>
        </w:rPr>
        <w:t xml:space="preserve"> demonstrate consumer consent.</w:t>
      </w:r>
    </w:p>
    <w:p w:rsidR="00CE28B4" w:rsidRDefault="0022736C" w:rsidP="0022736C">
      <w:pPr>
        <w:rPr>
          <w:rFonts w:ascii="Arial" w:hAnsi="Arial" w:cs="Arial"/>
          <w:sz w:val="20"/>
          <w:szCs w:val="20"/>
        </w:rPr>
      </w:pPr>
      <w:r w:rsidRPr="0022736C">
        <w:rPr>
          <w:rFonts w:ascii="Arial" w:hAnsi="Arial" w:cs="Arial"/>
          <w:sz w:val="20"/>
          <w:szCs w:val="20"/>
        </w:rPr>
        <w:t xml:space="preserve">For the avoidance of doubt Xoserve will not provide access to the new data items (those in section 2) available to </w:t>
      </w:r>
      <w:r w:rsidR="00D3397A">
        <w:rPr>
          <w:rFonts w:ascii="Arial" w:hAnsi="Arial" w:cs="Arial"/>
          <w:sz w:val="20"/>
          <w:szCs w:val="20"/>
        </w:rPr>
        <w:t>Shippers</w:t>
      </w:r>
      <w:r w:rsidR="00AA3616">
        <w:rPr>
          <w:rFonts w:ascii="Arial" w:hAnsi="Arial" w:cs="Arial"/>
          <w:sz w:val="20"/>
          <w:szCs w:val="20"/>
        </w:rPr>
        <w:t xml:space="preserve"> </w:t>
      </w:r>
      <w:r w:rsidRPr="0022736C">
        <w:rPr>
          <w:rFonts w:ascii="Arial" w:hAnsi="Arial" w:cs="Arial"/>
          <w:sz w:val="20"/>
          <w:szCs w:val="20"/>
        </w:rPr>
        <w:t xml:space="preserve">by any other means e.g. </w:t>
      </w:r>
      <w:r w:rsidR="00287C7F">
        <w:rPr>
          <w:rFonts w:ascii="Arial" w:hAnsi="Arial" w:cs="Arial"/>
          <w:sz w:val="20"/>
          <w:szCs w:val="20"/>
        </w:rPr>
        <w:t>T</w:t>
      </w:r>
      <w:r w:rsidRPr="0022736C">
        <w:rPr>
          <w:rFonts w:ascii="Arial" w:hAnsi="Arial" w:cs="Arial"/>
          <w:sz w:val="20"/>
          <w:szCs w:val="20"/>
        </w:rPr>
        <w:t>elephone services etc.</w:t>
      </w:r>
    </w:p>
    <w:p w:rsidR="00CE28B4" w:rsidRDefault="00CE28B4" w:rsidP="0022736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CoMC is requested to approve this Disclosure Request Report.</w:t>
      </w:r>
    </w:p>
    <w:p w:rsidR="00544404" w:rsidRPr="00E37EF7" w:rsidRDefault="00544404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rPr>
          <w:rFonts w:ascii="Arial" w:hAnsi="Arial" w:cs="Arial"/>
          <w:sz w:val="20"/>
          <w:szCs w:val="20"/>
        </w:rPr>
      </w:pPr>
    </w:p>
    <w:p w:rsidR="001C0221" w:rsidRDefault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4CC" w:rsidRDefault="00DE7769" w:rsidP="00CE15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1</w:t>
      </w:r>
      <w:r w:rsidR="006554CC" w:rsidRPr="00CE15C5">
        <w:rPr>
          <w:rFonts w:ascii="Arial" w:hAnsi="Arial" w:cs="Arial"/>
          <w:b/>
          <w:sz w:val="20"/>
          <w:szCs w:val="20"/>
        </w:rPr>
        <w:t>:  Current Data Permissions Matrix with proposed changes as per this Disclosure Request Report</w:t>
      </w:r>
    </w:p>
    <w:p w:rsidR="0047521F" w:rsidRPr="0047521F" w:rsidRDefault="00D3397A" w:rsidP="0047521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Shipper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2126"/>
        <w:gridCol w:w="1276"/>
        <w:gridCol w:w="1559"/>
        <w:gridCol w:w="1560"/>
      </w:tblGrid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API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SHIPPER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Shipper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DATA ITEM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COMMUNITY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PORTFOLIO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COMMUNITY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PORTFOLIO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Point Reference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275AD6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LSP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275AD6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Address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Postcode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Name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275AD6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D6" w:rsidRPr="00275AD6" w:rsidRDefault="00275AD6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Shipper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Shipper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433848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Supplier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433848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Supplier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Shipper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Shipper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Shipper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Shipper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433848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Supplier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433848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Supplier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 - MUST accept additional terms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48" w:rsidRPr="00275AD6" w:rsidRDefault="00433848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Supplier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Supplier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Logical Meter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Reference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Withdrawal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433848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433848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Withdrawal End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Market Sector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Link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</w:t>
            </w: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Contract Exists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433848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433848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LDZ ID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Exit Zone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Owner EFD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433848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Exit Agreement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Priority Consumers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Batch Frequency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Bypass Fitted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Seasonal Large Supply Point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Twin Stream Site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433848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433848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UPRN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CSEP ID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Shared SMP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Transistional Meter Point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Last Inspection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Special Needs Notes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DM/NDM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Rejection Information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Objection Information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CSEP Max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</w:t>
            </w: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Original SMP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</w:t>
            </w: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Year Minimum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</w:t>
            </w: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CSEP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</w:t>
            </w: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MNEPOR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SHQ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Related Meter Point Reference Number(s)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MSN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E718B2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E718B2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Title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Forename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Surname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Job Title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Contact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SHQ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End User Category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E718B2" w:rsidRDefault="00E718B2" w:rsidP="00E71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EUC 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Bid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Contract Start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Contract End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Tranche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Interruptible Capacity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Interruptible Days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Option Price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Exercise Price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Shipper Bid Reference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Location ID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Year of Manufacture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Installation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Device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Number of Dials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Units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Imperial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Mechanism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Capacity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Correction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Gas Act Owner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3C667F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MAM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275AD6" w:rsidRDefault="003C667F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7F" w:rsidRPr="00E718B2" w:rsidRDefault="003C667F" w:rsidP="0027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MAM EFD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SMSO ID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SMS Operating Entity EFD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DCC Service Flag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E718B2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DCC Service Flag EFD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275AD6" w:rsidRDefault="00E718B2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B2" w:rsidRPr="00E718B2" w:rsidRDefault="00E718B2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C43B8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Installing Supplier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C43B8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Installing Supplier Short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C43B8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First SMETS Installation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C43B8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IHD Install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Serial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Reason Code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Year of Manufacture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Number of Dials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Capacity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Correction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Mechanism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Imperial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Units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 Uncorrected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 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 Uncorrected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 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Round the Clock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Read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Round the Clock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DRE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Installation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Device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Telemetered Site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AMR Indicator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AMR 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Correction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Serial Number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Dials Corrected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Year of Manufacture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Device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N/A</w:t>
            </w:r>
          </w:p>
        </w:tc>
      </w:tr>
      <w:tr w:rsidR="00C43B8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Isolation Status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C43B8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AMR Service Provider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C43B8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Latest Meter Read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C43B8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Latest Meter Read Type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C43B8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Latest Meter Read Value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275AD6" w:rsidRDefault="00C43B8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8A" w:rsidRPr="00E718B2" w:rsidRDefault="00C43B8A" w:rsidP="00714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</w:pPr>
            <w:r w:rsidRPr="00E718B2">
              <w:rPr>
                <w:rFonts w:ascii="Calibri" w:eastAsia="Times New Roman" w:hAnsi="Calibri" w:cs="Times New Roman"/>
                <w:strike/>
                <w:color w:val="000000"/>
                <w:sz w:val="18"/>
                <w:szCs w:val="20"/>
                <w:highlight w:val="lightGray"/>
                <w:lang w:eastAsia="en-GB"/>
              </w:rPr>
              <w:t>N/A</w:t>
            </w:r>
            <w:r w:rsidRPr="00E718B2">
              <w:rPr>
                <w:rFonts w:ascii="Calibri" w:eastAsia="Times New Roman" w:hAnsi="Calibri" w:cs="Times New Roman"/>
                <w:color w:val="000000"/>
                <w:sz w:val="18"/>
                <w:szCs w:val="20"/>
                <w:highlight w:val="lightGray"/>
                <w:lang w:eastAsia="en-GB"/>
              </w:rPr>
              <w:t xml:space="preserve">    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Prospective SMP SOQ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Prospective Formula Year SMP AQ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  <w:tr w:rsidR="00D3397A" w:rsidRPr="00275AD6" w:rsidTr="00D3397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Prospective Formula Year Effective 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7A" w:rsidRPr="00275AD6" w:rsidRDefault="00D3397A" w:rsidP="00D3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275A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YES</w:t>
            </w:r>
          </w:p>
        </w:tc>
      </w:tr>
    </w:tbl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CE15C5" w:rsidRDefault="00CE15C5" w:rsidP="006554CC">
      <w:pPr>
        <w:rPr>
          <w:rFonts w:ascii="Arial" w:hAnsi="Arial" w:cs="Arial"/>
          <w:sz w:val="20"/>
          <w:szCs w:val="20"/>
        </w:rPr>
      </w:pPr>
    </w:p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47521F" w:rsidRPr="00E37EF7" w:rsidRDefault="0047521F" w:rsidP="006554CC">
      <w:pPr>
        <w:rPr>
          <w:rFonts w:ascii="Arial" w:hAnsi="Arial" w:cs="Arial"/>
          <w:sz w:val="20"/>
          <w:szCs w:val="20"/>
        </w:rPr>
      </w:pPr>
    </w:p>
    <w:sectPr w:rsidR="0047521F" w:rsidRPr="00E37E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08" w:rsidRDefault="004C1008" w:rsidP="006554CC">
      <w:pPr>
        <w:spacing w:after="0" w:line="240" w:lineRule="auto"/>
      </w:pPr>
      <w:r>
        <w:separator/>
      </w:r>
    </w:p>
  </w:endnote>
  <w:endnote w:type="continuationSeparator" w:id="0">
    <w:p w:rsidR="004C1008" w:rsidRDefault="004C1008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AD6" w:rsidRDefault="00275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AD6" w:rsidRDefault="00275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08" w:rsidRDefault="004C1008" w:rsidP="006554CC">
      <w:pPr>
        <w:spacing w:after="0" w:line="240" w:lineRule="auto"/>
      </w:pPr>
      <w:r>
        <w:separator/>
      </w:r>
    </w:p>
  </w:footnote>
  <w:footnote w:type="continuationSeparator" w:id="0">
    <w:p w:rsidR="004C1008" w:rsidRDefault="004C1008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C"/>
    <w:rsid w:val="000B06B3"/>
    <w:rsid w:val="00130A24"/>
    <w:rsid w:val="0014562F"/>
    <w:rsid w:val="001659B5"/>
    <w:rsid w:val="00175CBE"/>
    <w:rsid w:val="001C0221"/>
    <w:rsid w:val="0022565D"/>
    <w:rsid w:val="0022736C"/>
    <w:rsid w:val="00275AD6"/>
    <w:rsid w:val="00287C7F"/>
    <w:rsid w:val="002F2999"/>
    <w:rsid w:val="00303366"/>
    <w:rsid w:val="003839BC"/>
    <w:rsid w:val="003B0955"/>
    <w:rsid w:val="003C2063"/>
    <w:rsid w:val="003C667F"/>
    <w:rsid w:val="004122AA"/>
    <w:rsid w:val="00424491"/>
    <w:rsid w:val="00433848"/>
    <w:rsid w:val="0047521F"/>
    <w:rsid w:val="004C1008"/>
    <w:rsid w:val="004D31D6"/>
    <w:rsid w:val="004D38B9"/>
    <w:rsid w:val="004E4672"/>
    <w:rsid w:val="00506775"/>
    <w:rsid w:val="00535E11"/>
    <w:rsid w:val="00544404"/>
    <w:rsid w:val="00560115"/>
    <w:rsid w:val="006554CC"/>
    <w:rsid w:val="006558EF"/>
    <w:rsid w:val="00681DAD"/>
    <w:rsid w:val="00684578"/>
    <w:rsid w:val="00695D26"/>
    <w:rsid w:val="006B7586"/>
    <w:rsid w:val="006F23BF"/>
    <w:rsid w:val="007056AA"/>
    <w:rsid w:val="00742F66"/>
    <w:rsid w:val="0079479C"/>
    <w:rsid w:val="007C226F"/>
    <w:rsid w:val="007E248B"/>
    <w:rsid w:val="0082333C"/>
    <w:rsid w:val="00837D46"/>
    <w:rsid w:val="008D2676"/>
    <w:rsid w:val="00927680"/>
    <w:rsid w:val="00942F49"/>
    <w:rsid w:val="009A2891"/>
    <w:rsid w:val="009D3896"/>
    <w:rsid w:val="00A01C4C"/>
    <w:rsid w:val="00A16634"/>
    <w:rsid w:val="00A4225F"/>
    <w:rsid w:val="00AA3616"/>
    <w:rsid w:val="00AC1DC8"/>
    <w:rsid w:val="00AC5B33"/>
    <w:rsid w:val="00B20451"/>
    <w:rsid w:val="00B66AEC"/>
    <w:rsid w:val="00B86FDD"/>
    <w:rsid w:val="00BA05CD"/>
    <w:rsid w:val="00BE13AA"/>
    <w:rsid w:val="00C43B8A"/>
    <w:rsid w:val="00C566B8"/>
    <w:rsid w:val="00C612FB"/>
    <w:rsid w:val="00CA1FD2"/>
    <w:rsid w:val="00CA6445"/>
    <w:rsid w:val="00CE15C5"/>
    <w:rsid w:val="00CE28B4"/>
    <w:rsid w:val="00CF7C18"/>
    <w:rsid w:val="00D3397A"/>
    <w:rsid w:val="00DE7769"/>
    <w:rsid w:val="00E070FB"/>
    <w:rsid w:val="00E37EF7"/>
    <w:rsid w:val="00E718B2"/>
    <w:rsid w:val="00F57027"/>
    <w:rsid w:val="00FB5B6D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National Grid</cp:lastModifiedBy>
  <cp:revision>2</cp:revision>
  <cp:lastPrinted>2019-01-09T09:22:00Z</cp:lastPrinted>
  <dcterms:created xsi:type="dcterms:W3CDTF">2019-04-10T13:22:00Z</dcterms:created>
  <dcterms:modified xsi:type="dcterms:W3CDTF">2019-04-10T13:22:00Z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1325873142</vt:i4>
  </property>
  <property fmtid="{D5CDD505-2E9C-101B-9397-08002B2CF9AE}" pid="3" name="_NewReviewCycle">
    <vt:lpwstr/>
  </property>
  <property fmtid="{D5CDD505-2E9C-101B-9397-08002B2CF9AE}" pid="4" name="_EmailSubject">
    <vt:lpwstr>For review: Disclosure Request Reports</vt:lpwstr>
  </property>
  <property fmtid="{D5CDD505-2E9C-101B-9397-08002B2CF9AE}" pid="5" name="_AuthorEmail">
    <vt:lpwstr>jayne.mcglone@xoserve.com</vt:lpwstr>
  </property>
  <property fmtid="{D5CDD505-2E9C-101B-9397-08002B2CF9AE}" pid="6" name="_AuthorEmailDisplayName">
    <vt:lpwstr>McGlone, Jayne</vt:lpwstr>
  </property>
  <property fmtid="{D5CDD505-2E9C-101B-9397-08002B2CF9AE}" pid="8" name="_PreviousAdHocReviewCycleID">
    <vt:i4>895308270</vt:i4>
  </property>
</Properties>
</file>