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72" w:rsidRDefault="00145AF3" w:rsidP="00164A72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97109C">
        <w:rPr>
          <w:rFonts w:ascii="Arial" w:hAnsi="Arial" w:cs="Arial"/>
        </w:rPr>
        <w:t>Title:</w:t>
      </w:r>
      <w:r w:rsidRPr="0097109C">
        <w:rPr>
          <w:rFonts w:ascii="Arial" w:hAnsi="Arial" w:cs="Arial"/>
        </w:rPr>
        <w:tab/>
        <w:t>DSC Contract</w:t>
      </w:r>
      <w:r w:rsidR="000B1BC3" w:rsidRPr="0097109C">
        <w:rPr>
          <w:rFonts w:ascii="Arial" w:hAnsi="Arial" w:cs="Arial"/>
        </w:rPr>
        <w:t xml:space="preserve"> Management Committee </w:t>
      </w:r>
      <w:r w:rsidRPr="0097109C">
        <w:rPr>
          <w:rFonts w:ascii="Arial" w:hAnsi="Arial" w:cs="Arial"/>
        </w:rPr>
        <w:t xml:space="preserve">– </w:t>
      </w:r>
      <w:r w:rsidR="009E1D54">
        <w:rPr>
          <w:rFonts w:ascii="Arial" w:hAnsi="Arial" w:cs="Arial"/>
        </w:rPr>
        <w:t>F</w:t>
      </w:r>
      <w:r w:rsidR="006E3509">
        <w:rPr>
          <w:rFonts w:ascii="Arial" w:hAnsi="Arial" w:cs="Arial"/>
        </w:rPr>
        <w:t>unding</w:t>
      </w:r>
      <w:r w:rsidR="009E1D54">
        <w:rPr>
          <w:rFonts w:ascii="Arial" w:hAnsi="Arial" w:cs="Arial"/>
        </w:rPr>
        <w:t xml:space="preserve"> Update</w:t>
      </w:r>
      <w:r w:rsidR="006E3509">
        <w:rPr>
          <w:rFonts w:ascii="Arial" w:hAnsi="Arial" w:cs="Arial"/>
        </w:rPr>
        <w:t xml:space="preserve"> for CSS</w:t>
      </w:r>
      <w:r w:rsidR="00164A72">
        <w:rPr>
          <w:rFonts w:ascii="Arial" w:hAnsi="Arial" w:cs="Arial"/>
        </w:rPr>
        <w:t xml:space="preserve"> Consequential by Emma Lyndon</w:t>
      </w:r>
      <w:r w:rsidR="00361D98" w:rsidRPr="0097109C">
        <w:rPr>
          <w:rFonts w:ascii="Arial" w:hAnsi="Arial" w:cs="Arial"/>
        </w:rPr>
        <w:t xml:space="preserve"> </w:t>
      </w:r>
    </w:p>
    <w:p w:rsidR="000B1BC3" w:rsidRPr="0097109C" w:rsidRDefault="000B1BC3" w:rsidP="00164A72">
      <w:pPr>
        <w:spacing w:line="360" w:lineRule="auto"/>
        <w:rPr>
          <w:rFonts w:ascii="Arial" w:hAnsi="Arial" w:cs="Arial"/>
          <w:b/>
        </w:rPr>
      </w:pPr>
      <w:r w:rsidRPr="0097109C">
        <w:rPr>
          <w:rFonts w:ascii="Arial" w:hAnsi="Arial" w:cs="Arial"/>
          <w:b/>
        </w:rPr>
        <w:t>Purpose</w:t>
      </w:r>
    </w:p>
    <w:p w:rsidR="000B1BC3" w:rsidRDefault="000B1BC3" w:rsidP="009710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7109C">
        <w:rPr>
          <w:rFonts w:ascii="Arial" w:hAnsi="Arial" w:cs="Arial"/>
        </w:rPr>
        <w:t xml:space="preserve">This paper </w:t>
      </w:r>
      <w:r w:rsidR="00143759">
        <w:rPr>
          <w:rFonts w:ascii="Arial" w:hAnsi="Arial" w:cs="Arial"/>
        </w:rPr>
        <w:t xml:space="preserve">aims to provide </w:t>
      </w:r>
      <w:r w:rsidR="000F621C" w:rsidRPr="0097109C">
        <w:rPr>
          <w:rFonts w:ascii="Arial" w:hAnsi="Arial" w:cs="Arial"/>
        </w:rPr>
        <w:t>DSC Contract</w:t>
      </w:r>
      <w:r w:rsidRPr="0097109C">
        <w:rPr>
          <w:rFonts w:ascii="Arial" w:hAnsi="Arial" w:cs="Arial"/>
        </w:rPr>
        <w:t xml:space="preserve"> M</w:t>
      </w:r>
      <w:r w:rsidR="00143759">
        <w:rPr>
          <w:rFonts w:ascii="Arial" w:hAnsi="Arial" w:cs="Arial"/>
        </w:rPr>
        <w:t>anagement Committee members an update regarding the utilisation of</w:t>
      </w:r>
      <w:r w:rsidR="006E3509">
        <w:rPr>
          <w:rFonts w:ascii="Arial" w:hAnsi="Arial" w:cs="Arial"/>
        </w:rPr>
        <w:t xml:space="preserve"> </w:t>
      </w:r>
      <w:r w:rsidR="009E1D54">
        <w:rPr>
          <w:rFonts w:ascii="Arial" w:hAnsi="Arial" w:cs="Arial"/>
        </w:rPr>
        <w:t xml:space="preserve">the </w:t>
      </w:r>
      <w:r w:rsidR="006E3509">
        <w:rPr>
          <w:rFonts w:ascii="Arial" w:hAnsi="Arial" w:cs="Arial"/>
        </w:rPr>
        <w:t>approved budget line funding for CSS Consequential (CSSC)</w:t>
      </w:r>
    </w:p>
    <w:p w:rsidR="00920F28" w:rsidRDefault="00920F28" w:rsidP="00920F28">
      <w:pPr>
        <w:pStyle w:val="ListParagraph"/>
        <w:spacing w:line="360" w:lineRule="auto"/>
        <w:rPr>
          <w:rFonts w:ascii="Arial" w:hAnsi="Arial" w:cs="Arial"/>
        </w:rPr>
      </w:pPr>
    </w:p>
    <w:p w:rsidR="00A453E9" w:rsidRPr="0097109C" w:rsidRDefault="00487A0C" w:rsidP="008177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7109C">
        <w:rPr>
          <w:rFonts w:ascii="Arial" w:hAnsi="Arial" w:cs="Arial"/>
          <w:b/>
        </w:rPr>
        <w:t>Background</w:t>
      </w:r>
    </w:p>
    <w:p w:rsidR="00B90DB6" w:rsidRPr="0097109C" w:rsidRDefault="00B90DB6" w:rsidP="009710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97109C">
        <w:rPr>
          <w:rFonts w:ascii="Arial" w:hAnsi="Arial" w:cs="Arial"/>
        </w:rPr>
        <w:t xml:space="preserve">The CSS Consequential programme </w:t>
      </w:r>
      <w:r w:rsidR="00352100" w:rsidRPr="0097109C">
        <w:rPr>
          <w:rFonts w:ascii="Arial" w:hAnsi="Arial" w:cs="Arial"/>
        </w:rPr>
        <w:t xml:space="preserve">is established to undertake changes to Xoserve’s systems and processes that are impacted as </w:t>
      </w:r>
      <w:r w:rsidR="008D2E15">
        <w:rPr>
          <w:rFonts w:ascii="Arial" w:hAnsi="Arial" w:cs="Arial"/>
        </w:rPr>
        <w:t xml:space="preserve">a </w:t>
      </w:r>
      <w:r w:rsidR="00352100" w:rsidRPr="0097109C">
        <w:rPr>
          <w:rFonts w:ascii="Arial" w:hAnsi="Arial" w:cs="Arial"/>
        </w:rPr>
        <w:t>consequence of the introduction of the Central Switching Service by Ofgem and DCC.</w:t>
      </w:r>
    </w:p>
    <w:p w:rsidR="007C2918" w:rsidRPr="0097109C" w:rsidRDefault="009E1D54" w:rsidP="009710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Xoserve has</w:t>
      </w:r>
      <w:r w:rsidR="006E46F9">
        <w:rPr>
          <w:rFonts w:ascii="Arial" w:hAnsi="Arial" w:cs="Arial"/>
        </w:rPr>
        <w:t xml:space="preserve"> </w:t>
      </w:r>
      <w:r w:rsidR="006F75EC">
        <w:rPr>
          <w:rFonts w:ascii="Arial" w:hAnsi="Arial" w:cs="Arial"/>
        </w:rPr>
        <w:t>completed</w:t>
      </w:r>
      <w:r w:rsidR="007C2918" w:rsidRPr="0097109C">
        <w:rPr>
          <w:rFonts w:ascii="Arial" w:hAnsi="Arial" w:cs="Arial"/>
        </w:rPr>
        <w:t xml:space="preserve"> high-level analysis, requirements gathering</w:t>
      </w:r>
      <w:r w:rsidR="00C4168C">
        <w:rPr>
          <w:rFonts w:ascii="Arial" w:hAnsi="Arial" w:cs="Arial"/>
        </w:rPr>
        <w:t xml:space="preserve"> and customer engagement as well as</w:t>
      </w:r>
      <w:r w:rsidR="007C2918" w:rsidRPr="0097109C">
        <w:rPr>
          <w:rFonts w:ascii="Arial" w:hAnsi="Arial" w:cs="Arial"/>
        </w:rPr>
        <w:t xml:space="preserve"> High-Level Design (HLD) in order to provide Xoserve the best opportunity to meet Ofgem’s progr</w:t>
      </w:r>
      <w:r w:rsidR="005C5E9D">
        <w:rPr>
          <w:rFonts w:ascii="Arial" w:hAnsi="Arial" w:cs="Arial"/>
        </w:rPr>
        <w:t>amme time scales.  These activities were</w:t>
      </w:r>
      <w:r w:rsidR="007C2918" w:rsidRPr="0097109C">
        <w:rPr>
          <w:rFonts w:ascii="Arial" w:hAnsi="Arial" w:cs="Arial"/>
        </w:rPr>
        <w:t xml:space="preserve"> undertake</w:t>
      </w:r>
      <w:r w:rsidR="005C5E9D">
        <w:rPr>
          <w:rFonts w:ascii="Arial" w:hAnsi="Arial" w:cs="Arial"/>
        </w:rPr>
        <w:t>n within the approved BP18 budget.</w:t>
      </w:r>
    </w:p>
    <w:p w:rsidR="00C4168C" w:rsidRPr="00C4168C" w:rsidRDefault="002B4F4D" w:rsidP="00C4168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E77213">
        <w:rPr>
          <w:rFonts w:ascii="Arial" w:hAnsi="Arial" w:cs="Arial"/>
        </w:rPr>
        <w:t>BP19</w:t>
      </w:r>
      <w:r w:rsidR="005C5E9D">
        <w:rPr>
          <w:rFonts w:ascii="Arial" w:hAnsi="Arial" w:cs="Arial"/>
        </w:rPr>
        <w:t>/20</w:t>
      </w:r>
      <w:r w:rsidR="00487A0C" w:rsidRPr="00E77213">
        <w:rPr>
          <w:rFonts w:ascii="Arial" w:hAnsi="Arial" w:cs="Arial"/>
        </w:rPr>
        <w:t xml:space="preserve"> contains</w:t>
      </w:r>
      <w:r w:rsidR="007C2918" w:rsidRPr="00E77213">
        <w:rPr>
          <w:rFonts w:ascii="Arial" w:hAnsi="Arial" w:cs="Arial"/>
        </w:rPr>
        <w:t xml:space="preserve"> </w:t>
      </w:r>
      <w:r w:rsidR="009E2922" w:rsidRPr="00E77213">
        <w:rPr>
          <w:rFonts w:ascii="Arial" w:hAnsi="Arial" w:cs="Arial"/>
        </w:rPr>
        <w:t xml:space="preserve">an estimated budget entry for CSS Consequential </w:t>
      </w:r>
      <w:r w:rsidR="007C2918" w:rsidRPr="00E77213">
        <w:rPr>
          <w:rFonts w:ascii="Arial" w:hAnsi="Arial" w:cs="Arial"/>
        </w:rPr>
        <w:t xml:space="preserve">based on initial analysis and Ofgem’s 2020 delivery plan. </w:t>
      </w:r>
    </w:p>
    <w:p w:rsidR="005C5E9D" w:rsidRDefault="009E1D54" w:rsidP="00E7721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Xoserve</w:t>
      </w:r>
      <w:r w:rsidR="00F241E1" w:rsidRPr="00F241E1">
        <w:rPr>
          <w:rFonts w:ascii="Arial" w:hAnsi="Arial" w:cs="Arial"/>
        </w:rPr>
        <w:t xml:space="preserve"> commenced Detailed Design in April 2019 utilising the approved £3.6m funds from the BP19 budget.</w:t>
      </w:r>
      <w:r w:rsidR="006E46F9">
        <w:rPr>
          <w:rFonts w:ascii="Arial" w:hAnsi="Arial" w:cs="Arial"/>
        </w:rPr>
        <w:t xml:space="preserve"> </w:t>
      </w:r>
    </w:p>
    <w:p w:rsidR="00E77213" w:rsidRDefault="00C4168C" w:rsidP="00E7721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2421E1">
        <w:rPr>
          <w:rFonts w:ascii="Arial" w:hAnsi="Arial" w:cs="Arial"/>
        </w:rPr>
        <w:t>Release of funds</w:t>
      </w:r>
      <w:r w:rsidR="00F241E1" w:rsidRPr="002421E1">
        <w:rPr>
          <w:rFonts w:ascii="Arial" w:hAnsi="Arial" w:cs="Arial"/>
        </w:rPr>
        <w:t xml:space="preserve"> is now required, as per the plan</w:t>
      </w:r>
      <w:r w:rsidR="00055EE8">
        <w:rPr>
          <w:rFonts w:ascii="Arial" w:hAnsi="Arial" w:cs="Arial"/>
        </w:rPr>
        <w:t>,</w:t>
      </w:r>
      <w:r w:rsidR="00F241E1" w:rsidRPr="002421E1">
        <w:rPr>
          <w:rFonts w:ascii="Arial" w:hAnsi="Arial" w:cs="Arial"/>
        </w:rPr>
        <w:t xml:space="preserve"> for the Build, Test and Implementation phases. </w:t>
      </w:r>
      <w:r w:rsidR="006E46F9" w:rsidRPr="002421E1">
        <w:rPr>
          <w:rFonts w:ascii="Arial" w:hAnsi="Arial" w:cs="Arial"/>
        </w:rPr>
        <w:t>These phases include all changes within Xoserve systems such as UK Link, Gemini and shared components, internal and external testing as per Xoserve and Ofgem Switching Programme specifications and requirements.</w:t>
      </w:r>
      <w:r w:rsidR="00701C51" w:rsidRPr="002421E1">
        <w:rPr>
          <w:rFonts w:ascii="Arial" w:hAnsi="Arial" w:cs="Arial"/>
        </w:rPr>
        <w:t xml:space="preserve"> </w:t>
      </w:r>
    </w:p>
    <w:p w:rsidR="007B024C" w:rsidRDefault="007B024C" w:rsidP="002421E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21E1" w:rsidRPr="002421E1" w:rsidRDefault="002421E1" w:rsidP="002421E1">
      <w:pPr>
        <w:pStyle w:val="ListParagraph"/>
        <w:spacing w:line="360" w:lineRule="auto"/>
        <w:rPr>
          <w:rFonts w:ascii="Arial" w:hAnsi="Arial" w:cs="Arial"/>
        </w:rPr>
      </w:pPr>
    </w:p>
    <w:p w:rsidR="000F621C" w:rsidRPr="0097109C" w:rsidRDefault="009E1D54" w:rsidP="009710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</w:t>
      </w:r>
    </w:p>
    <w:p w:rsidR="000F621C" w:rsidRPr="0097109C" w:rsidRDefault="000F621C" w:rsidP="0097109C">
      <w:pPr>
        <w:pStyle w:val="ListParagraph"/>
        <w:spacing w:line="360" w:lineRule="auto"/>
        <w:rPr>
          <w:rFonts w:ascii="Arial" w:hAnsi="Arial" w:cs="Arial"/>
        </w:rPr>
      </w:pPr>
    </w:p>
    <w:p w:rsidR="0096720D" w:rsidRDefault="0096720D" w:rsidP="009710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Xoserve activities are cu</w:t>
      </w:r>
      <w:r w:rsidR="00FA147B">
        <w:rPr>
          <w:rFonts w:ascii="Arial" w:hAnsi="Arial" w:cs="Arial"/>
        </w:rPr>
        <w:t>rrently being delivered to plan however</w:t>
      </w:r>
      <w:r>
        <w:rPr>
          <w:rFonts w:ascii="Arial" w:hAnsi="Arial" w:cs="Arial"/>
        </w:rPr>
        <w:t xml:space="preserve"> this is dependent on the Switching Programme plan holding timelines</w:t>
      </w:r>
    </w:p>
    <w:p w:rsidR="00FA147B" w:rsidRDefault="00377BAB" w:rsidP="0097109C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delays in DCC’s </w:t>
      </w:r>
      <w:r w:rsidR="00FA147B">
        <w:rPr>
          <w:rFonts w:ascii="Arial" w:hAnsi="Arial" w:cs="Arial"/>
        </w:rPr>
        <w:t xml:space="preserve">procurement of the CSS Provider; this has resulted in a </w:t>
      </w:r>
      <w:r w:rsidR="008D02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week delay in the</w:t>
      </w:r>
      <w:r w:rsidR="00FA147B">
        <w:rPr>
          <w:rFonts w:ascii="Arial" w:hAnsi="Arial" w:cs="Arial"/>
        </w:rPr>
        <w:t xml:space="preserve"> Switching programme entering </w:t>
      </w:r>
      <w:r>
        <w:rPr>
          <w:rFonts w:ascii="Arial" w:hAnsi="Arial" w:cs="Arial"/>
        </w:rPr>
        <w:t xml:space="preserve">the </w:t>
      </w:r>
      <w:r w:rsidR="00FA147B">
        <w:rPr>
          <w:rFonts w:ascii="Arial" w:hAnsi="Arial" w:cs="Arial"/>
        </w:rPr>
        <w:t>design, build and test phase. Xoserve are currently tracking to plan, however are proceeding at risk</w:t>
      </w:r>
      <w:r>
        <w:rPr>
          <w:rFonts w:ascii="Arial" w:hAnsi="Arial" w:cs="Arial"/>
        </w:rPr>
        <w:t>,</w:t>
      </w:r>
      <w:r w:rsidR="00FA147B">
        <w:rPr>
          <w:rFonts w:ascii="Arial" w:hAnsi="Arial" w:cs="Arial"/>
        </w:rPr>
        <w:t xml:space="preserve"> should key Switching Programme milestones not be achieved by the CSS Provider. </w:t>
      </w:r>
    </w:p>
    <w:p w:rsidR="00377BAB" w:rsidRPr="00FC5BC4" w:rsidRDefault="008D02C7" w:rsidP="00C36A4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FC5BC4">
        <w:rPr>
          <w:rFonts w:ascii="Arial" w:hAnsi="Arial" w:cs="Arial"/>
        </w:rPr>
        <w:t xml:space="preserve">Xoserve had estimated full delivery costs based on a 2020 implementation date. In October 2018 Ofgem revised the implementation date out to June 2021. </w:t>
      </w:r>
    </w:p>
    <w:p w:rsidR="00D059ED" w:rsidRDefault="00D059ED" w:rsidP="00D059E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Switching Programme is expected to issue a re-baselined programme plan and the CSS Provider’s Physical Design in July. At this point, Xoserve will be un</w:t>
      </w:r>
      <w:r w:rsidR="004F7F6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ertaking another iteration of assessment and a planning exercise to understand impacts to Xoserve delivery. It is </w:t>
      </w:r>
      <w:r w:rsidR="00874221">
        <w:rPr>
          <w:rFonts w:ascii="Arial" w:hAnsi="Arial" w:cs="Arial"/>
        </w:rPr>
        <w:t>expected that costs will increase both due to timeline change as well as the potential risk of physical design changing base (industry-wide) assumptions.</w:t>
      </w:r>
    </w:p>
    <w:p w:rsidR="00874221" w:rsidRDefault="00874221" w:rsidP="00D059E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055EE8">
        <w:rPr>
          <w:rFonts w:ascii="Arial" w:hAnsi="Arial" w:cs="Arial"/>
        </w:rPr>
        <w:t xml:space="preserve">forecast </w:t>
      </w:r>
      <w:r w:rsidR="000858B0">
        <w:rPr>
          <w:rFonts w:ascii="Arial" w:hAnsi="Arial" w:cs="Arial"/>
        </w:rPr>
        <w:t xml:space="preserve">change in </w:t>
      </w:r>
      <w:r w:rsidR="00F71E4C">
        <w:rPr>
          <w:rFonts w:ascii="Arial" w:hAnsi="Arial" w:cs="Arial"/>
        </w:rPr>
        <w:t xml:space="preserve">costs </w:t>
      </w:r>
      <w:r w:rsidR="000858B0">
        <w:rPr>
          <w:rFonts w:ascii="Arial" w:hAnsi="Arial" w:cs="Arial"/>
        </w:rPr>
        <w:t>associated with the re-baselined Switching Programme plan</w:t>
      </w:r>
      <w:r w:rsidR="00055EE8">
        <w:rPr>
          <w:rFonts w:ascii="Arial" w:hAnsi="Arial" w:cs="Arial"/>
        </w:rPr>
        <w:t xml:space="preserve"> or changes to the Physical Design</w:t>
      </w:r>
      <w:r w:rsidR="000858B0">
        <w:rPr>
          <w:rFonts w:ascii="Arial" w:hAnsi="Arial" w:cs="Arial"/>
        </w:rPr>
        <w:t xml:space="preserve"> </w:t>
      </w:r>
      <w:r w:rsidR="00F71E4C">
        <w:rPr>
          <w:rFonts w:ascii="Arial" w:hAnsi="Arial" w:cs="Arial"/>
        </w:rPr>
        <w:t>will be presented at the CoMC session in September, provided the Switching Programme holds current timelines</w:t>
      </w:r>
      <w:r w:rsidR="000858B0">
        <w:rPr>
          <w:rFonts w:ascii="Arial" w:hAnsi="Arial" w:cs="Arial"/>
        </w:rPr>
        <w:t xml:space="preserve"> for the publication of their plan</w:t>
      </w:r>
      <w:r w:rsidR="00055EE8">
        <w:rPr>
          <w:rFonts w:ascii="Arial" w:hAnsi="Arial" w:cs="Arial"/>
        </w:rPr>
        <w:t xml:space="preserve"> and design</w:t>
      </w:r>
      <w:r w:rsidR="00F71E4C">
        <w:rPr>
          <w:rFonts w:ascii="Arial" w:hAnsi="Arial" w:cs="Arial"/>
        </w:rPr>
        <w:t xml:space="preserve">. </w:t>
      </w:r>
      <w:r w:rsidR="000858B0">
        <w:rPr>
          <w:rFonts w:ascii="Arial" w:hAnsi="Arial" w:cs="Arial"/>
        </w:rPr>
        <w:t xml:space="preserve">These revised </w:t>
      </w:r>
      <w:r w:rsidR="00F71E4C">
        <w:rPr>
          <w:rFonts w:ascii="Arial" w:hAnsi="Arial" w:cs="Arial"/>
        </w:rPr>
        <w:t xml:space="preserve">costs will be incorporated into the BP20/21 budgets via the </w:t>
      </w:r>
      <w:r w:rsidR="00055EE8">
        <w:rPr>
          <w:rFonts w:ascii="Arial" w:hAnsi="Arial" w:cs="Arial"/>
        </w:rPr>
        <w:t>usual</w:t>
      </w:r>
      <w:r w:rsidR="00F71E4C">
        <w:rPr>
          <w:rFonts w:ascii="Arial" w:hAnsi="Arial" w:cs="Arial"/>
        </w:rPr>
        <w:t xml:space="preserve"> business planning process.</w:t>
      </w:r>
    </w:p>
    <w:p w:rsidR="002E133C" w:rsidRDefault="00D8273D" w:rsidP="00624A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 </w:t>
      </w:r>
      <w:r w:rsidR="00624ADE" w:rsidRPr="002E133C">
        <w:rPr>
          <w:rFonts w:ascii="Arial" w:hAnsi="Arial" w:cs="Arial"/>
        </w:rPr>
        <w:t>commence</w:t>
      </w:r>
      <w:r>
        <w:rPr>
          <w:rFonts w:ascii="Arial" w:hAnsi="Arial" w:cs="Arial"/>
        </w:rPr>
        <w:t>d</w:t>
      </w:r>
      <w:r w:rsidR="00624ADE" w:rsidRPr="002E133C">
        <w:rPr>
          <w:rFonts w:ascii="Arial" w:hAnsi="Arial" w:cs="Arial"/>
        </w:rPr>
        <w:t xml:space="preserve"> in June </w:t>
      </w:r>
      <w:r w:rsidR="002421E1" w:rsidRPr="002E133C">
        <w:rPr>
          <w:rFonts w:ascii="Arial" w:hAnsi="Arial" w:cs="Arial"/>
        </w:rPr>
        <w:t>2019 and Xoserve is in the process of</w:t>
      </w:r>
      <w:r w:rsidR="00624ADE" w:rsidRPr="002E133C">
        <w:rPr>
          <w:rFonts w:ascii="Arial" w:hAnsi="Arial" w:cs="Arial"/>
        </w:rPr>
        <w:t xml:space="preserve"> </w:t>
      </w:r>
      <w:r w:rsidR="00607B73">
        <w:rPr>
          <w:rFonts w:ascii="Arial" w:hAnsi="Arial" w:cs="Arial"/>
        </w:rPr>
        <w:t>contracting</w:t>
      </w:r>
      <w:r w:rsidR="00624ADE" w:rsidRPr="002E133C">
        <w:rPr>
          <w:rFonts w:ascii="Arial" w:hAnsi="Arial" w:cs="Arial"/>
        </w:rPr>
        <w:t xml:space="preserve"> with its partners that commit expenditure through all remaining phases.  </w:t>
      </w:r>
    </w:p>
    <w:p w:rsidR="00624ADE" w:rsidRDefault="00DB63E7" w:rsidP="00624AD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paper is aimed at providing CoMC </w:t>
      </w:r>
      <w:r w:rsidR="00903BF1">
        <w:rPr>
          <w:rFonts w:ascii="Arial" w:hAnsi="Arial" w:cs="Arial"/>
        </w:rPr>
        <w:t>an update regarding the utilisation of approved Budget line funding for CSSC.</w:t>
      </w:r>
    </w:p>
    <w:p w:rsidR="00E4210E" w:rsidRDefault="00E4210E" w:rsidP="00E4210E">
      <w:pPr>
        <w:pStyle w:val="ListParagraph"/>
        <w:spacing w:line="360" w:lineRule="auto"/>
        <w:ind w:left="567"/>
        <w:rPr>
          <w:rFonts w:ascii="Arial" w:hAnsi="Arial" w:cs="Arial"/>
        </w:rPr>
      </w:pPr>
    </w:p>
    <w:sectPr w:rsidR="00E42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99E"/>
    <w:multiLevelType w:val="multilevel"/>
    <w:tmpl w:val="DE88C232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  <w:i w:val="0"/>
        <w:iCs/>
        <w:sz w:val="24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">
    <w:nsid w:val="693F569A"/>
    <w:multiLevelType w:val="multilevel"/>
    <w:tmpl w:val="2D3E1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C3"/>
    <w:rsid w:val="00047C29"/>
    <w:rsid w:val="00055EE8"/>
    <w:rsid w:val="000858B0"/>
    <w:rsid w:val="000B1BC3"/>
    <w:rsid w:val="000F621C"/>
    <w:rsid w:val="001220E1"/>
    <w:rsid w:val="00143759"/>
    <w:rsid w:val="00145AF3"/>
    <w:rsid w:val="00164A72"/>
    <w:rsid w:val="001B5242"/>
    <w:rsid w:val="001B578D"/>
    <w:rsid w:val="00215B5B"/>
    <w:rsid w:val="002317F2"/>
    <w:rsid w:val="002362F5"/>
    <w:rsid w:val="002421E1"/>
    <w:rsid w:val="0024337B"/>
    <w:rsid w:val="00266919"/>
    <w:rsid w:val="002B4F4D"/>
    <w:rsid w:val="002E133C"/>
    <w:rsid w:val="00344706"/>
    <w:rsid w:val="00352100"/>
    <w:rsid w:val="00361D98"/>
    <w:rsid w:val="00377BAB"/>
    <w:rsid w:val="003A6997"/>
    <w:rsid w:val="003B2AC9"/>
    <w:rsid w:val="003C5EA1"/>
    <w:rsid w:val="003E0DD5"/>
    <w:rsid w:val="003F16BA"/>
    <w:rsid w:val="004039EB"/>
    <w:rsid w:val="00475D88"/>
    <w:rsid w:val="00487A0C"/>
    <w:rsid w:val="004A1E59"/>
    <w:rsid w:val="004B4CF0"/>
    <w:rsid w:val="004B6A7A"/>
    <w:rsid w:val="004B6F49"/>
    <w:rsid w:val="004B7FD9"/>
    <w:rsid w:val="004F7F66"/>
    <w:rsid w:val="005056A6"/>
    <w:rsid w:val="00554EE2"/>
    <w:rsid w:val="00584020"/>
    <w:rsid w:val="005C5E9D"/>
    <w:rsid w:val="005D3C9D"/>
    <w:rsid w:val="00602186"/>
    <w:rsid w:val="00607B73"/>
    <w:rsid w:val="00624ADE"/>
    <w:rsid w:val="00686779"/>
    <w:rsid w:val="00686CF7"/>
    <w:rsid w:val="006E3509"/>
    <w:rsid w:val="006E46F9"/>
    <w:rsid w:val="006F75EC"/>
    <w:rsid w:val="00701C51"/>
    <w:rsid w:val="00706475"/>
    <w:rsid w:val="007B024C"/>
    <w:rsid w:val="007C2918"/>
    <w:rsid w:val="0080702B"/>
    <w:rsid w:val="00817714"/>
    <w:rsid w:val="00874221"/>
    <w:rsid w:val="0088436D"/>
    <w:rsid w:val="008B3EFB"/>
    <w:rsid w:val="008D02C7"/>
    <w:rsid w:val="008D189B"/>
    <w:rsid w:val="008D2E15"/>
    <w:rsid w:val="00903BF1"/>
    <w:rsid w:val="00920F28"/>
    <w:rsid w:val="009379C2"/>
    <w:rsid w:val="009461B6"/>
    <w:rsid w:val="00962C32"/>
    <w:rsid w:val="0096720D"/>
    <w:rsid w:val="00967343"/>
    <w:rsid w:val="0097109C"/>
    <w:rsid w:val="00985C81"/>
    <w:rsid w:val="009A40EC"/>
    <w:rsid w:val="009E1D54"/>
    <w:rsid w:val="009E2922"/>
    <w:rsid w:val="00A04012"/>
    <w:rsid w:val="00A12FF2"/>
    <w:rsid w:val="00A25985"/>
    <w:rsid w:val="00A453E9"/>
    <w:rsid w:val="00A62921"/>
    <w:rsid w:val="00A63966"/>
    <w:rsid w:val="00A66CBF"/>
    <w:rsid w:val="00A75DA3"/>
    <w:rsid w:val="00A943B9"/>
    <w:rsid w:val="00AA2072"/>
    <w:rsid w:val="00AC7671"/>
    <w:rsid w:val="00B739D2"/>
    <w:rsid w:val="00B90DB6"/>
    <w:rsid w:val="00BA2631"/>
    <w:rsid w:val="00BB1188"/>
    <w:rsid w:val="00C1525E"/>
    <w:rsid w:val="00C27640"/>
    <w:rsid w:val="00C36A46"/>
    <w:rsid w:val="00C4168C"/>
    <w:rsid w:val="00CB6CFF"/>
    <w:rsid w:val="00CB74E3"/>
    <w:rsid w:val="00CC60D5"/>
    <w:rsid w:val="00D059ED"/>
    <w:rsid w:val="00D61859"/>
    <w:rsid w:val="00D8273D"/>
    <w:rsid w:val="00DB5701"/>
    <w:rsid w:val="00DB63E7"/>
    <w:rsid w:val="00DD68CD"/>
    <w:rsid w:val="00E00B8A"/>
    <w:rsid w:val="00E05CAA"/>
    <w:rsid w:val="00E257DE"/>
    <w:rsid w:val="00E4210E"/>
    <w:rsid w:val="00E77213"/>
    <w:rsid w:val="00EE25AA"/>
    <w:rsid w:val="00F0502F"/>
    <w:rsid w:val="00F15F2C"/>
    <w:rsid w:val="00F241E1"/>
    <w:rsid w:val="00F35340"/>
    <w:rsid w:val="00F71E4C"/>
    <w:rsid w:val="00F95774"/>
    <w:rsid w:val="00FA147B"/>
    <w:rsid w:val="00FC5B99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uiPriority w:val="34"/>
    <w:qFormat/>
    <w:rsid w:val="000B1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EFB"/>
    <w:pPr>
      <w:spacing w:after="0" w:line="240" w:lineRule="auto"/>
    </w:pPr>
  </w:style>
  <w:style w:type="paragraph" w:customStyle="1" w:styleId="Bulletlist">
    <w:name w:val="Bullet list"/>
    <w:basedOn w:val="Normal"/>
    <w:qFormat/>
    <w:rsid w:val="00F241E1"/>
    <w:pPr>
      <w:spacing w:after="0" w:line="264" w:lineRule="auto"/>
      <w:contextualSpacing/>
      <w:jc w:val="both"/>
    </w:pPr>
    <w:rPr>
      <w:rFonts w:eastAsiaTheme="minorEastAsia" w:cs="Times New Roman"/>
      <w:sz w:val="24"/>
    </w:rPr>
  </w:style>
  <w:style w:type="table" w:styleId="TableGrid">
    <w:name w:val="Table Grid"/>
    <w:basedOn w:val="TableNormal"/>
    <w:rsid w:val="00F050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uiPriority w:val="34"/>
    <w:qFormat/>
    <w:rsid w:val="000B1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EFB"/>
    <w:pPr>
      <w:spacing w:after="0" w:line="240" w:lineRule="auto"/>
    </w:pPr>
  </w:style>
  <w:style w:type="paragraph" w:customStyle="1" w:styleId="Bulletlist">
    <w:name w:val="Bullet list"/>
    <w:basedOn w:val="Normal"/>
    <w:qFormat/>
    <w:rsid w:val="00F241E1"/>
    <w:pPr>
      <w:spacing w:after="0" w:line="264" w:lineRule="auto"/>
      <w:contextualSpacing/>
      <w:jc w:val="both"/>
    </w:pPr>
    <w:rPr>
      <w:rFonts w:eastAsiaTheme="minorEastAsia" w:cs="Times New Roman"/>
      <w:sz w:val="24"/>
    </w:rPr>
  </w:style>
  <w:style w:type="table" w:styleId="TableGrid">
    <w:name w:val="Table Grid"/>
    <w:basedOn w:val="TableNormal"/>
    <w:rsid w:val="00F050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AD79-FAA7-4897-AF8C-C21615FC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Lyndon</dc:creator>
  <cp:lastModifiedBy>National Grid</cp:lastModifiedBy>
  <cp:revision>2</cp:revision>
  <dcterms:created xsi:type="dcterms:W3CDTF">2019-07-09T15:27:00Z</dcterms:created>
  <dcterms:modified xsi:type="dcterms:W3CDTF">2019-07-09T15:27:00Z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-1926602283</vt:i4>
  </property>
  <property fmtid="{D5CDD505-2E9C-101B-9397-08002B2CF9AE}" pid="3" name="_NewReviewCycle">
    <vt:lpwstr/>
  </property>
  <property fmtid="{D5CDD505-2E9C-101B-9397-08002B2CF9AE}" pid="4" name="_EmailSubject">
    <vt:lpwstr>CoMC Agenda Items</vt:lpwstr>
  </property>
  <property fmtid="{D5CDD505-2E9C-101B-9397-08002B2CF9AE}" pid="5" name="_AuthorEmail">
    <vt:lpwstr>Angela.Clarke@xoserve.com</vt:lpwstr>
  </property>
  <property fmtid="{D5CDD505-2E9C-101B-9397-08002B2CF9AE}" pid="6" name="_AuthorEmailDisplayName">
    <vt:lpwstr>Clarke, Angela</vt:lpwstr>
  </property>
  <property fmtid="{D5CDD505-2E9C-101B-9397-08002B2CF9AE}" pid="8" name="_PreviousAdHocReviewCycleID">
    <vt:i4>-718853749</vt:i4>
  </property>
</Properties>
</file>