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bookmarkStart w:id="0" w:name="_GoBack"/>
      <w:bookmarkEnd w:id="0"/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43741EC1" w:rsidR="00EA73B3" w:rsidRPr="00EA73B3" w:rsidRDefault="003C6BDA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Gemini Spring 2020 Release</w:t>
            </w:r>
          </w:p>
        </w:tc>
      </w:tr>
      <w:tr w:rsidR="00EA73B3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24C936D0" w:rsidR="00EA73B3" w:rsidRPr="00EA73B3" w:rsidRDefault="009D0458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16"/>
              </w:rPr>
              <w:t>CP5053 and CP5054</w:t>
            </w:r>
          </w:p>
        </w:tc>
      </w:tr>
      <w:tr w:rsidR="00EA73B3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2ADC7175" w:rsidR="00EA73B3" w:rsidRPr="00EA73B3" w:rsidRDefault="009D0458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Hannah Reddy</w:t>
            </w:r>
          </w:p>
        </w:tc>
      </w:tr>
      <w:tr w:rsidR="00EA73B3" w:rsidRPr="00EA73B3" w14:paraId="2390A8AC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1BEC24CC" w:rsidR="00EA73B3" w:rsidRPr="00EA73B3" w:rsidRDefault="009D0458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Hannah.Reddy@xoserve.com</w:t>
            </w:r>
          </w:p>
        </w:tc>
      </w:tr>
      <w:tr w:rsidR="00EA73B3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79A3D867" w:rsidR="00EA73B3" w:rsidRPr="00EA73B3" w:rsidRDefault="001A416D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Cs w:val="16"/>
              </w:rPr>
              <w:t>0121 229 2226</w:t>
            </w:r>
          </w:p>
        </w:tc>
      </w:tr>
      <w:tr w:rsidR="00EA73B3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387E2FF3" w:rsidR="00EA73B3" w:rsidRPr="00EA73B3" w:rsidRDefault="001A416D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</w:t>
            </w:r>
            <w:r w:rsidRPr="001A416D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July 2020</w:t>
            </w:r>
          </w:p>
        </w:tc>
      </w:tr>
      <w:tr w:rsidR="00EA73B3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2830BEA6" w:rsidR="00EA73B3" w:rsidRPr="00EA73B3" w:rsidRDefault="00F81A76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Pr="00F81A76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April 2020</w:t>
            </w:r>
          </w:p>
        </w:tc>
      </w:tr>
      <w:tr w:rsidR="00EA73B3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B0AD57" w14:textId="46DCA165" w:rsidR="00F85838" w:rsidRPr="008D2970" w:rsidRDefault="00EB1280" w:rsidP="00F85838">
            <w:p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The purpose of the Gemini Spring 2020 Release was t</w:t>
            </w:r>
            <w:r w:rsidR="00F85838" w:rsidRPr="008D2970">
              <w:rPr>
                <w:rFonts w:eastAsia="Times New Roman" w:cs="Arial"/>
                <w:color w:val="000000" w:themeColor="text1"/>
                <w:sz w:val="20"/>
              </w:rPr>
              <w:t>o deliver the necessary changes to the Gemini system to meet the requirements stated under the following change proposals:</w:t>
            </w:r>
          </w:p>
          <w:p w14:paraId="1BF6B807" w14:textId="77777777" w:rsidR="00F85838" w:rsidRDefault="00F85838" w:rsidP="00F85838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62FE9AB7" w14:textId="77777777" w:rsidR="00F85838" w:rsidRDefault="00F85838" w:rsidP="00F8583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CP5053 – Single Sided Nominations Improvements</w:t>
            </w:r>
          </w:p>
          <w:p w14:paraId="5C8244D5" w14:textId="77777777" w:rsidR="00F85838" w:rsidRPr="008D2970" w:rsidRDefault="00F85838" w:rsidP="00F8583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CP5054 – Negative Implied Flow Rates</w:t>
            </w:r>
          </w:p>
          <w:p w14:paraId="0C977DDE" w14:textId="77777777" w:rsidR="00F85838" w:rsidRDefault="00F85838" w:rsidP="00F85838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33C295CC" w14:textId="62D187B3" w:rsidR="00EA73B3" w:rsidRPr="00F85838" w:rsidRDefault="00F85838" w:rsidP="00F85838">
            <w:pPr>
              <w:contextualSpacing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Given synergies with the change CP5053 and efficiencies that could be achieved through combined testing, Xoserve recommended the inclusion of an item from Gemini Enhancements namely “Nomination Lock”.</w:t>
            </w:r>
          </w:p>
          <w:p w14:paraId="46430941" w14:textId="1CF156B5" w:rsidR="00195A39" w:rsidRPr="00EB1280" w:rsidRDefault="00195A39" w:rsidP="00195A39">
            <w:pPr>
              <w:contextualSpacing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1982A8D" w14:textId="4734A369" w:rsidR="00EB1280" w:rsidRPr="007D75E9" w:rsidRDefault="007D75E9" w:rsidP="00195A39">
            <w:pPr>
              <w:contextualSpacing/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The project started as planned with analysis, design, build and test all being completed to schedule.</w:t>
            </w:r>
            <w:r w:rsidR="00A70562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The project was scheduled to implement on Sunday 22</w:t>
            </w:r>
            <w:r w:rsidR="00A70562" w:rsidRPr="00A70562">
              <w:rPr>
                <w:rFonts w:eastAsia="Times New Roman" w:cs="Arial"/>
                <w:i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A70562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March</w:t>
            </w:r>
            <w:r w:rsidR="007C496C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2020 however due to</w:t>
            </w:r>
            <w:r w:rsidR="0096648E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02D05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N</w:t>
            </w:r>
            <w:r w:rsidR="009E463D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ational </w:t>
            </w:r>
            <w:r w:rsidR="00302D05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G</w:t>
            </w:r>
            <w:r w:rsidR="009E463D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rid</w:t>
            </w:r>
            <w:r w:rsidR="00302D05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648E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operational requirements</w:t>
            </w:r>
            <w:r w:rsidR="00BB5E63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it was</w:t>
            </w:r>
            <w:r w:rsidR="0096648E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16CFC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postpone</w:t>
            </w:r>
            <w:r w:rsidR="00BB5E63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d</w:t>
            </w:r>
            <w:r w:rsidR="00295EC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to </w:t>
            </w:r>
            <w:r w:rsidR="00C5435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its </w:t>
            </w:r>
            <w:r w:rsidR="009D3AEF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contingency </w:t>
            </w:r>
            <w:r w:rsidR="00295EC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date </w:t>
            </w:r>
            <w:r w:rsidR="00742155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and as such the change was </w:t>
            </w:r>
            <w:r w:rsidR="00E569DA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>implemented</w:t>
            </w:r>
            <w:r w:rsidR="00295EC8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on</w:t>
            </w:r>
            <w:r w:rsidR="009D3AEF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5</w:t>
            </w:r>
            <w:r w:rsidR="009D3AEF" w:rsidRPr="009D3AEF">
              <w:rPr>
                <w:rFonts w:eastAsia="Times New Roman" w:cs="Arial"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9D3AEF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 April 2020. This resulted in the project be</w:t>
            </w:r>
            <w:r w:rsidR="00AB715C">
              <w:rPr>
                <w:rFonts w:eastAsia="Times New Roman" w:cs="Arial"/>
                <w:iCs/>
                <w:color w:val="000000" w:themeColor="text1"/>
                <w:sz w:val="20"/>
                <w:szCs w:val="20"/>
              </w:rPr>
              <w:t xml:space="preserve">ing extended. </w:t>
            </w:r>
            <w:r w:rsidR="00AB715C" w:rsidRPr="00EB128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Funding for the extra </w:t>
            </w:r>
            <w:r w:rsidR="00AB715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two </w:t>
            </w:r>
            <w:r w:rsidR="00AB715C" w:rsidRPr="00EB1280">
              <w:rPr>
                <w:rFonts w:eastAsia="Times New Roman" w:cs="Arial"/>
                <w:color w:val="000000" w:themeColor="text1"/>
                <w:sz w:val="20"/>
                <w:szCs w:val="20"/>
              </w:rPr>
              <w:t>week</w:t>
            </w:r>
            <w:r w:rsidR="00AB715C">
              <w:rPr>
                <w:rFonts w:eastAsia="Times New Roman" w:cs="Arial"/>
                <w:color w:val="000000" w:themeColor="text1"/>
                <w:sz w:val="20"/>
                <w:szCs w:val="20"/>
              </w:rPr>
              <w:t>s</w:t>
            </w:r>
            <w:r w:rsidR="00AB715C" w:rsidRPr="00EB128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was available within the sanctioned budget</w:t>
            </w:r>
            <w:r w:rsidR="00AB715C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  <w:p w14:paraId="65EF723D" w14:textId="2DFE8E5D" w:rsidR="00EB1280" w:rsidRPr="00EB1280" w:rsidRDefault="00EB1280" w:rsidP="00195A39">
            <w:pPr>
              <w:contextualSpacing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68D6D5DE" w:rsidR="00EA73B3" w:rsidRPr="00EA73B3" w:rsidRDefault="008B37D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UK Link Gemini System Services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1CF233C1" w:rsidR="00EA73B3" w:rsidRPr="00EA73B3" w:rsidRDefault="00245F47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ASGT-CS SA20-01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08A348EF" w:rsidR="00EA73B3" w:rsidRPr="00EA73B3" w:rsidRDefault="0086526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3B417C6E" w:rsidR="00EA73B3" w:rsidRPr="00EA73B3" w:rsidRDefault="0086526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646B8C30" w14:textId="74CAE4AC" w:rsidR="00EA73B3" w:rsidRP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A57A144">
              <w:tc>
                <w:tcPr>
                  <w:tcW w:w="2547" w:type="dxa"/>
                </w:tcPr>
                <w:p w14:paraId="7FC01E34" w14:textId="7B5E251A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EA73B3" w:rsidRDefault="00EA73B3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F0EFF" w14:textId="413F560A" w:rsidR="0A57A144" w:rsidRDefault="0A57A144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2D0F9EFD" w14:textId="25E994B2" w:rsidR="00195A39" w:rsidRPr="00EA73B3" w:rsidRDefault="00195A39" w:rsidP="00195A39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4B531AFD" w14:textId="64F156D4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4E3F35E6" w14:textId="740FB99C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2A0C4AA" w14:textId="7F64C070" w:rsidR="00EA73B3" w:rsidRPr="00EA73B3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6A039829" w14:textId="29D32856" w:rsidR="00EA73B3" w:rsidRPr="00EA73B3" w:rsidRDefault="00EA73B3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2A63D92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3C064A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6E130A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1814716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6A63A7D8" w:rsidR="00EA73B3" w:rsidRPr="00EA73B3" w:rsidRDefault="00EB1011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34E96438" w:rsidR="00EA73B3" w:rsidRPr="00EA73B3" w:rsidRDefault="00EB1011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637C4CFF" w:rsidR="00EA73B3" w:rsidRPr="00EA73B3" w:rsidRDefault="00EB1011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7A35C1">
                    <w:rPr>
                      <w:rFonts w:eastAsia="Times New Roman" w:cs="Arial"/>
                      <w:sz w:val="20"/>
                      <w:szCs w:val="20"/>
                    </w:rPr>
                    <w:t>60,246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2D825E4D" w:rsidR="00EA73B3" w:rsidRPr="00EA73B3" w:rsidRDefault="007A35C1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192A11">
                    <w:rPr>
                      <w:rFonts w:eastAsia="Times New Roman" w:cs="Arial"/>
                      <w:sz w:val="20"/>
                      <w:szCs w:val="20"/>
                    </w:rPr>
                    <w:t>43,</w:t>
                  </w:r>
                  <w:r w:rsidR="00C92190">
                    <w:rPr>
                      <w:rFonts w:eastAsia="Times New Roman" w:cs="Arial"/>
                      <w:sz w:val="20"/>
                      <w:szCs w:val="20"/>
                    </w:rPr>
                    <w:t>731.24</w:t>
                  </w:r>
                </w:p>
              </w:tc>
            </w:tr>
            <w:tr w:rsidR="00EA73B3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648D21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12B102F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CC920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3F42219A" w:rsidR="00EA73B3" w:rsidRPr="00EA73B3" w:rsidRDefault="00C92190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There were no changes to the scope of what was delivered</w:t>
            </w:r>
            <w:r w:rsidR="00970091">
              <w:rPr>
                <w:rFonts w:eastAsia="Times New Roman" w:cs="Arial"/>
                <w:sz w:val="20"/>
                <w:szCs w:val="20"/>
              </w:rPr>
              <w:t xml:space="preserve"> however t</w:t>
            </w:r>
            <w:r w:rsidR="00970091">
              <w:rPr>
                <w:rFonts w:eastAsia="Times New Roman" w:cs="Arial"/>
                <w:color w:val="000000" w:themeColor="text1"/>
                <w:sz w:val="20"/>
              </w:rPr>
              <w:t>here was a need to extend the project timescales by 2 weeks</w:t>
            </w:r>
            <w:r w:rsidR="000D324E">
              <w:rPr>
                <w:rFonts w:eastAsia="Times New Roman" w:cs="Arial"/>
                <w:color w:val="000000" w:themeColor="text1"/>
                <w:sz w:val="20"/>
              </w:rPr>
              <w:t xml:space="preserve"> as a result of postponing the implementation</w:t>
            </w:r>
            <w:r w:rsidR="00970091">
              <w:rPr>
                <w:rFonts w:eastAsia="Times New Roman" w:cs="Arial"/>
                <w:color w:val="000000" w:themeColor="text1"/>
                <w:sz w:val="20"/>
              </w:rPr>
              <w:t>.</w:t>
            </w:r>
          </w:p>
        </w:tc>
      </w:tr>
      <w:tr w:rsidR="00EA73B3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46992048" w14:textId="2C4FE23B" w:rsidR="00EA73B3" w:rsidRPr="00515575" w:rsidRDefault="00515575" w:rsidP="00195A39">
            <w:pPr>
              <w:rPr>
                <w:rFonts w:eastAsia="Times New Roman" w:cs="Arial"/>
                <w:sz w:val="20"/>
                <w:szCs w:val="16"/>
              </w:rPr>
            </w:pPr>
            <w:r w:rsidRPr="00515575">
              <w:rPr>
                <w:rFonts w:eastAsia="Times New Roman" w:cs="Arial"/>
                <w:sz w:val="20"/>
                <w:szCs w:val="16"/>
              </w:rPr>
              <w:t>No changes were required.</w:t>
            </w:r>
          </w:p>
        </w:tc>
      </w:tr>
      <w:tr w:rsidR="00EA73B3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5: Provide details of any revisions to the text of the UK Link Manual</w:t>
            </w:r>
          </w:p>
        </w:tc>
      </w:tr>
      <w:tr w:rsidR="00EA73B3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1AB0B5C7" w14:textId="1DEEB97E" w:rsidR="00EA73B3" w:rsidRPr="00515575" w:rsidRDefault="00515575" w:rsidP="0A57A144">
            <w:pPr>
              <w:spacing w:line="276" w:lineRule="auto"/>
              <w:contextualSpacing/>
              <w:rPr>
                <w:rFonts w:eastAsia="Times New Roman" w:cs="Arial"/>
                <w:color w:val="000000" w:themeColor="text1"/>
                <w:szCs w:val="16"/>
              </w:rPr>
            </w:pPr>
            <w:r w:rsidRPr="00515575">
              <w:rPr>
                <w:rFonts w:eastAsia="Times New Roman" w:cs="Arial"/>
                <w:color w:val="000000" w:themeColor="text1"/>
                <w:szCs w:val="16"/>
              </w:rPr>
              <w:t>No changes were required.</w:t>
            </w:r>
          </w:p>
        </w:tc>
      </w:tr>
      <w:tr w:rsidR="00EA73B3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A57A144">
        <w:tc>
          <w:tcPr>
            <w:tcW w:w="5000" w:type="pct"/>
            <w:gridSpan w:val="2"/>
            <w:shd w:val="clear" w:color="auto" w:fill="auto"/>
          </w:tcPr>
          <w:p w14:paraId="67AB1C65" w14:textId="4721BBDF" w:rsidR="00EA73B3" w:rsidRDefault="00EE4D56" w:rsidP="0A57A144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project encountered two issues </w:t>
            </w:r>
            <w:r w:rsidR="000A53BB">
              <w:rPr>
                <w:rFonts w:eastAsia="Times New Roman" w:cs="Times New Roman"/>
                <w:sz w:val="20"/>
                <w:szCs w:val="20"/>
              </w:rPr>
              <w:t>while deploying the changes on 5</w:t>
            </w:r>
            <w:r w:rsidR="000A53BB" w:rsidRPr="000A53BB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="000A53BB">
              <w:rPr>
                <w:rFonts w:eastAsia="Times New Roman" w:cs="Times New Roman"/>
                <w:sz w:val="20"/>
                <w:szCs w:val="20"/>
              </w:rPr>
              <w:t xml:space="preserve"> April one of which led to a delay in the system being available to users. </w:t>
            </w:r>
            <w:r w:rsidR="0021576F">
              <w:rPr>
                <w:rFonts w:eastAsia="Times New Roman" w:cs="Times New Roman"/>
                <w:sz w:val="20"/>
                <w:szCs w:val="20"/>
              </w:rPr>
              <w:t xml:space="preserve">A root cause analysis was undertaken and findings have led to </w:t>
            </w:r>
            <w:r w:rsidR="004D2456">
              <w:rPr>
                <w:rFonts w:eastAsia="Times New Roman" w:cs="Times New Roman"/>
                <w:sz w:val="20"/>
                <w:szCs w:val="20"/>
              </w:rPr>
              <w:t>minor amendments to the deployment procedure.</w:t>
            </w:r>
          </w:p>
          <w:p w14:paraId="743130A0" w14:textId="04E27F8C" w:rsidR="004108F5" w:rsidRDefault="00895E1C" w:rsidP="0A57A144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While testing was completed to schedule an assessment has identified a potential improvement to the process</w:t>
            </w:r>
            <w:r w:rsidR="00247B0C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B2B5B58" w14:textId="70D48046" w:rsidR="00EA73B3" w:rsidRPr="00EA73B3" w:rsidRDefault="008E31AA" w:rsidP="000B0B00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Consideration was given to user communications issued during the project</w:t>
            </w:r>
            <w:r w:rsidR="006A49DF">
              <w:rPr>
                <w:rFonts w:eastAsia="Times New Roman" w:cs="Times New Roman"/>
                <w:sz w:val="20"/>
                <w:szCs w:val="20"/>
              </w:rPr>
              <w:t>. An improvement to the external screen pack was identified whereby details of the user roles</w:t>
            </w:r>
            <w:r w:rsidR="000B0B00">
              <w:rPr>
                <w:rFonts w:eastAsia="Times New Roman" w:cs="Times New Roman"/>
                <w:sz w:val="20"/>
                <w:szCs w:val="20"/>
              </w:rPr>
              <w:t xml:space="preserve"> impacted by the changes will also be included in the pack.</w:t>
            </w:r>
            <w:r w:rsidR="0A57A144" w:rsidRPr="0A57A144"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1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4427CE" w:rsidRPr="00EA73B3" w14:paraId="622CB1EF" w14:textId="77777777" w:rsidTr="0A57A144">
        <w:tc>
          <w:tcPr>
            <w:tcW w:w="902" w:type="pct"/>
          </w:tcPr>
          <w:p w14:paraId="1ABADCE5" w14:textId="0EBB9572" w:rsidR="004427CE" w:rsidRPr="00EA73B3" w:rsidRDefault="004427CE" w:rsidP="004427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DB8F594" w14:textId="4D60F953" w:rsidR="004427CE" w:rsidRPr="00EA73B3" w:rsidRDefault="004427CE" w:rsidP="004427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14:paraId="0BB1E953" w14:textId="4A6C7426" w:rsidR="004427CE" w:rsidRPr="00EA73B3" w:rsidRDefault="004427CE" w:rsidP="004427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26/06/20</w:t>
            </w:r>
          </w:p>
        </w:tc>
        <w:tc>
          <w:tcPr>
            <w:tcW w:w="763" w:type="pct"/>
          </w:tcPr>
          <w:p w14:paraId="4350D9F9" w14:textId="555EBA5D" w:rsidR="004427CE" w:rsidRPr="00EA73B3" w:rsidRDefault="004427CE" w:rsidP="004427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14:paraId="0FC70C39" w14:textId="3E47C78E" w:rsidR="004427CE" w:rsidRPr="00EA73B3" w:rsidRDefault="004427CE" w:rsidP="004427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7071" w14:textId="77777777" w:rsidR="00AD29DE" w:rsidRDefault="00AD29DE" w:rsidP="00324744">
      <w:pPr>
        <w:spacing w:after="0" w:line="240" w:lineRule="auto"/>
      </w:pPr>
      <w:r>
        <w:separator/>
      </w:r>
    </w:p>
  </w:endnote>
  <w:endnote w:type="continuationSeparator" w:id="0">
    <w:p w14:paraId="49E7A0F9" w14:textId="77777777" w:rsidR="00AD29DE" w:rsidRDefault="00AD29D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20BD4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C0A5" w14:textId="77777777" w:rsidR="00AD29DE" w:rsidRDefault="00AD29DE" w:rsidP="00324744">
      <w:pPr>
        <w:spacing w:after="0" w:line="240" w:lineRule="auto"/>
      </w:pPr>
      <w:r>
        <w:separator/>
      </w:r>
    </w:p>
  </w:footnote>
  <w:footnote w:type="continuationSeparator" w:id="0">
    <w:p w14:paraId="482E52DD" w14:textId="77777777" w:rsidR="00AD29DE" w:rsidRDefault="00AD29D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339B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45E"/>
    <w:multiLevelType w:val="hybridMultilevel"/>
    <w:tmpl w:val="67E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37DF7"/>
    <w:rsid w:val="000A1AD1"/>
    <w:rsid w:val="000A53BB"/>
    <w:rsid w:val="000B0B00"/>
    <w:rsid w:val="000D324E"/>
    <w:rsid w:val="00125B61"/>
    <w:rsid w:val="00144E00"/>
    <w:rsid w:val="00192A11"/>
    <w:rsid w:val="00195A39"/>
    <w:rsid w:val="001A416D"/>
    <w:rsid w:val="001C2268"/>
    <w:rsid w:val="0021576F"/>
    <w:rsid w:val="00226D34"/>
    <w:rsid w:val="00245F47"/>
    <w:rsid w:val="00247B0C"/>
    <w:rsid w:val="00295EC8"/>
    <w:rsid w:val="00302D05"/>
    <w:rsid w:val="00324744"/>
    <w:rsid w:val="003C6BDA"/>
    <w:rsid w:val="004108F5"/>
    <w:rsid w:val="00426807"/>
    <w:rsid w:val="004427CE"/>
    <w:rsid w:val="00470A64"/>
    <w:rsid w:val="004D2456"/>
    <w:rsid w:val="004F3362"/>
    <w:rsid w:val="00515575"/>
    <w:rsid w:val="00517F6F"/>
    <w:rsid w:val="0055298E"/>
    <w:rsid w:val="005B2FE8"/>
    <w:rsid w:val="006A49DF"/>
    <w:rsid w:val="007243D3"/>
    <w:rsid w:val="00742155"/>
    <w:rsid w:val="007A35C1"/>
    <w:rsid w:val="007A56DB"/>
    <w:rsid w:val="007C496C"/>
    <w:rsid w:val="007D4F26"/>
    <w:rsid w:val="007D75E9"/>
    <w:rsid w:val="007E7C5B"/>
    <w:rsid w:val="00817A62"/>
    <w:rsid w:val="00865262"/>
    <w:rsid w:val="00895E1C"/>
    <w:rsid w:val="008B37D3"/>
    <w:rsid w:val="008E31AA"/>
    <w:rsid w:val="00916CFC"/>
    <w:rsid w:val="0096648E"/>
    <w:rsid w:val="00970091"/>
    <w:rsid w:val="009D0458"/>
    <w:rsid w:val="009D3AEF"/>
    <w:rsid w:val="009E463D"/>
    <w:rsid w:val="00A70562"/>
    <w:rsid w:val="00AB5B54"/>
    <w:rsid w:val="00AB63DE"/>
    <w:rsid w:val="00AB715C"/>
    <w:rsid w:val="00AD29DE"/>
    <w:rsid w:val="00B056CF"/>
    <w:rsid w:val="00B246BB"/>
    <w:rsid w:val="00B30317"/>
    <w:rsid w:val="00B8770C"/>
    <w:rsid w:val="00BB5E63"/>
    <w:rsid w:val="00BD0A45"/>
    <w:rsid w:val="00C54358"/>
    <w:rsid w:val="00C92190"/>
    <w:rsid w:val="00D66C7E"/>
    <w:rsid w:val="00E56118"/>
    <w:rsid w:val="00E569DA"/>
    <w:rsid w:val="00EA73B3"/>
    <w:rsid w:val="00EB1011"/>
    <w:rsid w:val="00EB1280"/>
    <w:rsid w:val="00EE4D56"/>
    <w:rsid w:val="00F81A76"/>
    <w:rsid w:val="00F85838"/>
    <w:rsid w:val="00F95876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A7683970-BFEC-4E18-87BB-6EA68F12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3DC9E0A617E41BC1CA24268663994" ma:contentTypeVersion="11" ma:contentTypeDescription="Create a new document." ma:contentTypeScope="" ma:versionID="439510add812d0f206da26e3647735dd">
  <xsd:schema xmlns:xsd="http://www.w3.org/2001/XMLSchema" xmlns:xs="http://www.w3.org/2001/XMLSchema" xmlns:p="http://schemas.microsoft.com/office/2006/metadata/properties" xmlns:ns2="96c62218-d085-4097-ae9c-d3a1c6eefef6" xmlns:ns3="bf9d48c0-3fb6-4ed7-a7f5-694bb9231734" targetNamespace="http://schemas.microsoft.com/office/2006/metadata/properties" ma:root="true" ma:fieldsID="9e4e9907417d2943ddb5e3986b115b55" ns2:_="" ns3:_="">
    <xsd:import namespace="96c62218-d085-4097-ae9c-d3a1c6eefef6"/>
    <xsd:import namespace="bf9d48c0-3fb6-4ed7-a7f5-694bb923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2218-d085-4097-ae9c-d3a1c6eef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8c0-3fb6-4ed7-a7f5-694bb9231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FE414-ED27-4C4A-B517-3E62868E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62218-d085-4097-ae9c-d3a1c6eefef6"/>
    <ds:schemaRef ds:uri="bf9d48c0-3fb6-4ed7-a7f5-694bb923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f9d48c0-3fb6-4ed7-a7f5-694bb9231734"/>
    <ds:schemaRef ds:uri="96c62218-d085-4097-ae9c-d3a1c6eefef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Reddy, Hannah</cp:lastModifiedBy>
  <cp:revision>2</cp:revision>
  <dcterms:created xsi:type="dcterms:W3CDTF">2020-06-26T14:36:00Z</dcterms:created>
  <dcterms:modified xsi:type="dcterms:W3CDTF">2020-06-26T14:36:00Z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0x010100F263DC9E0A617E41BC1CA24268663994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  <property fmtid="{D5CDD505-2E9C-101B-9397-08002B2CF9AE}" pid="10" name="_NewReviewCycle">
    <vt:lpwstr/>
  </property>
</Properties>
</file>