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75A29" w14:textId="529EB393" w:rsidR="007D4F26" w:rsidRDefault="002B2E87" w:rsidP="002B2E87">
      <w:pPr>
        <w:pStyle w:val="Title"/>
        <w:jc w:val="center"/>
      </w:pPr>
      <w:r>
        <w:t>DSC Business Evaluation Report (BER)</w:t>
      </w:r>
    </w:p>
    <w:p w14:paraId="1B0A6AE9" w14:textId="2D5BFDE6" w:rsidR="002B2E87" w:rsidRDefault="002B2E87" w:rsidP="00D66C7E">
      <w:r>
        <w:rPr>
          <w:noProof/>
        </w:rPr>
        <w:drawing>
          <wp:anchor distT="0" distB="0" distL="114300" distR="114300" simplePos="0" relativeHeight="251678720" behindDoc="0" locked="0" layoutInCell="1" allowOverlap="1" wp14:anchorId="3E175A6E" wp14:editId="3D281ED2">
            <wp:simplePos x="0" y="0"/>
            <wp:positionH relativeFrom="column">
              <wp:posOffset>710565</wp:posOffset>
            </wp:positionH>
            <wp:positionV relativeFrom="paragraph">
              <wp:posOffset>41910</wp:posOffset>
            </wp:positionV>
            <wp:extent cx="4109720" cy="647700"/>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09720" cy="647700"/>
                    </a:xfrm>
                    <a:prstGeom prst="rect">
                      <a:avLst/>
                    </a:prstGeom>
                  </pic:spPr>
                </pic:pic>
              </a:graphicData>
            </a:graphic>
            <wp14:sizeRelH relativeFrom="page">
              <wp14:pctWidth>0</wp14:pctWidth>
            </wp14:sizeRelH>
            <wp14:sizeRelV relativeFrom="page">
              <wp14:pctHeight>0</wp14:pctHeight>
            </wp14:sizeRelV>
          </wp:anchor>
        </w:drawing>
      </w:r>
    </w:p>
    <w:p w14:paraId="28DEB76A" w14:textId="77777777" w:rsidR="002B2E87" w:rsidRDefault="002B2E87" w:rsidP="00D66C7E"/>
    <w:p w14:paraId="1DA3FC3E" w14:textId="77777777" w:rsidR="002B2E87" w:rsidRDefault="002B2E87" w:rsidP="00D66C7E"/>
    <w:tbl>
      <w:tblPr>
        <w:tblStyle w:val="TableGrid1"/>
        <w:tblW w:w="5504" w:type="pct"/>
        <w:tblInd w:w="-459" w:type="dxa"/>
        <w:tblLayout w:type="fixed"/>
        <w:tblLook w:val="04A0" w:firstRow="1" w:lastRow="0" w:firstColumn="1" w:lastColumn="0" w:noHBand="0" w:noVBand="1"/>
      </w:tblPr>
      <w:tblGrid>
        <w:gridCol w:w="4841"/>
        <w:gridCol w:w="5084"/>
      </w:tblGrid>
      <w:tr w:rsidR="002B2E87" w:rsidRPr="002B2E87" w14:paraId="4E169BE3" w14:textId="77777777" w:rsidTr="13CAD302">
        <w:tc>
          <w:tcPr>
            <w:tcW w:w="2439" w:type="pct"/>
            <w:shd w:val="clear" w:color="auto" w:fill="FFFFFF" w:themeFill="background1"/>
            <w:vAlign w:val="center"/>
          </w:tcPr>
          <w:p w14:paraId="5132746B" w14:textId="77777777" w:rsidR="002B2E87" w:rsidRPr="002B2E87" w:rsidRDefault="002B2E87" w:rsidP="002B2E87">
            <w:pPr>
              <w:rPr>
                <w:rFonts w:eastAsia="Times New Roman" w:cs="Arial"/>
                <w:b/>
                <w:sz w:val="20"/>
                <w:szCs w:val="16"/>
              </w:rPr>
            </w:pPr>
            <w:r w:rsidRPr="002B2E87">
              <w:rPr>
                <w:rFonts w:eastAsia="Times New Roman" w:cs="Arial"/>
                <w:b/>
                <w:sz w:val="20"/>
                <w:szCs w:val="16"/>
              </w:rPr>
              <w:t>Change Title</w:t>
            </w:r>
          </w:p>
        </w:tc>
        <w:tc>
          <w:tcPr>
            <w:tcW w:w="2561" w:type="pct"/>
          </w:tcPr>
          <w:p w14:paraId="17A91EFD" w14:textId="7B7B582A" w:rsidR="002B2E87" w:rsidRPr="002B2E87" w:rsidRDefault="00F5457A" w:rsidP="002B2E87">
            <w:pPr>
              <w:rPr>
                <w:rFonts w:eastAsia="Times New Roman" w:cs="Arial"/>
                <w:sz w:val="20"/>
                <w:szCs w:val="16"/>
              </w:rPr>
            </w:pPr>
            <w:r>
              <w:rPr>
                <w:rFonts w:eastAsia="Times New Roman" w:cs="Arial"/>
                <w:sz w:val="20"/>
                <w:szCs w:val="16"/>
              </w:rPr>
              <w:t>UK</w:t>
            </w:r>
            <w:r w:rsidR="0041043A">
              <w:rPr>
                <w:rFonts w:eastAsia="Times New Roman" w:cs="Arial"/>
                <w:sz w:val="20"/>
                <w:szCs w:val="16"/>
              </w:rPr>
              <w:t xml:space="preserve"> </w:t>
            </w:r>
            <w:r>
              <w:rPr>
                <w:rFonts w:eastAsia="Times New Roman" w:cs="Arial"/>
                <w:sz w:val="20"/>
                <w:szCs w:val="16"/>
              </w:rPr>
              <w:t xml:space="preserve">Link </w:t>
            </w:r>
            <w:r w:rsidR="0028280D">
              <w:rPr>
                <w:rFonts w:eastAsia="Times New Roman" w:cs="Arial"/>
                <w:sz w:val="20"/>
                <w:szCs w:val="16"/>
              </w:rPr>
              <w:t>June 21 Major</w:t>
            </w:r>
            <w:r>
              <w:rPr>
                <w:rFonts w:eastAsia="Times New Roman" w:cs="Arial"/>
                <w:sz w:val="20"/>
                <w:szCs w:val="16"/>
              </w:rPr>
              <w:t xml:space="preserve"> Release</w:t>
            </w:r>
            <w:r w:rsidR="0028280D">
              <w:rPr>
                <w:rFonts w:eastAsia="Times New Roman" w:cs="Arial"/>
                <w:sz w:val="20"/>
                <w:szCs w:val="16"/>
              </w:rPr>
              <w:t xml:space="preserve"> </w:t>
            </w:r>
          </w:p>
        </w:tc>
      </w:tr>
      <w:tr w:rsidR="002B2E87" w:rsidRPr="002B2E87" w14:paraId="185696D7" w14:textId="77777777" w:rsidTr="13CAD302">
        <w:tc>
          <w:tcPr>
            <w:tcW w:w="2439" w:type="pct"/>
            <w:shd w:val="clear" w:color="auto" w:fill="FFFFFF" w:themeFill="background1"/>
            <w:vAlign w:val="center"/>
          </w:tcPr>
          <w:p w14:paraId="54673459" w14:textId="77777777" w:rsidR="002B2E87" w:rsidRPr="002B2E87" w:rsidRDefault="002B2E87" w:rsidP="002B2E87">
            <w:pPr>
              <w:rPr>
                <w:rFonts w:eastAsia="Times New Roman" w:cs="Arial"/>
                <w:b/>
                <w:sz w:val="20"/>
                <w:szCs w:val="16"/>
              </w:rPr>
            </w:pPr>
            <w:r w:rsidRPr="002B2E87">
              <w:rPr>
                <w:rFonts w:eastAsia="Times New Roman" w:cs="Arial"/>
                <w:b/>
                <w:sz w:val="20"/>
                <w:szCs w:val="16"/>
              </w:rPr>
              <w:t>Xoserve reference number (XRN)</w:t>
            </w:r>
          </w:p>
        </w:tc>
        <w:tc>
          <w:tcPr>
            <w:tcW w:w="2561" w:type="pct"/>
          </w:tcPr>
          <w:p w14:paraId="16500EDB" w14:textId="163D31D3" w:rsidR="002B2E87" w:rsidRPr="002B2E87" w:rsidRDefault="00D22F20" w:rsidP="002B2E87">
            <w:pPr>
              <w:rPr>
                <w:rFonts w:eastAsia="Times New Roman" w:cs="Arial"/>
                <w:sz w:val="20"/>
                <w:szCs w:val="16"/>
              </w:rPr>
            </w:pPr>
            <w:r>
              <w:rPr>
                <w:rFonts w:eastAsia="Times New Roman" w:cs="Arial"/>
                <w:sz w:val="20"/>
                <w:szCs w:val="16"/>
              </w:rPr>
              <w:t>5</w:t>
            </w:r>
            <w:r w:rsidR="00EF6BAA">
              <w:rPr>
                <w:rFonts w:eastAsia="Times New Roman" w:cs="Arial"/>
                <w:sz w:val="20"/>
                <w:szCs w:val="16"/>
              </w:rPr>
              <w:t>253</w:t>
            </w:r>
          </w:p>
        </w:tc>
      </w:tr>
      <w:tr w:rsidR="002B2E87" w:rsidRPr="002B2E87" w14:paraId="74B6BF6B" w14:textId="77777777" w:rsidTr="13CAD302">
        <w:tc>
          <w:tcPr>
            <w:tcW w:w="2439" w:type="pct"/>
            <w:tcBorders>
              <w:bottom w:val="single" w:sz="4" w:space="0" w:color="auto"/>
            </w:tcBorders>
            <w:shd w:val="clear" w:color="auto" w:fill="FFFFFF" w:themeFill="background1"/>
            <w:vAlign w:val="center"/>
          </w:tcPr>
          <w:p w14:paraId="4CE5812F" w14:textId="77777777" w:rsidR="002B2E87" w:rsidRPr="002B2E87" w:rsidRDefault="002B2E87" w:rsidP="002B2E87">
            <w:pPr>
              <w:rPr>
                <w:rFonts w:eastAsia="Times New Roman" w:cs="Arial"/>
                <w:b/>
                <w:sz w:val="20"/>
                <w:szCs w:val="16"/>
              </w:rPr>
            </w:pPr>
            <w:r w:rsidRPr="002B2E87">
              <w:rPr>
                <w:rFonts w:eastAsia="Times New Roman" w:cs="Arial"/>
                <w:b/>
                <w:sz w:val="20"/>
                <w:szCs w:val="16"/>
              </w:rPr>
              <w:t>Xoserve Project Manager</w:t>
            </w:r>
          </w:p>
        </w:tc>
        <w:tc>
          <w:tcPr>
            <w:tcW w:w="2561" w:type="pct"/>
            <w:tcBorders>
              <w:bottom w:val="single" w:sz="4" w:space="0" w:color="auto"/>
            </w:tcBorders>
          </w:tcPr>
          <w:p w14:paraId="1B99C211" w14:textId="6B8E120C" w:rsidR="002B2E87" w:rsidRPr="002B2E87" w:rsidRDefault="00EF6BAA" w:rsidP="002B2E87">
            <w:pPr>
              <w:rPr>
                <w:rFonts w:eastAsia="Times New Roman" w:cs="Arial"/>
                <w:sz w:val="20"/>
                <w:szCs w:val="16"/>
              </w:rPr>
            </w:pPr>
            <w:r>
              <w:rPr>
                <w:rFonts w:eastAsia="Times New Roman" w:cs="Arial"/>
                <w:sz w:val="20"/>
                <w:szCs w:val="16"/>
              </w:rPr>
              <w:t>Tom Lineham</w:t>
            </w:r>
          </w:p>
        </w:tc>
      </w:tr>
      <w:tr w:rsidR="002B2E87" w:rsidRPr="002B2E87" w14:paraId="35655359" w14:textId="77777777" w:rsidTr="13CAD302">
        <w:tc>
          <w:tcPr>
            <w:tcW w:w="2439" w:type="pct"/>
            <w:tcBorders>
              <w:bottom w:val="single" w:sz="4" w:space="0" w:color="auto"/>
            </w:tcBorders>
            <w:shd w:val="clear" w:color="auto" w:fill="FFFFFF" w:themeFill="background1"/>
            <w:vAlign w:val="center"/>
          </w:tcPr>
          <w:p w14:paraId="21DA6362" w14:textId="77777777" w:rsidR="002B2E87" w:rsidRPr="002B2E87" w:rsidRDefault="002B2E87" w:rsidP="002B2E87">
            <w:pPr>
              <w:rPr>
                <w:rFonts w:eastAsia="Times New Roman" w:cs="Arial"/>
                <w:b/>
                <w:sz w:val="20"/>
                <w:szCs w:val="16"/>
              </w:rPr>
            </w:pPr>
            <w:r w:rsidRPr="002B2E87">
              <w:rPr>
                <w:rFonts w:eastAsia="Times New Roman" w:cs="Arial"/>
                <w:b/>
                <w:sz w:val="20"/>
                <w:szCs w:val="16"/>
              </w:rPr>
              <w:t>Email address</w:t>
            </w:r>
          </w:p>
        </w:tc>
        <w:tc>
          <w:tcPr>
            <w:tcW w:w="2561" w:type="pct"/>
            <w:tcBorders>
              <w:bottom w:val="single" w:sz="4" w:space="0" w:color="auto"/>
            </w:tcBorders>
          </w:tcPr>
          <w:p w14:paraId="522375A6" w14:textId="1BCF2EE3" w:rsidR="002B2E87" w:rsidRPr="002B2E87" w:rsidRDefault="00EF6BAA" w:rsidP="002B2E87">
            <w:pPr>
              <w:rPr>
                <w:rFonts w:eastAsia="Times New Roman" w:cs="Arial"/>
                <w:sz w:val="20"/>
                <w:szCs w:val="16"/>
              </w:rPr>
            </w:pPr>
            <w:r>
              <w:rPr>
                <w:rFonts w:eastAsia="Times New Roman" w:cs="Arial"/>
                <w:sz w:val="20"/>
                <w:szCs w:val="16"/>
              </w:rPr>
              <w:t>Thomas.Lineham@xoserve.com</w:t>
            </w:r>
          </w:p>
        </w:tc>
      </w:tr>
      <w:tr w:rsidR="002B2E87" w:rsidRPr="002B2E87" w14:paraId="1C247CD2" w14:textId="77777777" w:rsidTr="13CAD302">
        <w:tc>
          <w:tcPr>
            <w:tcW w:w="2439" w:type="pct"/>
            <w:tcBorders>
              <w:bottom w:val="single" w:sz="4" w:space="0" w:color="auto"/>
            </w:tcBorders>
            <w:shd w:val="clear" w:color="auto" w:fill="FFFFFF" w:themeFill="background1"/>
            <w:vAlign w:val="center"/>
          </w:tcPr>
          <w:p w14:paraId="0B3B4258" w14:textId="77777777" w:rsidR="002B2E87" w:rsidRPr="002B2E87" w:rsidRDefault="002B2E87" w:rsidP="002B2E87">
            <w:pPr>
              <w:rPr>
                <w:rFonts w:eastAsia="Times New Roman" w:cs="Arial"/>
                <w:b/>
                <w:sz w:val="20"/>
                <w:szCs w:val="16"/>
              </w:rPr>
            </w:pPr>
            <w:r w:rsidRPr="002B2E87">
              <w:rPr>
                <w:rFonts w:eastAsia="Times New Roman" w:cs="Arial"/>
                <w:b/>
                <w:sz w:val="20"/>
                <w:szCs w:val="16"/>
              </w:rPr>
              <w:t>Contact number</w:t>
            </w:r>
          </w:p>
        </w:tc>
        <w:tc>
          <w:tcPr>
            <w:tcW w:w="2561" w:type="pct"/>
            <w:tcBorders>
              <w:bottom w:val="single" w:sz="4" w:space="0" w:color="auto"/>
            </w:tcBorders>
          </w:tcPr>
          <w:p w14:paraId="7B6CE89B" w14:textId="66AF7378" w:rsidR="002B2E87" w:rsidRPr="002B2E87" w:rsidRDefault="00F70FD3" w:rsidP="002B2E87">
            <w:pPr>
              <w:rPr>
                <w:rFonts w:eastAsia="Times New Roman" w:cs="Arial"/>
                <w:szCs w:val="16"/>
              </w:rPr>
            </w:pPr>
            <w:r>
              <w:rPr>
                <w:rFonts w:eastAsia="Times New Roman" w:cs="Arial"/>
                <w:szCs w:val="16"/>
              </w:rPr>
              <w:t>0121 232 2711</w:t>
            </w:r>
          </w:p>
        </w:tc>
      </w:tr>
      <w:tr w:rsidR="002B2E87" w:rsidRPr="002B2E87" w14:paraId="1271BAA4" w14:textId="77777777" w:rsidTr="13CAD302">
        <w:tc>
          <w:tcPr>
            <w:tcW w:w="2439" w:type="pct"/>
            <w:tcBorders>
              <w:bottom w:val="single" w:sz="4" w:space="0" w:color="auto"/>
            </w:tcBorders>
            <w:shd w:val="clear" w:color="auto" w:fill="FFFFFF" w:themeFill="background1"/>
            <w:vAlign w:val="center"/>
          </w:tcPr>
          <w:p w14:paraId="3ED5372A" w14:textId="77777777" w:rsidR="002B2E87" w:rsidRPr="002B2E87" w:rsidRDefault="002B2E87" w:rsidP="002B2E87">
            <w:pPr>
              <w:rPr>
                <w:rFonts w:eastAsia="Times New Roman" w:cs="Arial"/>
                <w:b/>
                <w:sz w:val="20"/>
                <w:szCs w:val="16"/>
              </w:rPr>
            </w:pPr>
            <w:r w:rsidRPr="002B2E87">
              <w:rPr>
                <w:rFonts w:eastAsia="Times New Roman" w:cs="Arial"/>
                <w:b/>
                <w:sz w:val="20"/>
                <w:szCs w:val="16"/>
              </w:rPr>
              <w:t>Target Change Management Committee date</w:t>
            </w:r>
          </w:p>
        </w:tc>
        <w:tc>
          <w:tcPr>
            <w:tcW w:w="2561" w:type="pct"/>
            <w:tcBorders>
              <w:bottom w:val="single" w:sz="4" w:space="0" w:color="auto"/>
            </w:tcBorders>
          </w:tcPr>
          <w:p w14:paraId="14B22CEA" w14:textId="078E8F04" w:rsidR="002B2E87" w:rsidRPr="00610390" w:rsidRDefault="0074299F" w:rsidP="002B2E87">
            <w:pPr>
              <w:rPr>
                <w:rFonts w:eastAsia="Times New Roman" w:cs="Arial"/>
                <w:szCs w:val="16"/>
                <w:lang w:val="en-US"/>
              </w:rPr>
            </w:pPr>
            <w:r>
              <w:rPr>
                <w:rFonts w:eastAsia="Times New Roman" w:cs="Arial"/>
                <w:szCs w:val="16"/>
              </w:rPr>
              <w:t>10</w:t>
            </w:r>
            <w:r w:rsidRPr="0074299F">
              <w:rPr>
                <w:rFonts w:eastAsia="Times New Roman" w:cs="Arial"/>
                <w:szCs w:val="16"/>
                <w:vertAlign w:val="superscript"/>
              </w:rPr>
              <w:t>th</w:t>
            </w:r>
            <w:r>
              <w:rPr>
                <w:rFonts w:eastAsia="Times New Roman" w:cs="Arial"/>
                <w:szCs w:val="16"/>
              </w:rPr>
              <w:t xml:space="preserve"> March 2021</w:t>
            </w:r>
          </w:p>
        </w:tc>
      </w:tr>
      <w:tr w:rsidR="002B2E87" w:rsidRPr="002B2E87" w14:paraId="3B4FF6C3" w14:textId="77777777" w:rsidTr="13CAD302">
        <w:tc>
          <w:tcPr>
            <w:tcW w:w="5000" w:type="pct"/>
            <w:gridSpan w:val="2"/>
            <w:tcBorders>
              <w:bottom w:val="single" w:sz="4" w:space="0" w:color="auto"/>
            </w:tcBorders>
            <w:shd w:val="clear" w:color="auto" w:fill="3E5AA8" w:themeFill="accent1"/>
            <w:vAlign w:val="center"/>
          </w:tcPr>
          <w:p w14:paraId="3011F0CF" w14:textId="77777777" w:rsidR="002B2E87" w:rsidRPr="002B2E87" w:rsidRDefault="002B2E87" w:rsidP="002B2E87">
            <w:pPr>
              <w:jc w:val="center"/>
              <w:rPr>
                <w:rFonts w:eastAsia="Times New Roman" w:cs="Arial"/>
                <w:b/>
              </w:rPr>
            </w:pPr>
            <w:r w:rsidRPr="002B2E87">
              <w:rPr>
                <w:rFonts w:eastAsia="Times New Roman" w:cs="Arial"/>
                <w:b/>
                <w:color w:val="FFFFFF"/>
                <w:sz w:val="20"/>
              </w:rPr>
              <w:t>Section 1: In Scope</w:t>
            </w:r>
          </w:p>
        </w:tc>
      </w:tr>
      <w:tr w:rsidR="002B2E87" w:rsidRPr="002B2E87" w14:paraId="5C22B926" w14:textId="77777777" w:rsidTr="13CAD302">
        <w:tc>
          <w:tcPr>
            <w:tcW w:w="5000" w:type="pct"/>
            <w:gridSpan w:val="2"/>
            <w:tcBorders>
              <w:bottom w:val="single" w:sz="4" w:space="0" w:color="auto"/>
            </w:tcBorders>
            <w:shd w:val="clear" w:color="auto" w:fill="FFFFFF" w:themeFill="background1"/>
          </w:tcPr>
          <w:p w14:paraId="698921EE" w14:textId="2209F04E" w:rsidR="0028280D" w:rsidRPr="002B5742" w:rsidRDefault="0028280D" w:rsidP="00A107AC">
            <w:pPr>
              <w:spacing w:after="60" w:line="276" w:lineRule="auto"/>
              <w:rPr>
                <w:rFonts w:eastAsia="Times New Roman" w:cs="Arial"/>
                <w:sz w:val="18"/>
                <w:szCs w:val="18"/>
              </w:rPr>
            </w:pPr>
            <w:r w:rsidRPr="002B5742">
              <w:rPr>
                <w:rFonts w:eastAsia="Times New Roman" w:cs="Arial"/>
                <w:sz w:val="18"/>
                <w:szCs w:val="18"/>
              </w:rPr>
              <w:t>UK Link June 21 Major Release</w:t>
            </w:r>
          </w:p>
          <w:p w14:paraId="6A12E4BA" w14:textId="77777777" w:rsidR="0028280D" w:rsidRPr="002B5742" w:rsidRDefault="0028280D" w:rsidP="00A107AC">
            <w:pPr>
              <w:spacing w:after="60" w:line="276" w:lineRule="auto"/>
              <w:rPr>
                <w:rFonts w:cs="Arial"/>
                <w:sz w:val="18"/>
                <w:szCs w:val="18"/>
              </w:rPr>
            </w:pPr>
          </w:p>
          <w:p w14:paraId="494FFE6E" w14:textId="1F5458CB" w:rsidR="0094462E" w:rsidRPr="002B5742" w:rsidRDefault="006D5D08" w:rsidP="2096628D">
            <w:pPr>
              <w:spacing w:after="60" w:line="276" w:lineRule="auto"/>
              <w:rPr>
                <w:rFonts w:cs="Arial"/>
                <w:sz w:val="18"/>
                <w:szCs w:val="18"/>
              </w:rPr>
            </w:pPr>
            <w:r w:rsidRPr="4AADCC51">
              <w:rPr>
                <w:rFonts w:cs="Arial"/>
                <w:sz w:val="18"/>
                <w:szCs w:val="18"/>
              </w:rPr>
              <w:t xml:space="preserve">This BER requests approval for the full </w:t>
            </w:r>
            <w:r w:rsidR="00CF55A8">
              <w:rPr>
                <w:rFonts w:cs="Arial"/>
                <w:sz w:val="18"/>
                <w:szCs w:val="18"/>
              </w:rPr>
              <w:t xml:space="preserve">revised </w:t>
            </w:r>
            <w:r w:rsidRPr="4AADCC51">
              <w:rPr>
                <w:rFonts w:cs="Arial"/>
                <w:sz w:val="18"/>
                <w:szCs w:val="18"/>
              </w:rPr>
              <w:t xml:space="preserve">delivery </w:t>
            </w:r>
            <w:r w:rsidR="00CF55A8">
              <w:rPr>
                <w:rFonts w:cs="Arial"/>
                <w:sz w:val="18"/>
                <w:szCs w:val="18"/>
              </w:rPr>
              <w:t xml:space="preserve">costs </w:t>
            </w:r>
            <w:r w:rsidRPr="4AADCC51">
              <w:rPr>
                <w:rFonts w:cs="Arial"/>
                <w:sz w:val="18"/>
                <w:szCs w:val="18"/>
              </w:rPr>
              <w:t>of t</w:t>
            </w:r>
            <w:r w:rsidR="00040B7E" w:rsidRPr="4AADCC51">
              <w:rPr>
                <w:rFonts w:cs="Arial"/>
                <w:sz w:val="18"/>
                <w:szCs w:val="18"/>
              </w:rPr>
              <w:t xml:space="preserve">his </w:t>
            </w:r>
            <w:r w:rsidR="00B957D3" w:rsidRPr="4AADCC51">
              <w:rPr>
                <w:rFonts w:cs="Arial"/>
                <w:sz w:val="18"/>
                <w:szCs w:val="18"/>
              </w:rPr>
              <w:t>UK</w:t>
            </w:r>
            <w:r w:rsidR="0041043A" w:rsidRPr="4AADCC51">
              <w:rPr>
                <w:rFonts w:cs="Arial"/>
                <w:sz w:val="18"/>
                <w:szCs w:val="18"/>
              </w:rPr>
              <w:t xml:space="preserve"> </w:t>
            </w:r>
            <w:r w:rsidRPr="4AADCC51">
              <w:rPr>
                <w:rFonts w:cs="Arial"/>
                <w:sz w:val="18"/>
                <w:szCs w:val="18"/>
              </w:rPr>
              <w:t xml:space="preserve">Link Release, which consists of </w:t>
            </w:r>
            <w:r w:rsidR="0028280D" w:rsidRPr="4AADCC51">
              <w:rPr>
                <w:rFonts w:cs="Arial"/>
                <w:sz w:val="18"/>
                <w:szCs w:val="18"/>
              </w:rPr>
              <w:t>1</w:t>
            </w:r>
            <w:r w:rsidRPr="4AADCC51">
              <w:rPr>
                <w:rFonts w:cs="Arial"/>
                <w:sz w:val="18"/>
                <w:szCs w:val="18"/>
              </w:rPr>
              <w:t xml:space="preserve"> XRN</w:t>
            </w:r>
            <w:r w:rsidR="00A338AC" w:rsidRPr="4AADCC51">
              <w:rPr>
                <w:rFonts w:cs="Arial"/>
                <w:sz w:val="18"/>
                <w:szCs w:val="18"/>
              </w:rPr>
              <w:t xml:space="preserve">, and is </w:t>
            </w:r>
            <w:r w:rsidR="00893050" w:rsidRPr="4AADCC51">
              <w:rPr>
                <w:rFonts w:cs="Arial"/>
                <w:sz w:val="18"/>
                <w:szCs w:val="18"/>
              </w:rPr>
              <w:t>proposed</w:t>
            </w:r>
            <w:r w:rsidR="00A338AC" w:rsidRPr="4AADCC51">
              <w:rPr>
                <w:rFonts w:cs="Arial"/>
                <w:sz w:val="18"/>
                <w:szCs w:val="18"/>
              </w:rPr>
              <w:t xml:space="preserve"> to</w:t>
            </w:r>
            <w:r w:rsidR="00893050" w:rsidRPr="4AADCC51">
              <w:rPr>
                <w:rFonts w:cs="Arial"/>
                <w:sz w:val="18"/>
                <w:szCs w:val="18"/>
              </w:rPr>
              <w:t xml:space="preserve"> be</w:t>
            </w:r>
            <w:r w:rsidR="00A338AC" w:rsidRPr="4AADCC51">
              <w:rPr>
                <w:rFonts w:cs="Arial"/>
                <w:sz w:val="18"/>
                <w:szCs w:val="18"/>
              </w:rPr>
              <w:t xml:space="preserve"> implemented </w:t>
            </w:r>
            <w:r w:rsidR="0028280D" w:rsidRPr="4AADCC51">
              <w:rPr>
                <w:rFonts w:cs="Arial"/>
                <w:sz w:val="18"/>
                <w:szCs w:val="18"/>
              </w:rPr>
              <w:t>in Ju</w:t>
            </w:r>
            <w:r w:rsidR="670E4B20" w:rsidRPr="4AADCC51">
              <w:rPr>
                <w:rFonts w:cs="Arial"/>
                <w:sz w:val="18"/>
                <w:szCs w:val="18"/>
              </w:rPr>
              <w:t>ne</w:t>
            </w:r>
            <w:r w:rsidR="0028280D" w:rsidRPr="4AADCC51">
              <w:rPr>
                <w:rFonts w:cs="Arial"/>
                <w:sz w:val="18"/>
                <w:szCs w:val="18"/>
              </w:rPr>
              <w:t xml:space="preserve"> </w:t>
            </w:r>
            <w:r w:rsidR="00893050" w:rsidRPr="4AADCC51">
              <w:rPr>
                <w:rFonts w:cs="Arial"/>
                <w:sz w:val="18"/>
                <w:szCs w:val="18"/>
              </w:rPr>
              <w:t>202</w:t>
            </w:r>
            <w:r w:rsidR="3B39F040" w:rsidRPr="4AADCC51">
              <w:rPr>
                <w:rFonts w:cs="Arial"/>
                <w:sz w:val="18"/>
                <w:szCs w:val="18"/>
              </w:rPr>
              <w:t>1</w:t>
            </w:r>
            <w:r w:rsidRPr="4AADCC51">
              <w:rPr>
                <w:rFonts w:cs="Arial"/>
                <w:sz w:val="18"/>
                <w:szCs w:val="18"/>
              </w:rPr>
              <w:t xml:space="preserve">. </w:t>
            </w:r>
            <w:r w:rsidR="00A02994" w:rsidRPr="4AADCC51">
              <w:rPr>
                <w:rFonts w:cs="Arial"/>
                <w:sz w:val="18"/>
                <w:szCs w:val="18"/>
              </w:rPr>
              <w:t>The delivery costs included are</w:t>
            </w:r>
            <w:r w:rsidR="00650B5E" w:rsidRPr="4AADCC51">
              <w:rPr>
                <w:rFonts w:cs="Arial"/>
                <w:sz w:val="18"/>
                <w:szCs w:val="18"/>
              </w:rPr>
              <w:t xml:space="preserve"> firm costs </w:t>
            </w:r>
            <w:r w:rsidR="00F9305F" w:rsidRPr="4AADCC51">
              <w:rPr>
                <w:rFonts w:cs="Arial"/>
                <w:sz w:val="18"/>
                <w:szCs w:val="18"/>
              </w:rPr>
              <w:t xml:space="preserve">and include a risk margin </w:t>
            </w:r>
            <w:r w:rsidR="0028280D" w:rsidRPr="4AADCC51">
              <w:rPr>
                <w:rFonts w:cs="Arial"/>
                <w:sz w:val="18"/>
                <w:szCs w:val="18"/>
              </w:rPr>
              <w:t xml:space="preserve">of </w:t>
            </w:r>
            <w:r w:rsidR="0EE41FC0" w:rsidRPr="4AADCC51">
              <w:rPr>
                <w:rFonts w:cs="Arial"/>
                <w:sz w:val="18"/>
                <w:szCs w:val="18"/>
              </w:rPr>
              <w:t>£23,000</w:t>
            </w:r>
          </w:p>
          <w:p w14:paraId="123A2B28" w14:textId="77E7B0EF" w:rsidR="2096628D" w:rsidRDefault="2096628D" w:rsidP="2096628D">
            <w:pPr>
              <w:spacing w:after="60" w:line="276" w:lineRule="auto"/>
              <w:rPr>
                <w:sz w:val="18"/>
                <w:szCs w:val="18"/>
              </w:rPr>
            </w:pPr>
          </w:p>
          <w:p w14:paraId="76C577D6" w14:textId="41097D30" w:rsidR="2096628D" w:rsidRDefault="2096628D" w:rsidP="2096628D">
            <w:pPr>
              <w:spacing w:after="60" w:line="276" w:lineRule="auto"/>
              <w:rPr>
                <w:sz w:val="18"/>
                <w:szCs w:val="18"/>
              </w:rPr>
            </w:pPr>
          </w:p>
          <w:p w14:paraId="4DDC1E52" w14:textId="79D5F09C" w:rsidR="00893050" w:rsidRPr="002B5742" w:rsidRDefault="0028280D" w:rsidP="00A107AC">
            <w:pPr>
              <w:pStyle w:val="ListParagraph"/>
              <w:numPr>
                <w:ilvl w:val="0"/>
                <w:numId w:val="1"/>
              </w:numPr>
              <w:spacing w:after="60" w:line="276" w:lineRule="auto"/>
              <w:rPr>
                <w:b/>
                <w:sz w:val="18"/>
                <w:szCs w:val="18"/>
              </w:rPr>
            </w:pPr>
            <w:r w:rsidRPr="002B5742">
              <w:rPr>
                <w:b/>
                <w:sz w:val="18"/>
                <w:szCs w:val="18"/>
              </w:rPr>
              <w:t xml:space="preserve">XRN5093 </w:t>
            </w:r>
          </w:p>
          <w:p w14:paraId="34027C54" w14:textId="77777777" w:rsidR="0028280D" w:rsidRPr="002B5742" w:rsidRDefault="0028280D" w:rsidP="0007561C">
            <w:pPr>
              <w:spacing w:after="60" w:line="276" w:lineRule="auto"/>
              <w:rPr>
                <w:rFonts w:eastAsia="Times New Roman" w:cstheme="minorHAnsi"/>
                <w:sz w:val="18"/>
                <w:szCs w:val="18"/>
              </w:rPr>
            </w:pPr>
          </w:p>
          <w:p w14:paraId="2071B542" w14:textId="77777777" w:rsidR="0028280D" w:rsidRPr="002B5742" w:rsidRDefault="0028280D" w:rsidP="0028280D">
            <w:pPr>
              <w:rPr>
                <w:sz w:val="18"/>
                <w:szCs w:val="18"/>
              </w:rPr>
            </w:pPr>
            <w:r w:rsidRPr="002B5742">
              <w:rPr>
                <w:sz w:val="18"/>
                <w:szCs w:val="18"/>
              </w:rPr>
              <w:t xml:space="preserve">Uniform Network Code (UNC) </w:t>
            </w:r>
            <w:hyperlink r:id="rId12" w:history="1">
              <w:r w:rsidRPr="002B5742">
                <w:rPr>
                  <w:rStyle w:val="Hyperlink"/>
                  <w:sz w:val="18"/>
                  <w:szCs w:val="18"/>
                </w:rPr>
                <w:t>Modification 0711 – Update of AUG Table to reflect the new EUC bands</w:t>
              </w:r>
            </w:hyperlink>
            <w:r w:rsidRPr="002B5742">
              <w:rPr>
                <w:rStyle w:val="Hyperlink"/>
                <w:sz w:val="18"/>
                <w:szCs w:val="18"/>
              </w:rPr>
              <w:t xml:space="preserve"> </w:t>
            </w:r>
            <w:r w:rsidRPr="002B5742">
              <w:rPr>
                <w:sz w:val="18"/>
                <w:szCs w:val="18"/>
              </w:rPr>
              <w:t xml:space="preserve">has been raised to update the Allocation of Unidentified Gas (AUG) Table set out in UNC TPD Section E Annex E-1 to include the new End User Categories (EUC) brought in by DSC Change Proposal </w:t>
            </w:r>
            <w:hyperlink r:id="rId13" w:history="1">
              <w:r w:rsidRPr="002B5742">
                <w:rPr>
                  <w:rStyle w:val="Hyperlink"/>
                  <w:sz w:val="18"/>
                  <w:szCs w:val="18"/>
                </w:rPr>
                <w:t>XRN4665 Creation of New End User Categories</w:t>
              </w:r>
            </w:hyperlink>
            <w:r w:rsidRPr="002B5742">
              <w:rPr>
                <w:sz w:val="18"/>
                <w:szCs w:val="18"/>
              </w:rPr>
              <w:t>.</w:t>
            </w:r>
          </w:p>
          <w:p w14:paraId="45435E4C" w14:textId="77777777" w:rsidR="0028280D" w:rsidRPr="002B5742" w:rsidRDefault="0028280D" w:rsidP="0028280D">
            <w:pPr>
              <w:rPr>
                <w:sz w:val="18"/>
                <w:szCs w:val="18"/>
              </w:rPr>
            </w:pPr>
          </w:p>
          <w:p w14:paraId="448561BA" w14:textId="77777777" w:rsidR="0028280D" w:rsidRPr="002B5742" w:rsidRDefault="0028280D" w:rsidP="0028280D">
            <w:pPr>
              <w:rPr>
                <w:sz w:val="18"/>
                <w:szCs w:val="18"/>
              </w:rPr>
            </w:pPr>
            <w:r w:rsidRPr="002B5742">
              <w:rPr>
                <w:sz w:val="18"/>
                <w:szCs w:val="18"/>
              </w:rPr>
              <w:t>The AUGE is required to populate the AUG Table as set out in UNC TPD Section E Annex E-1. Any mismatch between the Adjustment Factors developed by the Allocation of Unidentified Gas Expert (AUGE) and the EUCs that are utilised by the CDSP in demand estimation processes will reduce the accuracy of the AUGE process.</w:t>
            </w:r>
          </w:p>
          <w:p w14:paraId="4C02E76C" w14:textId="77777777" w:rsidR="0028280D" w:rsidRPr="002B5742" w:rsidRDefault="0028280D" w:rsidP="0028280D">
            <w:pPr>
              <w:rPr>
                <w:rFonts w:cs="Arial"/>
                <w:sz w:val="18"/>
                <w:szCs w:val="18"/>
              </w:rPr>
            </w:pPr>
          </w:p>
          <w:p w14:paraId="267505AF" w14:textId="77777777" w:rsidR="0028280D" w:rsidRPr="002B5742" w:rsidRDefault="0028280D" w:rsidP="0028280D">
            <w:pPr>
              <w:rPr>
                <w:rFonts w:cs="Arial"/>
                <w:sz w:val="18"/>
                <w:szCs w:val="18"/>
              </w:rPr>
            </w:pPr>
            <w:r w:rsidRPr="002B5742">
              <w:rPr>
                <w:rFonts w:cs="Arial"/>
                <w:sz w:val="18"/>
                <w:szCs w:val="18"/>
              </w:rPr>
              <w:t xml:space="preserve">When the AUG Table was last revised as part of Project Nexus, there were 9 End User Categories and 4 Product Classes, which the table reflected.  This allows the AUGE to align the Adjustment Factors it calculates with each End User Category. Since then, EUC Bands 1 &amp; 2 have each been split into four new categories by Change Proposal XRN4665 Creation of New End User Categories: </w:t>
            </w:r>
          </w:p>
          <w:p w14:paraId="7267D02E" w14:textId="77777777" w:rsidR="0028280D" w:rsidRPr="002B5742" w:rsidRDefault="0028280D" w:rsidP="0028280D">
            <w:pPr>
              <w:pStyle w:val="ListParagraph"/>
              <w:numPr>
                <w:ilvl w:val="0"/>
                <w:numId w:val="15"/>
              </w:numPr>
              <w:spacing w:after="0" w:line="240" w:lineRule="auto"/>
              <w:jc w:val="left"/>
              <w:rPr>
                <w:rFonts w:cs="Arial"/>
                <w:sz w:val="18"/>
                <w:szCs w:val="18"/>
              </w:rPr>
            </w:pPr>
            <w:r w:rsidRPr="002B5742">
              <w:rPr>
                <w:rFonts w:cs="Arial"/>
                <w:sz w:val="18"/>
                <w:szCs w:val="18"/>
              </w:rPr>
              <w:t xml:space="preserve">Non-Prepayment/Domestic  </w:t>
            </w:r>
          </w:p>
          <w:p w14:paraId="13AA6B1A" w14:textId="77777777" w:rsidR="0028280D" w:rsidRPr="002B5742" w:rsidRDefault="0028280D" w:rsidP="0028280D">
            <w:pPr>
              <w:pStyle w:val="ListParagraph"/>
              <w:numPr>
                <w:ilvl w:val="0"/>
                <w:numId w:val="15"/>
              </w:numPr>
              <w:spacing w:after="0" w:line="240" w:lineRule="auto"/>
              <w:jc w:val="left"/>
              <w:rPr>
                <w:rFonts w:cs="Arial"/>
                <w:sz w:val="18"/>
                <w:szCs w:val="18"/>
              </w:rPr>
            </w:pPr>
            <w:r w:rsidRPr="002B5742">
              <w:rPr>
                <w:rFonts w:cs="Arial"/>
                <w:sz w:val="18"/>
                <w:szCs w:val="18"/>
              </w:rPr>
              <w:t xml:space="preserve">Prepayment/Domestic </w:t>
            </w:r>
          </w:p>
          <w:p w14:paraId="0BDB77A0" w14:textId="77777777" w:rsidR="0028280D" w:rsidRPr="002B5742" w:rsidRDefault="0028280D" w:rsidP="0028280D">
            <w:pPr>
              <w:pStyle w:val="ListParagraph"/>
              <w:numPr>
                <w:ilvl w:val="0"/>
                <w:numId w:val="15"/>
              </w:numPr>
              <w:spacing w:after="0" w:line="240" w:lineRule="auto"/>
              <w:jc w:val="left"/>
              <w:rPr>
                <w:rFonts w:cs="Arial"/>
                <w:sz w:val="18"/>
                <w:szCs w:val="18"/>
              </w:rPr>
            </w:pPr>
            <w:r w:rsidRPr="002B5742">
              <w:rPr>
                <w:rFonts w:cs="Arial"/>
                <w:sz w:val="18"/>
                <w:szCs w:val="18"/>
              </w:rPr>
              <w:t xml:space="preserve">Non-Prepayment I&amp;C  </w:t>
            </w:r>
          </w:p>
          <w:p w14:paraId="7D88EAEC" w14:textId="77777777" w:rsidR="0028280D" w:rsidRPr="002B5742" w:rsidRDefault="0028280D" w:rsidP="0028280D">
            <w:pPr>
              <w:pStyle w:val="ListParagraph"/>
              <w:numPr>
                <w:ilvl w:val="0"/>
                <w:numId w:val="15"/>
              </w:numPr>
              <w:spacing w:after="0" w:line="240" w:lineRule="auto"/>
              <w:jc w:val="left"/>
              <w:rPr>
                <w:rFonts w:cs="Arial"/>
                <w:sz w:val="18"/>
                <w:szCs w:val="18"/>
              </w:rPr>
            </w:pPr>
            <w:r w:rsidRPr="002B5742">
              <w:rPr>
                <w:rFonts w:cs="Arial"/>
                <w:sz w:val="18"/>
                <w:szCs w:val="18"/>
              </w:rPr>
              <w:t xml:space="preserve">Prepayment I&amp;C  </w:t>
            </w:r>
          </w:p>
          <w:p w14:paraId="08A9499D" w14:textId="77777777" w:rsidR="0028280D" w:rsidRPr="002B5742" w:rsidRDefault="0028280D" w:rsidP="0028280D">
            <w:pPr>
              <w:rPr>
                <w:rFonts w:cs="Arial"/>
                <w:sz w:val="18"/>
                <w:szCs w:val="18"/>
              </w:rPr>
            </w:pPr>
          </w:p>
          <w:p w14:paraId="6179B279" w14:textId="77777777" w:rsidR="0028280D" w:rsidRPr="002B5742" w:rsidRDefault="0028280D" w:rsidP="0028280D">
            <w:pPr>
              <w:rPr>
                <w:rFonts w:cs="Arial"/>
                <w:sz w:val="18"/>
                <w:szCs w:val="18"/>
              </w:rPr>
            </w:pPr>
            <w:r w:rsidRPr="002B5742">
              <w:rPr>
                <w:rFonts w:cs="Arial"/>
                <w:sz w:val="18"/>
                <w:szCs w:val="18"/>
              </w:rPr>
              <w:t xml:space="preserve">As a result, the AUG Table does not currently fully align with the EUCs in effect for demand estimation. </w:t>
            </w:r>
          </w:p>
          <w:p w14:paraId="14C0ACC4" w14:textId="77777777" w:rsidR="0028280D" w:rsidRPr="002B5742" w:rsidRDefault="0028280D" w:rsidP="0028280D">
            <w:pPr>
              <w:rPr>
                <w:rFonts w:cs="Arial"/>
                <w:sz w:val="18"/>
                <w:szCs w:val="18"/>
              </w:rPr>
            </w:pPr>
            <w:r w:rsidRPr="002B5742">
              <w:rPr>
                <w:rFonts w:cs="Arial"/>
                <w:sz w:val="18"/>
                <w:szCs w:val="18"/>
              </w:rPr>
              <w:t>The implementation of Modification 0711 will update the AUG table to reflect the new EUCs introduced through XRN4665.</w:t>
            </w:r>
          </w:p>
          <w:p w14:paraId="3EB0A8C1" w14:textId="77777777" w:rsidR="0028280D" w:rsidRPr="002B5742" w:rsidRDefault="0028280D" w:rsidP="0028280D">
            <w:pPr>
              <w:rPr>
                <w:sz w:val="18"/>
                <w:szCs w:val="18"/>
              </w:rPr>
            </w:pPr>
          </w:p>
          <w:p w14:paraId="1A46CDE1" w14:textId="77777777" w:rsidR="0028280D" w:rsidRPr="002B5742" w:rsidRDefault="0028280D" w:rsidP="0028280D">
            <w:pPr>
              <w:rPr>
                <w:rFonts w:cs="Arial"/>
                <w:sz w:val="18"/>
                <w:szCs w:val="18"/>
              </w:rPr>
            </w:pPr>
            <w:r w:rsidRPr="002B5742">
              <w:rPr>
                <w:sz w:val="18"/>
                <w:szCs w:val="18"/>
              </w:rPr>
              <w:t xml:space="preserve">Change Proposal XRN5093 was raised </w:t>
            </w:r>
            <w:r w:rsidRPr="002B5742">
              <w:rPr>
                <w:rFonts w:cs="Arial"/>
                <w:sz w:val="18"/>
                <w:szCs w:val="18"/>
              </w:rPr>
              <w:t>to deliver the system solution associated with Modification 0711 changes which involves ensuring the new EUCs have an individual UIG weighting factor which are applied in UIG calculation, apportionment and invoicing processes within CDSP systems.</w:t>
            </w:r>
          </w:p>
          <w:p w14:paraId="683B4EF4" w14:textId="77777777" w:rsidR="0028280D" w:rsidRDefault="0028280D" w:rsidP="0007561C">
            <w:pPr>
              <w:spacing w:after="60" w:line="276" w:lineRule="auto"/>
              <w:rPr>
                <w:rFonts w:eastAsia="Times New Roman" w:cstheme="minorHAnsi"/>
                <w:sz w:val="20"/>
                <w:szCs w:val="20"/>
              </w:rPr>
            </w:pPr>
          </w:p>
          <w:p w14:paraId="00E814DA" w14:textId="6274A152" w:rsidR="0028280D" w:rsidRDefault="0028280D" w:rsidP="0007561C">
            <w:pPr>
              <w:spacing w:after="60" w:line="276" w:lineRule="auto"/>
              <w:rPr>
                <w:rFonts w:eastAsia="Times New Roman" w:cstheme="minorHAnsi"/>
                <w:sz w:val="20"/>
                <w:szCs w:val="20"/>
              </w:rPr>
            </w:pPr>
          </w:p>
          <w:p w14:paraId="2F5DB47D" w14:textId="79027EC8" w:rsidR="0028280D" w:rsidRPr="00B3593B" w:rsidRDefault="00040B7E" w:rsidP="0007561C">
            <w:pPr>
              <w:spacing w:after="60" w:line="276" w:lineRule="auto"/>
              <w:rPr>
                <w:rFonts w:eastAsia="Times New Roman" w:cstheme="minorHAnsi"/>
                <w:sz w:val="20"/>
                <w:szCs w:val="20"/>
              </w:rPr>
            </w:pPr>
            <w:r>
              <w:rPr>
                <w:rFonts w:eastAsia="Times New Roman" w:cstheme="minorHAnsi"/>
                <w:sz w:val="20"/>
                <w:szCs w:val="20"/>
              </w:rPr>
              <w:object w:dxaOrig="1477" w:dyaOrig="974" w14:anchorId="6BF150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1pt;height:48.6pt" o:ole="">
                  <v:imagedata r:id="rId14" o:title=""/>
                </v:shape>
                <o:OLEObject Type="Embed" ProgID="AcroExch.Document.DC" ShapeID="_x0000_i1025" DrawAspect="Icon" ObjectID="_1675835149" r:id="rId15"/>
              </w:object>
            </w:r>
          </w:p>
          <w:p w14:paraId="4D464EB1" w14:textId="24BEC5E7" w:rsidR="00742128" w:rsidRDefault="00742128" w:rsidP="00742128">
            <w:pPr>
              <w:spacing w:after="60" w:line="276" w:lineRule="auto"/>
              <w:ind w:left="720"/>
              <w:rPr>
                <w:szCs w:val="20"/>
              </w:rPr>
            </w:pPr>
          </w:p>
          <w:p w14:paraId="6A94BC79" w14:textId="77777777" w:rsidR="00BD08EC" w:rsidRDefault="00BD08EC" w:rsidP="00907531">
            <w:pPr>
              <w:pStyle w:val="ListParagraph"/>
              <w:spacing w:after="60" w:line="276" w:lineRule="auto"/>
              <w:ind w:left="1080"/>
              <w:rPr>
                <w:b/>
                <w:szCs w:val="20"/>
              </w:rPr>
            </w:pPr>
          </w:p>
          <w:p w14:paraId="51BD9DB6" w14:textId="0C3E2735" w:rsidR="00BD08EC" w:rsidRPr="00555DB7" w:rsidRDefault="00BD08EC" w:rsidP="00BD08EC">
            <w:pPr>
              <w:pStyle w:val="ListParagraph"/>
              <w:numPr>
                <w:ilvl w:val="0"/>
                <w:numId w:val="1"/>
              </w:numPr>
              <w:spacing w:after="60" w:line="276" w:lineRule="auto"/>
              <w:rPr>
                <w:b/>
                <w:sz w:val="18"/>
                <w:szCs w:val="18"/>
              </w:rPr>
            </w:pPr>
            <w:r w:rsidRPr="00555DB7">
              <w:rPr>
                <w:b/>
                <w:sz w:val="18"/>
                <w:szCs w:val="18"/>
              </w:rPr>
              <w:t xml:space="preserve">XRN4941 </w:t>
            </w:r>
          </w:p>
          <w:p w14:paraId="4772DDF7" w14:textId="126F843C" w:rsidR="00BD08EC" w:rsidRDefault="00BD08EC" w:rsidP="00BD08EC">
            <w:pPr>
              <w:spacing w:after="60" w:line="276" w:lineRule="auto"/>
              <w:rPr>
                <w:b/>
                <w:szCs w:val="20"/>
              </w:rPr>
            </w:pPr>
          </w:p>
          <w:p w14:paraId="51446C7A" w14:textId="77777777" w:rsidR="009A7F39" w:rsidRPr="009A7F39" w:rsidRDefault="009A7F39" w:rsidP="009A7F39">
            <w:pPr>
              <w:spacing w:after="60" w:line="276" w:lineRule="auto"/>
              <w:rPr>
                <w:sz w:val="18"/>
                <w:szCs w:val="18"/>
              </w:rPr>
            </w:pPr>
            <w:r w:rsidRPr="009A7F39">
              <w:rPr>
                <w:sz w:val="18"/>
                <w:szCs w:val="18"/>
              </w:rPr>
              <w:t>This change has been raised in line with the ongoing development of MOD0692 which looks to grant the CDSP permission to update a Supply Meter Point’s (SMP) Meter Read Frequency (MRF) under the following circumstances:</w:t>
            </w:r>
          </w:p>
          <w:p w14:paraId="490275D6" w14:textId="77777777" w:rsidR="009A7F39" w:rsidRPr="009A7F39" w:rsidRDefault="009A7F39" w:rsidP="009A7F39">
            <w:pPr>
              <w:spacing w:after="60" w:line="276" w:lineRule="auto"/>
              <w:rPr>
                <w:sz w:val="18"/>
                <w:szCs w:val="18"/>
              </w:rPr>
            </w:pPr>
            <w:r w:rsidRPr="009A7F39">
              <w:rPr>
                <w:sz w:val="18"/>
                <w:szCs w:val="18"/>
              </w:rPr>
              <w:t> </w:t>
            </w:r>
          </w:p>
          <w:p w14:paraId="7E6F73B2" w14:textId="47D1E24B" w:rsidR="009A7F39" w:rsidRDefault="009A7F39" w:rsidP="009A7F39">
            <w:pPr>
              <w:numPr>
                <w:ilvl w:val="0"/>
                <w:numId w:val="16"/>
              </w:numPr>
              <w:spacing w:after="60" w:line="276" w:lineRule="auto"/>
              <w:rPr>
                <w:sz w:val="18"/>
                <w:szCs w:val="18"/>
              </w:rPr>
            </w:pPr>
            <w:r w:rsidRPr="009A7F39">
              <w:rPr>
                <w:sz w:val="18"/>
                <w:szCs w:val="18"/>
              </w:rPr>
              <w:t>Where a SMP AQ increases past the threshold of 293,000KWh and site is not on a monthly meter read frequency, the MRF should be set to Monthly</w:t>
            </w:r>
          </w:p>
          <w:p w14:paraId="59E334AE" w14:textId="77777777" w:rsidR="009A7F39" w:rsidRPr="009A7F39" w:rsidRDefault="009A7F39" w:rsidP="009A7F39">
            <w:pPr>
              <w:spacing w:after="60" w:line="276" w:lineRule="auto"/>
              <w:ind w:left="720"/>
              <w:rPr>
                <w:sz w:val="18"/>
                <w:szCs w:val="18"/>
              </w:rPr>
            </w:pPr>
          </w:p>
          <w:p w14:paraId="14B67585" w14:textId="77777777" w:rsidR="009A7F39" w:rsidRPr="009A7F39" w:rsidRDefault="009A7F39" w:rsidP="009A7F39">
            <w:pPr>
              <w:spacing w:after="60" w:line="276" w:lineRule="auto"/>
              <w:ind w:left="360"/>
              <w:rPr>
                <w:sz w:val="18"/>
                <w:szCs w:val="18"/>
              </w:rPr>
            </w:pPr>
            <w:r w:rsidRPr="009A7F39">
              <w:rPr>
                <w:sz w:val="18"/>
                <w:szCs w:val="18"/>
              </w:rPr>
              <w:t>2)  Site has either a Smart or AMR meter installed and is not on a monthly meter read frequency</w:t>
            </w:r>
          </w:p>
          <w:p w14:paraId="5B30A6B2" w14:textId="7C68E474" w:rsidR="002E3161" w:rsidRDefault="002E3161" w:rsidP="00BD08EC">
            <w:pPr>
              <w:spacing w:after="60" w:line="276" w:lineRule="auto"/>
              <w:rPr>
                <w:b/>
                <w:szCs w:val="20"/>
              </w:rPr>
            </w:pPr>
          </w:p>
          <w:p w14:paraId="5F112FE6" w14:textId="242CB347" w:rsidR="009A7F39" w:rsidRPr="009A7F39" w:rsidRDefault="009A7F39" w:rsidP="00BD08EC">
            <w:pPr>
              <w:spacing w:after="60" w:line="276" w:lineRule="auto"/>
              <w:rPr>
                <w:b/>
                <w:sz w:val="18"/>
                <w:szCs w:val="18"/>
              </w:rPr>
            </w:pPr>
            <w:r w:rsidRPr="009A7F39">
              <w:rPr>
                <w:b/>
                <w:sz w:val="18"/>
                <w:szCs w:val="18"/>
              </w:rPr>
              <w:t xml:space="preserve">NOTE: This change was de-scoped at Change Management Committee </w:t>
            </w:r>
            <w:r w:rsidR="00FA500D">
              <w:rPr>
                <w:b/>
                <w:sz w:val="18"/>
                <w:szCs w:val="18"/>
              </w:rPr>
              <w:t>on 11</w:t>
            </w:r>
            <w:r w:rsidR="00FA500D" w:rsidRPr="00FA500D">
              <w:rPr>
                <w:b/>
                <w:sz w:val="18"/>
                <w:szCs w:val="18"/>
                <w:vertAlign w:val="superscript"/>
              </w:rPr>
              <w:t>th</w:t>
            </w:r>
            <w:r w:rsidR="00FA500D">
              <w:rPr>
                <w:b/>
                <w:sz w:val="18"/>
                <w:szCs w:val="18"/>
              </w:rPr>
              <w:t xml:space="preserve"> November and will not be implemented in line with June 21 Release </w:t>
            </w:r>
          </w:p>
          <w:p w14:paraId="2E7ABE9E" w14:textId="61E65DBE" w:rsidR="00BD08EC" w:rsidRDefault="00BD08EC" w:rsidP="00BD08EC">
            <w:pPr>
              <w:spacing w:after="60" w:line="276" w:lineRule="auto"/>
              <w:rPr>
                <w:b/>
                <w:szCs w:val="20"/>
              </w:rPr>
            </w:pPr>
          </w:p>
          <w:p w14:paraId="5DA72FA4" w14:textId="459BF074" w:rsidR="00FA500D" w:rsidRPr="00555DB7" w:rsidRDefault="00FA500D" w:rsidP="00FA500D">
            <w:pPr>
              <w:pStyle w:val="ListParagraph"/>
              <w:numPr>
                <w:ilvl w:val="0"/>
                <w:numId w:val="1"/>
              </w:numPr>
              <w:spacing w:after="60"/>
              <w:rPr>
                <w:b/>
                <w:sz w:val="18"/>
                <w:szCs w:val="18"/>
              </w:rPr>
            </w:pPr>
            <w:r w:rsidRPr="00555DB7">
              <w:rPr>
                <w:b/>
                <w:sz w:val="18"/>
                <w:szCs w:val="18"/>
              </w:rPr>
              <w:t>XRN4992</w:t>
            </w:r>
          </w:p>
          <w:p w14:paraId="55506410" w14:textId="4B03F724" w:rsidR="008F4B7E" w:rsidRDefault="008F4B7E" w:rsidP="008F4B7E">
            <w:pPr>
              <w:spacing w:after="60"/>
              <w:rPr>
                <w:sz w:val="18"/>
                <w:szCs w:val="18"/>
              </w:rPr>
            </w:pPr>
            <w:r>
              <w:rPr>
                <w:sz w:val="18"/>
                <w:szCs w:val="18"/>
              </w:rPr>
              <w:t>T</w:t>
            </w:r>
            <w:r w:rsidRPr="008F4B7E">
              <w:rPr>
                <w:sz w:val="18"/>
                <w:szCs w:val="18"/>
              </w:rPr>
              <w:t xml:space="preserve">here have been </w:t>
            </w:r>
            <w:proofErr w:type="gramStart"/>
            <w:r w:rsidRPr="008F4B7E">
              <w:rPr>
                <w:sz w:val="18"/>
                <w:szCs w:val="18"/>
              </w:rPr>
              <w:t>a number of</w:t>
            </w:r>
            <w:proofErr w:type="gramEnd"/>
            <w:r w:rsidRPr="008F4B7E">
              <w:rPr>
                <w:sz w:val="18"/>
                <w:szCs w:val="18"/>
              </w:rPr>
              <w:t xml:space="preserve"> Supplier of Last Resort (</w:t>
            </w:r>
            <w:proofErr w:type="spellStart"/>
            <w:r w:rsidRPr="008F4B7E">
              <w:rPr>
                <w:sz w:val="18"/>
                <w:szCs w:val="18"/>
              </w:rPr>
              <w:t>SoLR</w:t>
            </w:r>
            <w:proofErr w:type="spellEnd"/>
            <w:r w:rsidRPr="008F4B7E">
              <w:rPr>
                <w:sz w:val="18"/>
                <w:szCs w:val="18"/>
              </w:rPr>
              <w:t xml:space="preserve">) events that have resulted in claims from </w:t>
            </w:r>
            <w:proofErr w:type="spellStart"/>
            <w:r w:rsidRPr="008F4B7E">
              <w:rPr>
                <w:sz w:val="18"/>
                <w:szCs w:val="18"/>
              </w:rPr>
              <w:t>SoLR</w:t>
            </w:r>
            <w:proofErr w:type="spellEnd"/>
            <w:r w:rsidRPr="008F4B7E">
              <w:rPr>
                <w:sz w:val="18"/>
                <w:szCs w:val="18"/>
              </w:rPr>
              <w:t xml:space="preserve"> suppliers for their outstanding costs (Last Resort Supply Payment or LRSP). At present there is little detail in the gas Transporter licence on how these costs are recovered from the wider shipper community, outside of it being recovered via transportation charges.</w:t>
            </w:r>
          </w:p>
          <w:p w14:paraId="483A4BE9" w14:textId="77777777" w:rsidR="008F4B7E" w:rsidRPr="008F4B7E" w:rsidRDefault="008F4B7E" w:rsidP="008F4B7E">
            <w:pPr>
              <w:spacing w:after="60"/>
              <w:rPr>
                <w:sz w:val="18"/>
                <w:szCs w:val="18"/>
              </w:rPr>
            </w:pPr>
          </w:p>
          <w:p w14:paraId="081B91A2" w14:textId="7F7F0461" w:rsidR="008F4B7E" w:rsidRDefault="008F4B7E" w:rsidP="008F4B7E">
            <w:pPr>
              <w:spacing w:after="60"/>
              <w:rPr>
                <w:sz w:val="18"/>
                <w:szCs w:val="18"/>
              </w:rPr>
            </w:pPr>
            <w:r w:rsidRPr="008F4B7E">
              <w:rPr>
                <w:sz w:val="18"/>
                <w:szCs w:val="18"/>
              </w:rPr>
              <w:t xml:space="preserve">This change has been raised to essentially provide clarity on how any costs incurred by the Gas Distribution Networks (GDNs) as part of a Last Resort Supply </w:t>
            </w:r>
            <w:proofErr w:type="gramStart"/>
            <w:r w:rsidRPr="008F4B7E">
              <w:rPr>
                <w:sz w:val="18"/>
                <w:szCs w:val="18"/>
              </w:rPr>
              <w:t>Payment(</w:t>
            </w:r>
            <w:proofErr w:type="gramEnd"/>
            <w:r w:rsidRPr="008F4B7E">
              <w:rPr>
                <w:sz w:val="18"/>
                <w:szCs w:val="18"/>
              </w:rPr>
              <w:t>LRSP) arising from a Supplier of Last Resort(</w:t>
            </w:r>
            <w:proofErr w:type="spellStart"/>
            <w:r w:rsidRPr="008F4B7E">
              <w:rPr>
                <w:sz w:val="18"/>
                <w:szCs w:val="18"/>
              </w:rPr>
              <w:t>SoLR</w:t>
            </w:r>
            <w:proofErr w:type="spellEnd"/>
            <w:r w:rsidRPr="008F4B7E">
              <w:rPr>
                <w:sz w:val="18"/>
                <w:szCs w:val="18"/>
              </w:rPr>
              <w:t xml:space="preserve">) event are recovered from Shippers fairer and clearer. </w:t>
            </w:r>
          </w:p>
          <w:p w14:paraId="46D7FC2B" w14:textId="60D4E18B" w:rsidR="008F4B7E" w:rsidRDefault="008F4B7E" w:rsidP="008F4B7E">
            <w:pPr>
              <w:spacing w:after="60"/>
              <w:rPr>
                <w:sz w:val="18"/>
                <w:szCs w:val="18"/>
              </w:rPr>
            </w:pPr>
          </w:p>
          <w:p w14:paraId="0A48676E" w14:textId="7C63465E" w:rsidR="00555DB7" w:rsidRPr="009A7F39" w:rsidRDefault="00555DB7" w:rsidP="00555DB7">
            <w:pPr>
              <w:spacing w:after="60" w:line="276" w:lineRule="auto"/>
              <w:rPr>
                <w:b/>
                <w:sz w:val="18"/>
                <w:szCs w:val="18"/>
              </w:rPr>
            </w:pPr>
            <w:r w:rsidRPr="009A7F39">
              <w:rPr>
                <w:b/>
                <w:sz w:val="18"/>
                <w:szCs w:val="18"/>
              </w:rPr>
              <w:t xml:space="preserve">NOTE: This change was de-scoped at Change Management Committee </w:t>
            </w:r>
            <w:r>
              <w:rPr>
                <w:b/>
                <w:sz w:val="18"/>
                <w:szCs w:val="18"/>
              </w:rPr>
              <w:t>on 26</w:t>
            </w:r>
            <w:r w:rsidRPr="00555DB7">
              <w:rPr>
                <w:b/>
                <w:sz w:val="18"/>
                <w:szCs w:val="18"/>
                <w:vertAlign w:val="superscript"/>
              </w:rPr>
              <w:t>th</w:t>
            </w:r>
            <w:r>
              <w:rPr>
                <w:b/>
                <w:sz w:val="18"/>
                <w:szCs w:val="18"/>
              </w:rPr>
              <w:t xml:space="preserve"> October and will not be implemented in line with June 21 Release </w:t>
            </w:r>
          </w:p>
          <w:p w14:paraId="61DD851C" w14:textId="77777777" w:rsidR="00555DB7" w:rsidRPr="008F4B7E" w:rsidRDefault="00555DB7" w:rsidP="008F4B7E">
            <w:pPr>
              <w:spacing w:after="60"/>
              <w:rPr>
                <w:sz w:val="18"/>
                <w:szCs w:val="18"/>
              </w:rPr>
            </w:pPr>
          </w:p>
          <w:p w14:paraId="0A6476C6" w14:textId="078F86E7" w:rsidR="00FA500D" w:rsidRDefault="00FA500D" w:rsidP="00FA500D">
            <w:pPr>
              <w:spacing w:after="60"/>
              <w:rPr>
                <w:b/>
                <w:szCs w:val="20"/>
              </w:rPr>
            </w:pPr>
          </w:p>
          <w:p w14:paraId="2836FE0C" w14:textId="3F436018" w:rsidR="00555DB7" w:rsidRPr="00234AEF" w:rsidRDefault="00555DB7" w:rsidP="00FA500D">
            <w:pPr>
              <w:spacing w:after="60"/>
              <w:rPr>
                <w:b/>
                <w:color w:val="0070C0"/>
                <w:sz w:val="18"/>
                <w:szCs w:val="18"/>
              </w:rPr>
            </w:pPr>
            <w:r w:rsidRPr="00234AEF">
              <w:rPr>
                <w:b/>
                <w:color w:val="0070C0"/>
                <w:sz w:val="18"/>
                <w:szCs w:val="18"/>
              </w:rPr>
              <w:t xml:space="preserve">Inclusion of AUGE Set Up Costs (March 2021) </w:t>
            </w:r>
          </w:p>
          <w:p w14:paraId="16CA4EEC" w14:textId="1769861F" w:rsidR="00555DB7" w:rsidRPr="00234AEF" w:rsidRDefault="00555DB7" w:rsidP="00FA500D">
            <w:pPr>
              <w:spacing w:after="60"/>
              <w:rPr>
                <w:b/>
                <w:color w:val="0070C0"/>
                <w:sz w:val="18"/>
                <w:szCs w:val="18"/>
              </w:rPr>
            </w:pPr>
          </w:p>
          <w:p w14:paraId="64EBCC72" w14:textId="77777777" w:rsidR="004E2CC4" w:rsidRPr="00234AEF" w:rsidRDefault="004E2CC4" w:rsidP="00FA500D">
            <w:pPr>
              <w:spacing w:after="60"/>
              <w:rPr>
                <w:color w:val="0070C0"/>
                <w:sz w:val="18"/>
                <w:szCs w:val="18"/>
              </w:rPr>
            </w:pPr>
            <w:r w:rsidRPr="00234AEF">
              <w:rPr>
                <w:color w:val="0070C0"/>
                <w:sz w:val="18"/>
                <w:szCs w:val="18"/>
              </w:rPr>
              <w:t xml:space="preserve">At present the AUG Table does not fully reflect the combination of End User Categories (EUC) and Classes that are utilised by the CDSP to meet its Uniform Network Code (UNC) and Data Services Contract (DSC) requirements. </w:t>
            </w:r>
          </w:p>
          <w:p w14:paraId="65DF1895" w14:textId="77777777" w:rsidR="0024046F" w:rsidRPr="00234AEF" w:rsidRDefault="0024046F" w:rsidP="00FA500D">
            <w:pPr>
              <w:spacing w:after="60"/>
              <w:rPr>
                <w:color w:val="0070C0"/>
                <w:sz w:val="18"/>
                <w:szCs w:val="18"/>
              </w:rPr>
            </w:pPr>
          </w:p>
          <w:p w14:paraId="3190B451" w14:textId="5323BBEE" w:rsidR="0024046F" w:rsidRPr="00234AEF" w:rsidRDefault="004E2CC4" w:rsidP="00FA500D">
            <w:pPr>
              <w:spacing w:after="60"/>
              <w:rPr>
                <w:color w:val="0070C0"/>
                <w:sz w:val="18"/>
                <w:szCs w:val="18"/>
              </w:rPr>
            </w:pPr>
            <w:r w:rsidRPr="00234AEF">
              <w:rPr>
                <w:color w:val="0070C0"/>
                <w:sz w:val="18"/>
                <w:szCs w:val="18"/>
              </w:rPr>
              <w:t xml:space="preserve">The UNC requires that the Allocation of Unidentified Gas Expert (AUGE) populates the AUG Table as set out in UNC. Any mismatch between the Weighting Factors developed by the AUGE and the EUCs that are utilised by the CDSP in demand estimation processes will reduce the accuracy of the AUGE process. </w:t>
            </w:r>
          </w:p>
          <w:p w14:paraId="121961CC" w14:textId="77777777" w:rsidR="00555DB7" w:rsidRPr="00234AEF" w:rsidRDefault="00555DB7" w:rsidP="00FA500D">
            <w:pPr>
              <w:spacing w:after="60"/>
              <w:rPr>
                <w:color w:val="0070C0"/>
                <w:sz w:val="18"/>
                <w:szCs w:val="18"/>
              </w:rPr>
            </w:pPr>
          </w:p>
          <w:p w14:paraId="47F83224" w14:textId="32A2197E" w:rsidR="00555DB7" w:rsidRPr="00234AEF" w:rsidRDefault="00460FA2" w:rsidP="00FA500D">
            <w:pPr>
              <w:spacing w:after="60"/>
              <w:rPr>
                <w:color w:val="0070C0"/>
                <w:sz w:val="18"/>
                <w:szCs w:val="18"/>
              </w:rPr>
            </w:pPr>
            <w:r w:rsidRPr="00234AEF">
              <w:rPr>
                <w:color w:val="0070C0"/>
                <w:sz w:val="18"/>
                <w:szCs w:val="18"/>
              </w:rPr>
              <w:t xml:space="preserve">The scope of this set up work is to be covered as part of XRN5093 delivery costs however was </w:t>
            </w:r>
            <w:r w:rsidR="008D7587" w:rsidRPr="00234AEF">
              <w:rPr>
                <w:color w:val="0070C0"/>
                <w:sz w:val="18"/>
                <w:szCs w:val="18"/>
              </w:rPr>
              <w:t xml:space="preserve">not included in original BER approved at Change Management Committee in December 2020. </w:t>
            </w:r>
          </w:p>
          <w:p w14:paraId="05BA6E36" w14:textId="670F51AF" w:rsidR="002251F1" w:rsidRPr="00907531" w:rsidRDefault="002251F1" w:rsidP="00907531">
            <w:pPr>
              <w:pStyle w:val="ListParagraph"/>
              <w:spacing w:after="60" w:line="276" w:lineRule="auto"/>
              <w:ind w:left="1080"/>
              <w:rPr>
                <w:b/>
                <w:szCs w:val="20"/>
              </w:rPr>
            </w:pPr>
            <w:r>
              <w:rPr>
                <w:b/>
                <w:szCs w:val="20"/>
              </w:rPr>
              <w:t xml:space="preserve">  </w:t>
            </w:r>
          </w:p>
        </w:tc>
      </w:tr>
      <w:tr w:rsidR="002B2E87" w:rsidRPr="002B2E87" w14:paraId="356D084F" w14:textId="77777777" w:rsidTr="13CAD302">
        <w:trPr>
          <w:trHeight w:val="85"/>
        </w:trPr>
        <w:tc>
          <w:tcPr>
            <w:tcW w:w="5000" w:type="pct"/>
            <w:gridSpan w:val="2"/>
            <w:tcBorders>
              <w:bottom w:val="single" w:sz="4" w:space="0" w:color="auto"/>
            </w:tcBorders>
            <w:shd w:val="clear" w:color="auto" w:fill="3E5AA8" w:themeFill="accent1"/>
            <w:vAlign w:val="center"/>
          </w:tcPr>
          <w:p w14:paraId="3B25D51A" w14:textId="77777777" w:rsidR="002B2E87" w:rsidRPr="002B2E87" w:rsidRDefault="002B2E87" w:rsidP="002B2E87">
            <w:pPr>
              <w:jc w:val="center"/>
              <w:rPr>
                <w:rFonts w:eastAsia="Times New Roman" w:cs="Arial"/>
                <w:b/>
                <w:color w:val="FF0000"/>
              </w:rPr>
            </w:pPr>
            <w:r w:rsidRPr="002B2E87">
              <w:rPr>
                <w:rFonts w:eastAsia="Times New Roman" w:cs="Arial"/>
                <w:b/>
                <w:color w:val="FFFFFF"/>
                <w:sz w:val="20"/>
              </w:rPr>
              <w:lastRenderedPageBreak/>
              <w:t>Section 2: Out of Scope</w:t>
            </w:r>
          </w:p>
        </w:tc>
      </w:tr>
      <w:tr w:rsidR="002B2E87" w:rsidRPr="002B2E87" w14:paraId="04CB6E2F" w14:textId="77777777" w:rsidTr="13CAD302">
        <w:tc>
          <w:tcPr>
            <w:tcW w:w="5000" w:type="pct"/>
            <w:gridSpan w:val="2"/>
            <w:tcBorders>
              <w:bottom w:val="single" w:sz="4" w:space="0" w:color="auto"/>
            </w:tcBorders>
            <w:shd w:val="clear" w:color="auto" w:fill="FFFFFF" w:themeFill="background1"/>
          </w:tcPr>
          <w:p w14:paraId="15F56F6A" w14:textId="77777777" w:rsidR="00FB2F9A" w:rsidRPr="00470600" w:rsidRDefault="00CD69CD" w:rsidP="00636B0A">
            <w:pPr>
              <w:pStyle w:val="ListParagraph"/>
              <w:numPr>
                <w:ilvl w:val="0"/>
                <w:numId w:val="2"/>
              </w:numPr>
              <w:spacing w:after="0" w:line="240" w:lineRule="auto"/>
              <w:rPr>
                <w:rFonts w:cs="Arial"/>
                <w:sz w:val="18"/>
                <w:szCs w:val="18"/>
              </w:rPr>
            </w:pPr>
            <w:r w:rsidRPr="00470600">
              <w:rPr>
                <w:rFonts w:cs="Arial"/>
                <w:sz w:val="18"/>
                <w:szCs w:val="18"/>
              </w:rPr>
              <w:t>Any other changes</w:t>
            </w:r>
            <w:r w:rsidR="00FB2F9A" w:rsidRPr="00470600">
              <w:rPr>
                <w:rFonts w:cs="Arial"/>
                <w:sz w:val="18"/>
                <w:szCs w:val="18"/>
              </w:rPr>
              <w:t xml:space="preserve"> other changes</w:t>
            </w:r>
            <w:r w:rsidRPr="00470600">
              <w:rPr>
                <w:rFonts w:cs="Arial"/>
                <w:sz w:val="18"/>
                <w:szCs w:val="18"/>
              </w:rPr>
              <w:t xml:space="preserve"> than the changes specified above</w:t>
            </w:r>
            <w:r w:rsidR="00FB2F9A" w:rsidRPr="00470600">
              <w:rPr>
                <w:rFonts w:cs="Arial"/>
                <w:sz w:val="18"/>
                <w:szCs w:val="18"/>
              </w:rPr>
              <w:t xml:space="preserve"> are out of scope.</w:t>
            </w:r>
          </w:p>
          <w:p w14:paraId="32E48B94" w14:textId="4C87EF55" w:rsidR="00136998" w:rsidRPr="00636B0A" w:rsidRDefault="00136998" w:rsidP="00136998">
            <w:pPr>
              <w:pStyle w:val="ListParagraph"/>
              <w:spacing w:after="0" w:line="240" w:lineRule="auto"/>
              <w:rPr>
                <w:rFonts w:cs="Arial"/>
              </w:rPr>
            </w:pPr>
          </w:p>
        </w:tc>
      </w:tr>
      <w:tr w:rsidR="002B2E87" w:rsidRPr="002B2E87" w14:paraId="62FBD337" w14:textId="77777777" w:rsidTr="13CAD302">
        <w:tc>
          <w:tcPr>
            <w:tcW w:w="5000" w:type="pct"/>
            <w:gridSpan w:val="2"/>
            <w:shd w:val="clear" w:color="auto" w:fill="3E5AA8" w:themeFill="accent1"/>
            <w:vAlign w:val="center"/>
          </w:tcPr>
          <w:p w14:paraId="0B4EA425" w14:textId="77777777" w:rsidR="002B2E87" w:rsidRPr="002B2E87" w:rsidRDefault="002B2E87" w:rsidP="002B2E87">
            <w:pPr>
              <w:jc w:val="center"/>
              <w:rPr>
                <w:rFonts w:eastAsia="Times New Roman" w:cs="Arial"/>
                <w:b/>
                <w:szCs w:val="16"/>
              </w:rPr>
            </w:pPr>
            <w:r w:rsidRPr="002B2E87">
              <w:rPr>
                <w:rFonts w:eastAsia="Times New Roman" w:cs="Arial"/>
                <w:b/>
                <w:color w:val="FFFFFF"/>
                <w:sz w:val="20"/>
                <w:szCs w:val="16"/>
              </w:rPr>
              <w:t>Section 3: Funding required to deliver the change</w:t>
            </w:r>
          </w:p>
        </w:tc>
      </w:tr>
      <w:tr w:rsidR="002B2E87" w:rsidRPr="002B2E87" w14:paraId="6FD24823" w14:textId="77777777" w:rsidTr="13CAD302">
        <w:tc>
          <w:tcPr>
            <w:tcW w:w="5000" w:type="pct"/>
            <w:gridSpan w:val="2"/>
            <w:shd w:val="clear" w:color="auto" w:fill="auto"/>
          </w:tcPr>
          <w:p w14:paraId="588D3C32" w14:textId="3D4B3ADC" w:rsidR="00F20F3C" w:rsidRPr="002B5742" w:rsidRDefault="00F20F3C" w:rsidP="002B2E87">
            <w:pPr>
              <w:rPr>
                <w:rFonts w:eastAsia="Times New Roman" w:cs="Arial"/>
                <w:b/>
                <w:sz w:val="16"/>
                <w:szCs w:val="16"/>
              </w:rPr>
            </w:pPr>
          </w:p>
          <w:p w14:paraId="4B0B9CF1" w14:textId="0C0458C3" w:rsidR="008A22D6" w:rsidRPr="002C58D6" w:rsidRDefault="008A22D6" w:rsidP="002B2E87">
            <w:pPr>
              <w:rPr>
                <w:rFonts w:eastAsia="Times New Roman" w:cs="Arial"/>
                <w:sz w:val="18"/>
                <w:szCs w:val="18"/>
              </w:rPr>
            </w:pPr>
            <w:r w:rsidRPr="002C58D6">
              <w:rPr>
                <w:rFonts w:eastAsia="Times New Roman" w:cs="Arial"/>
                <w:sz w:val="18"/>
                <w:szCs w:val="18"/>
              </w:rPr>
              <w:t>The following section outline</w:t>
            </w:r>
            <w:r w:rsidR="002B5742" w:rsidRPr="002C58D6">
              <w:rPr>
                <w:rFonts w:eastAsia="Times New Roman" w:cs="Arial"/>
                <w:sz w:val="18"/>
                <w:szCs w:val="18"/>
              </w:rPr>
              <w:t>s</w:t>
            </w:r>
            <w:r w:rsidRPr="002C58D6">
              <w:rPr>
                <w:rFonts w:eastAsia="Times New Roman" w:cs="Arial"/>
                <w:sz w:val="18"/>
                <w:szCs w:val="18"/>
              </w:rPr>
              <w:t xml:space="preserve"> the </w:t>
            </w:r>
            <w:r w:rsidR="002B5742" w:rsidRPr="002C58D6">
              <w:rPr>
                <w:rFonts w:eastAsia="Times New Roman" w:cs="Arial"/>
                <w:sz w:val="18"/>
                <w:szCs w:val="18"/>
              </w:rPr>
              <w:t xml:space="preserve">proposed </w:t>
            </w:r>
            <w:r w:rsidRPr="002C58D6">
              <w:rPr>
                <w:rFonts w:eastAsia="Times New Roman" w:cs="Arial"/>
                <w:sz w:val="18"/>
                <w:szCs w:val="18"/>
              </w:rPr>
              <w:t xml:space="preserve">costs for </w:t>
            </w:r>
            <w:r w:rsidR="00F24979" w:rsidRPr="002C58D6">
              <w:rPr>
                <w:rFonts w:eastAsia="Times New Roman" w:cs="Arial"/>
                <w:sz w:val="18"/>
                <w:szCs w:val="18"/>
              </w:rPr>
              <w:t>XRN5</w:t>
            </w:r>
            <w:r w:rsidR="002B5742" w:rsidRPr="002C58D6">
              <w:rPr>
                <w:rFonts w:eastAsia="Times New Roman" w:cs="Arial"/>
                <w:sz w:val="18"/>
                <w:szCs w:val="18"/>
              </w:rPr>
              <w:t>253</w:t>
            </w:r>
            <w:r w:rsidR="00F24979" w:rsidRPr="002C58D6">
              <w:rPr>
                <w:rFonts w:eastAsia="Times New Roman" w:cs="Arial"/>
                <w:sz w:val="18"/>
                <w:szCs w:val="18"/>
              </w:rPr>
              <w:t>, including the agreed EQR for Design</w:t>
            </w:r>
            <w:r w:rsidR="00F1776E" w:rsidRPr="002C58D6">
              <w:rPr>
                <w:rFonts w:eastAsia="Times New Roman" w:cs="Arial"/>
                <w:sz w:val="18"/>
                <w:szCs w:val="18"/>
              </w:rPr>
              <w:t xml:space="preserve"> </w:t>
            </w:r>
          </w:p>
          <w:p w14:paraId="4691542E" w14:textId="50575342" w:rsidR="004C7509" w:rsidRPr="002C58D6" w:rsidRDefault="004C7509" w:rsidP="002B2E87">
            <w:pPr>
              <w:rPr>
                <w:rFonts w:eastAsia="Times New Roman" w:cs="Arial"/>
                <w:b/>
                <w:sz w:val="18"/>
                <w:szCs w:val="18"/>
              </w:rPr>
            </w:pPr>
          </w:p>
          <w:p w14:paraId="752F4CA9" w14:textId="59239BA1" w:rsidR="00E70645" w:rsidRPr="002C58D6" w:rsidRDefault="00E70645" w:rsidP="00136998">
            <w:pPr>
              <w:rPr>
                <w:rFonts w:cs="Arial"/>
                <w:b/>
                <w:sz w:val="18"/>
                <w:szCs w:val="18"/>
                <w:u w:val="single"/>
              </w:rPr>
            </w:pPr>
            <w:r w:rsidRPr="002C58D6">
              <w:rPr>
                <w:rFonts w:cs="Arial"/>
                <w:b/>
                <w:sz w:val="18"/>
                <w:szCs w:val="18"/>
                <w:u w:val="single"/>
              </w:rPr>
              <w:t>BER</w:t>
            </w:r>
            <w:r w:rsidR="00F50E2D" w:rsidRPr="002C58D6">
              <w:rPr>
                <w:rFonts w:cs="Arial"/>
                <w:b/>
                <w:sz w:val="18"/>
                <w:szCs w:val="18"/>
                <w:u w:val="single"/>
              </w:rPr>
              <w:t xml:space="preserve"> Costs</w:t>
            </w:r>
            <w:r w:rsidR="007B79DF" w:rsidRPr="002C58D6">
              <w:rPr>
                <w:rFonts w:cs="Arial"/>
                <w:b/>
                <w:sz w:val="18"/>
                <w:szCs w:val="18"/>
                <w:u w:val="single"/>
              </w:rPr>
              <w:t xml:space="preserve"> </w:t>
            </w:r>
          </w:p>
          <w:p w14:paraId="4199B5C4" w14:textId="77777777" w:rsidR="0040241C" w:rsidRPr="002C58D6" w:rsidRDefault="0040241C" w:rsidP="00136998">
            <w:pPr>
              <w:rPr>
                <w:rFonts w:cs="Arial"/>
                <w:sz w:val="18"/>
                <w:szCs w:val="18"/>
              </w:rPr>
            </w:pPr>
          </w:p>
          <w:p w14:paraId="12A52F06" w14:textId="01CB3700" w:rsidR="00765648" w:rsidRPr="002C58D6" w:rsidRDefault="000608B3" w:rsidP="00135C0D">
            <w:pPr>
              <w:rPr>
                <w:rFonts w:cs="Arial"/>
                <w:sz w:val="18"/>
                <w:szCs w:val="18"/>
              </w:rPr>
            </w:pPr>
            <w:r w:rsidRPr="002C58D6">
              <w:rPr>
                <w:rFonts w:cs="Arial"/>
                <w:sz w:val="18"/>
                <w:szCs w:val="18"/>
              </w:rPr>
              <w:t>T</w:t>
            </w:r>
            <w:r w:rsidR="000B332E" w:rsidRPr="002C58D6">
              <w:rPr>
                <w:rFonts w:cs="Arial"/>
                <w:sz w:val="18"/>
                <w:szCs w:val="18"/>
              </w:rPr>
              <w:t>he table below shows</w:t>
            </w:r>
            <w:r w:rsidR="00765648" w:rsidRPr="002C58D6">
              <w:rPr>
                <w:rFonts w:cs="Arial"/>
                <w:sz w:val="18"/>
                <w:szCs w:val="18"/>
              </w:rPr>
              <w:t>:</w:t>
            </w:r>
          </w:p>
          <w:p w14:paraId="1B068828" w14:textId="77777777" w:rsidR="00765648" w:rsidRPr="002C58D6" w:rsidRDefault="00765648" w:rsidP="00135C0D">
            <w:pPr>
              <w:rPr>
                <w:rFonts w:cs="Arial"/>
                <w:sz w:val="18"/>
                <w:szCs w:val="18"/>
              </w:rPr>
            </w:pPr>
          </w:p>
          <w:p w14:paraId="695BCFBD" w14:textId="2EEED6F7" w:rsidR="00765648" w:rsidRPr="002C58D6" w:rsidRDefault="00765648" w:rsidP="003F509A">
            <w:pPr>
              <w:pStyle w:val="ListParagraph"/>
              <w:numPr>
                <w:ilvl w:val="0"/>
                <w:numId w:val="2"/>
              </w:numPr>
              <w:spacing w:after="0" w:line="240" w:lineRule="auto"/>
              <w:rPr>
                <w:rFonts w:cs="Arial"/>
                <w:sz w:val="18"/>
                <w:szCs w:val="18"/>
              </w:rPr>
            </w:pPr>
            <w:r w:rsidRPr="002C58D6">
              <w:rPr>
                <w:rFonts w:cs="Arial"/>
                <w:sz w:val="18"/>
                <w:szCs w:val="18"/>
              </w:rPr>
              <w:t>Approved EQR costs for Des</w:t>
            </w:r>
            <w:r w:rsidR="001E6419">
              <w:rPr>
                <w:rFonts w:cs="Arial"/>
                <w:sz w:val="18"/>
                <w:szCs w:val="18"/>
              </w:rPr>
              <w:t>ign included</w:t>
            </w:r>
          </w:p>
          <w:p w14:paraId="382D8288" w14:textId="0D4C17BB" w:rsidR="00825094" w:rsidRDefault="00191D7E" w:rsidP="00135C0D">
            <w:pPr>
              <w:pStyle w:val="ListParagraph"/>
              <w:numPr>
                <w:ilvl w:val="0"/>
                <w:numId w:val="2"/>
              </w:numPr>
              <w:spacing w:after="0" w:line="240" w:lineRule="auto"/>
              <w:rPr>
                <w:rFonts w:cs="Arial"/>
                <w:sz w:val="18"/>
                <w:szCs w:val="18"/>
              </w:rPr>
            </w:pPr>
            <w:r w:rsidRPr="002C58D6">
              <w:rPr>
                <w:rFonts w:cs="Arial"/>
                <w:sz w:val="18"/>
                <w:szCs w:val="18"/>
              </w:rPr>
              <w:t xml:space="preserve">Firm </w:t>
            </w:r>
            <w:r w:rsidR="001E6419">
              <w:rPr>
                <w:rFonts w:cs="Arial"/>
                <w:sz w:val="18"/>
                <w:szCs w:val="18"/>
              </w:rPr>
              <w:t xml:space="preserve">third party </w:t>
            </w:r>
            <w:r w:rsidR="00F15BD3" w:rsidRPr="002C58D6">
              <w:rPr>
                <w:rFonts w:cs="Arial"/>
                <w:sz w:val="18"/>
                <w:szCs w:val="18"/>
              </w:rPr>
              <w:t xml:space="preserve">UAT </w:t>
            </w:r>
            <w:r w:rsidR="001E6419">
              <w:rPr>
                <w:rFonts w:cs="Arial"/>
                <w:sz w:val="18"/>
                <w:szCs w:val="18"/>
              </w:rPr>
              <w:t>and main delivery costs included</w:t>
            </w:r>
          </w:p>
          <w:p w14:paraId="6CAF1E6C" w14:textId="61A22E05" w:rsidR="00356379" w:rsidRDefault="00356379" w:rsidP="00135C0D">
            <w:pPr>
              <w:pStyle w:val="ListParagraph"/>
              <w:numPr>
                <w:ilvl w:val="0"/>
                <w:numId w:val="2"/>
              </w:numPr>
              <w:spacing w:after="0" w:line="240" w:lineRule="auto"/>
              <w:rPr>
                <w:rFonts w:cs="Arial"/>
                <w:sz w:val="18"/>
                <w:szCs w:val="18"/>
              </w:rPr>
            </w:pPr>
            <w:r>
              <w:rPr>
                <w:rFonts w:cs="Arial"/>
                <w:sz w:val="18"/>
                <w:szCs w:val="18"/>
              </w:rPr>
              <w:lastRenderedPageBreak/>
              <w:t>The costs are inclusive of the 40k sanctioned in the EQR</w:t>
            </w:r>
          </w:p>
          <w:p w14:paraId="5FB0810C" w14:textId="3A2627E9" w:rsidR="00873B21" w:rsidRPr="007B2372" w:rsidRDefault="00873B21" w:rsidP="00873B21">
            <w:pPr>
              <w:pStyle w:val="ListParagraph"/>
              <w:numPr>
                <w:ilvl w:val="0"/>
                <w:numId w:val="2"/>
              </w:numPr>
              <w:spacing w:after="0" w:line="240" w:lineRule="auto"/>
              <w:rPr>
                <w:rFonts w:asciiTheme="minorHAnsi" w:hAnsiTheme="minorHAnsi" w:cstheme="minorHAnsi"/>
                <w:sz w:val="18"/>
                <w:szCs w:val="18"/>
              </w:rPr>
            </w:pPr>
            <w:r w:rsidRPr="007B2372">
              <w:rPr>
                <w:rFonts w:asciiTheme="minorHAnsi" w:hAnsiTheme="minorHAnsi" w:cstheme="minorHAnsi"/>
                <w:sz w:val="18"/>
                <w:szCs w:val="18"/>
              </w:rPr>
              <w:t xml:space="preserve">The revision in cost is for the inclusion of AUGE Set Up Costs previously omitted from the original BER. The AUGE (the independent Allocation of Unidentified Gas Expert) develops the UIG Weighting Factors each year that populate the AUG Table. The AUGE has had to enhance its processes to produce 60 factors instead of 36. There is a one-off set-up cost for this enhancement. </w:t>
            </w:r>
            <w:commentRangeStart w:id="0"/>
            <w:commentRangeEnd w:id="0"/>
          </w:p>
          <w:p w14:paraId="7E61CF84" w14:textId="77777777" w:rsidR="00873B21" w:rsidRPr="00B83820" w:rsidRDefault="00873B21" w:rsidP="00873B21">
            <w:pPr>
              <w:pStyle w:val="ListParagraph"/>
              <w:spacing w:after="0" w:line="240" w:lineRule="auto"/>
              <w:rPr>
                <w:rFonts w:cs="Arial"/>
                <w:color w:val="0070C0"/>
                <w:sz w:val="18"/>
                <w:szCs w:val="18"/>
              </w:rPr>
            </w:pPr>
          </w:p>
          <w:p w14:paraId="150AA14E" w14:textId="53DAFB7C" w:rsidR="00825094" w:rsidRDefault="00825094" w:rsidP="00135C0D">
            <w:pPr>
              <w:rPr>
                <w:rFonts w:cs="Arial"/>
                <w:sz w:val="20"/>
                <w:szCs w:val="20"/>
              </w:rPr>
            </w:pPr>
          </w:p>
          <w:p w14:paraId="12EEAF33" w14:textId="0EA31E09" w:rsidR="00825094" w:rsidRDefault="00825094" w:rsidP="00135C0D">
            <w:pPr>
              <w:rPr>
                <w:rFonts w:cs="Arial"/>
                <w:sz w:val="20"/>
                <w:szCs w:val="20"/>
              </w:rPr>
            </w:pPr>
          </w:p>
          <w:p w14:paraId="6E551811" w14:textId="77777777" w:rsidR="001F350A" w:rsidRDefault="001F350A" w:rsidP="00135C0D">
            <w:pPr>
              <w:rPr>
                <w:rFonts w:cs="Arial"/>
                <w:sz w:val="20"/>
                <w:szCs w:val="20"/>
              </w:rPr>
            </w:pPr>
          </w:p>
          <w:tbl>
            <w:tblPr>
              <w:tblW w:w="9699" w:type="dxa"/>
              <w:tblLayout w:type="fixed"/>
              <w:tblLook w:val="04A0" w:firstRow="1" w:lastRow="0" w:firstColumn="1" w:lastColumn="0" w:noHBand="0" w:noVBand="1"/>
            </w:tblPr>
            <w:tblGrid>
              <w:gridCol w:w="627"/>
              <w:gridCol w:w="1134"/>
              <w:gridCol w:w="992"/>
              <w:gridCol w:w="992"/>
              <w:gridCol w:w="993"/>
              <w:gridCol w:w="1134"/>
              <w:gridCol w:w="708"/>
              <w:gridCol w:w="709"/>
              <w:gridCol w:w="425"/>
              <w:gridCol w:w="567"/>
              <w:gridCol w:w="1418"/>
            </w:tblGrid>
            <w:tr w:rsidR="00B83820" w:rsidRPr="00B83820" w14:paraId="5D01F510" w14:textId="77777777" w:rsidTr="00B83820">
              <w:trPr>
                <w:trHeight w:val="702"/>
              </w:trPr>
              <w:tc>
                <w:tcPr>
                  <w:tcW w:w="627" w:type="dxa"/>
                  <w:tcBorders>
                    <w:top w:val="single" w:sz="4" w:space="0" w:color="auto"/>
                    <w:left w:val="single" w:sz="4" w:space="0" w:color="auto"/>
                    <w:bottom w:val="single" w:sz="4" w:space="0" w:color="auto"/>
                    <w:right w:val="single" w:sz="4" w:space="0" w:color="auto"/>
                  </w:tcBorders>
                  <w:shd w:val="clear" w:color="000000" w:fill="44546A"/>
                  <w:noWrap/>
                  <w:vAlign w:val="center"/>
                  <w:hideMark/>
                </w:tcPr>
                <w:p w14:paraId="2579BE5A" w14:textId="77777777" w:rsidR="00B83820" w:rsidRPr="00B83820" w:rsidRDefault="00B83820" w:rsidP="00B83820">
                  <w:pPr>
                    <w:spacing w:after="0" w:line="240" w:lineRule="auto"/>
                    <w:jc w:val="center"/>
                    <w:rPr>
                      <w:rFonts w:ascii="Calibri" w:eastAsia="Times New Roman" w:hAnsi="Calibri" w:cs="Calibri"/>
                      <w:b/>
                      <w:bCs/>
                      <w:color w:val="FFFFFF"/>
                      <w:sz w:val="12"/>
                      <w:szCs w:val="12"/>
                    </w:rPr>
                  </w:pPr>
                  <w:r w:rsidRPr="00B83820">
                    <w:rPr>
                      <w:rFonts w:ascii="Calibri" w:eastAsia="Times New Roman" w:hAnsi="Calibri" w:cs="Calibri"/>
                      <w:b/>
                      <w:bCs/>
                      <w:color w:val="FFFFFF"/>
                      <w:sz w:val="12"/>
                      <w:szCs w:val="12"/>
                    </w:rPr>
                    <w:t>XRN Ref</w:t>
                  </w:r>
                </w:p>
              </w:tc>
              <w:tc>
                <w:tcPr>
                  <w:tcW w:w="1134" w:type="dxa"/>
                  <w:tcBorders>
                    <w:top w:val="single" w:sz="4" w:space="0" w:color="auto"/>
                    <w:left w:val="nil"/>
                    <w:bottom w:val="single" w:sz="4" w:space="0" w:color="auto"/>
                    <w:right w:val="single" w:sz="4" w:space="0" w:color="auto"/>
                  </w:tcBorders>
                  <w:shd w:val="clear" w:color="000000" w:fill="44546A"/>
                  <w:vAlign w:val="center"/>
                  <w:hideMark/>
                </w:tcPr>
                <w:p w14:paraId="4A883798" w14:textId="77777777" w:rsidR="00B83820" w:rsidRPr="00B83820" w:rsidRDefault="00B83820" w:rsidP="00B83820">
                  <w:pPr>
                    <w:spacing w:after="0" w:line="240" w:lineRule="auto"/>
                    <w:jc w:val="center"/>
                    <w:rPr>
                      <w:rFonts w:ascii="Calibri" w:eastAsia="Times New Roman" w:hAnsi="Calibri" w:cs="Calibri"/>
                      <w:b/>
                      <w:bCs/>
                      <w:color w:val="FFFFFF"/>
                      <w:sz w:val="12"/>
                      <w:szCs w:val="12"/>
                    </w:rPr>
                  </w:pPr>
                  <w:r w:rsidRPr="00B83820">
                    <w:rPr>
                      <w:rFonts w:ascii="Calibri" w:eastAsia="Times New Roman" w:hAnsi="Calibri" w:cs="Calibri"/>
                      <w:b/>
                      <w:bCs/>
                      <w:color w:val="FFFFFF"/>
                      <w:sz w:val="12"/>
                      <w:szCs w:val="12"/>
                    </w:rPr>
                    <w:t>Design EQR</w:t>
                  </w:r>
                </w:p>
              </w:tc>
              <w:tc>
                <w:tcPr>
                  <w:tcW w:w="992" w:type="dxa"/>
                  <w:tcBorders>
                    <w:top w:val="single" w:sz="4" w:space="0" w:color="auto"/>
                    <w:left w:val="nil"/>
                    <w:bottom w:val="single" w:sz="4" w:space="0" w:color="auto"/>
                    <w:right w:val="single" w:sz="4" w:space="0" w:color="auto"/>
                  </w:tcBorders>
                  <w:shd w:val="clear" w:color="000000" w:fill="44546A"/>
                  <w:vAlign w:val="center"/>
                  <w:hideMark/>
                </w:tcPr>
                <w:p w14:paraId="66C9A532" w14:textId="77777777" w:rsidR="00B83820" w:rsidRPr="00B83820" w:rsidRDefault="00B83820" w:rsidP="00B83820">
                  <w:pPr>
                    <w:spacing w:after="0" w:line="240" w:lineRule="auto"/>
                    <w:jc w:val="center"/>
                    <w:rPr>
                      <w:rFonts w:ascii="Calibri" w:eastAsia="Times New Roman" w:hAnsi="Calibri" w:cs="Calibri"/>
                      <w:b/>
                      <w:bCs/>
                      <w:color w:val="FFFFFF"/>
                      <w:sz w:val="12"/>
                      <w:szCs w:val="12"/>
                    </w:rPr>
                  </w:pPr>
                  <w:r w:rsidRPr="00B83820">
                    <w:rPr>
                      <w:rFonts w:ascii="Calibri" w:eastAsia="Times New Roman" w:hAnsi="Calibri" w:cs="Calibri"/>
                      <w:b/>
                      <w:bCs/>
                      <w:color w:val="FFFFFF"/>
                      <w:sz w:val="12"/>
                      <w:szCs w:val="12"/>
                    </w:rPr>
                    <w:t xml:space="preserve">Delivery </w:t>
                  </w:r>
                </w:p>
              </w:tc>
              <w:tc>
                <w:tcPr>
                  <w:tcW w:w="992" w:type="dxa"/>
                  <w:tcBorders>
                    <w:top w:val="single" w:sz="4" w:space="0" w:color="auto"/>
                    <w:left w:val="nil"/>
                    <w:bottom w:val="single" w:sz="4" w:space="0" w:color="auto"/>
                    <w:right w:val="single" w:sz="4" w:space="0" w:color="auto"/>
                  </w:tcBorders>
                  <w:shd w:val="clear" w:color="000000" w:fill="44546A"/>
                  <w:vAlign w:val="center"/>
                  <w:hideMark/>
                </w:tcPr>
                <w:p w14:paraId="60D36D57" w14:textId="77777777" w:rsidR="00B83820" w:rsidRPr="00B83820" w:rsidRDefault="00B83820" w:rsidP="00B83820">
                  <w:pPr>
                    <w:spacing w:after="0" w:line="240" w:lineRule="auto"/>
                    <w:jc w:val="center"/>
                    <w:rPr>
                      <w:rFonts w:ascii="Calibri" w:eastAsia="Times New Roman" w:hAnsi="Calibri" w:cs="Calibri"/>
                      <w:b/>
                      <w:bCs/>
                      <w:color w:val="FFFFFF"/>
                      <w:sz w:val="12"/>
                      <w:szCs w:val="12"/>
                    </w:rPr>
                  </w:pPr>
                  <w:r w:rsidRPr="00B83820">
                    <w:rPr>
                      <w:rFonts w:ascii="Calibri" w:eastAsia="Times New Roman" w:hAnsi="Calibri" w:cs="Calibri"/>
                      <w:b/>
                      <w:bCs/>
                      <w:color w:val="FFFFFF"/>
                      <w:sz w:val="12"/>
                      <w:szCs w:val="12"/>
                    </w:rPr>
                    <w:t>UAT</w:t>
                  </w:r>
                </w:p>
              </w:tc>
              <w:tc>
                <w:tcPr>
                  <w:tcW w:w="993" w:type="dxa"/>
                  <w:tcBorders>
                    <w:top w:val="single" w:sz="4" w:space="0" w:color="auto"/>
                    <w:left w:val="nil"/>
                    <w:bottom w:val="single" w:sz="4" w:space="0" w:color="auto"/>
                    <w:right w:val="single" w:sz="4" w:space="0" w:color="auto"/>
                  </w:tcBorders>
                  <w:shd w:val="clear" w:color="000000" w:fill="44546A"/>
                  <w:vAlign w:val="center"/>
                  <w:hideMark/>
                </w:tcPr>
                <w:p w14:paraId="2A169E50" w14:textId="3E089888" w:rsidR="00B83820" w:rsidRPr="007956C6" w:rsidRDefault="0044755A" w:rsidP="00B83820">
                  <w:pPr>
                    <w:spacing w:after="0" w:line="240" w:lineRule="auto"/>
                    <w:jc w:val="center"/>
                    <w:rPr>
                      <w:rFonts w:ascii="Calibri" w:eastAsia="Times New Roman" w:hAnsi="Calibri" w:cs="Calibri"/>
                      <w:b/>
                      <w:bCs/>
                      <w:color w:val="0070C0"/>
                      <w:sz w:val="12"/>
                      <w:szCs w:val="12"/>
                    </w:rPr>
                  </w:pPr>
                  <w:r w:rsidRPr="007956C6">
                    <w:rPr>
                      <w:rFonts w:ascii="Calibri" w:eastAsia="Times New Roman" w:hAnsi="Calibri" w:cs="Calibri"/>
                      <w:b/>
                      <w:bCs/>
                      <w:color w:val="0070C0"/>
                      <w:sz w:val="12"/>
                      <w:szCs w:val="12"/>
                    </w:rPr>
                    <w:t>AUGE Set Up Costs</w:t>
                  </w:r>
                </w:p>
              </w:tc>
              <w:tc>
                <w:tcPr>
                  <w:tcW w:w="1134" w:type="dxa"/>
                  <w:tcBorders>
                    <w:top w:val="single" w:sz="4" w:space="0" w:color="auto"/>
                    <w:left w:val="nil"/>
                    <w:bottom w:val="single" w:sz="4" w:space="0" w:color="auto"/>
                    <w:right w:val="single" w:sz="4" w:space="0" w:color="auto"/>
                  </w:tcBorders>
                  <w:shd w:val="clear" w:color="000000" w:fill="44546A"/>
                  <w:vAlign w:val="center"/>
                </w:tcPr>
                <w:p w14:paraId="08AE031A" w14:textId="24BDA998" w:rsidR="00B83820" w:rsidRPr="00B83820" w:rsidRDefault="00B83820" w:rsidP="00B83820">
                  <w:pPr>
                    <w:spacing w:after="0" w:line="240" w:lineRule="auto"/>
                    <w:jc w:val="center"/>
                    <w:rPr>
                      <w:rFonts w:ascii="Calibri" w:eastAsia="Times New Roman" w:hAnsi="Calibri" w:cs="Calibri"/>
                      <w:b/>
                      <w:bCs/>
                      <w:color w:val="FFFFFF"/>
                      <w:sz w:val="12"/>
                      <w:szCs w:val="12"/>
                    </w:rPr>
                  </w:pPr>
                  <w:r w:rsidRPr="00B83820">
                    <w:rPr>
                      <w:rFonts w:ascii="Calibri" w:eastAsia="Times New Roman" w:hAnsi="Calibri" w:cs="Calibri"/>
                      <w:b/>
                      <w:bCs/>
                      <w:color w:val="FFFFFF"/>
                      <w:sz w:val="12"/>
                      <w:szCs w:val="12"/>
                    </w:rPr>
                    <w:t>Delivery Total</w:t>
                  </w:r>
                </w:p>
              </w:tc>
              <w:tc>
                <w:tcPr>
                  <w:tcW w:w="708" w:type="dxa"/>
                  <w:tcBorders>
                    <w:top w:val="single" w:sz="4" w:space="0" w:color="auto"/>
                    <w:left w:val="single" w:sz="4" w:space="0" w:color="auto"/>
                    <w:bottom w:val="single" w:sz="4" w:space="0" w:color="auto"/>
                    <w:right w:val="single" w:sz="4" w:space="0" w:color="auto"/>
                  </w:tcBorders>
                  <w:shd w:val="clear" w:color="000000" w:fill="44546A"/>
                  <w:vAlign w:val="center"/>
                </w:tcPr>
                <w:p w14:paraId="61A811E1" w14:textId="789D6545" w:rsidR="00B83820" w:rsidRPr="00B83820" w:rsidRDefault="00B83820" w:rsidP="00B83820">
                  <w:pPr>
                    <w:spacing w:after="0" w:line="240" w:lineRule="auto"/>
                    <w:jc w:val="center"/>
                    <w:rPr>
                      <w:rFonts w:ascii="Calibri" w:eastAsia="Times New Roman" w:hAnsi="Calibri" w:cs="Calibri"/>
                      <w:b/>
                      <w:bCs/>
                      <w:color w:val="FFFFFF"/>
                      <w:sz w:val="12"/>
                      <w:szCs w:val="12"/>
                    </w:rPr>
                  </w:pPr>
                  <w:r>
                    <w:rPr>
                      <w:rFonts w:ascii="Calibri" w:eastAsia="Times New Roman" w:hAnsi="Calibri" w:cs="Calibri"/>
                      <w:b/>
                      <w:bCs/>
                      <w:color w:val="FFFFFF"/>
                      <w:sz w:val="12"/>
                      <w:szCs w:val="12"/>
                    </w:rPr>
                    <w:t>Risk Margin</w:t>
                  </w:r>
                </w:p>
              </w:tc>
              <w:tc>
                <w:tcPr>
                  <w:tcW w:w="709" w:type="dxa"/>
                  <w:tcBorders>
                    <w:top w:val="single" w:sz="4" w:space="0" w:color="auto"/>
                    <w:left w:val="nil"/>
                    <w:bottom w:val="single" w:sz="4" w:space="0" w:color="auto"/>
                    <w:right w:val="single" w:sz="4" w:space="0" w:color="auto"/>
                  </w:tcBorders>
                  <w:shd w:val="clear" w:color="000000" w:fill="44546A"/>
                  <w:vAlign w:val="center"/>
                  <w:hideMark/>
                </w:tcPr>
                <w:p w14:paraId="42BD62F6" w14:textId="7158404F" w:rsidR="00B83820" w:rsidRPr="00B83820" w:rsidRDefault="00B83820" w:rsidP="00B83820">
                  <w:pPr>
                    <w:spacing w:after="0" w:line="240" w:lineRule="auto"/>
                    <w:jc w:val="center"/>
                    <w:rPr>
                      <w:rFonts w:ascii="Calibri" w:eastAsia="Times New Roman" w:hAnsi="Calibri" w:cs="Calibri"/>
                      <w:b/>
                      <w:bCs/>
                      <w:color w:val="FFFFFF"/>
                      <w:sz w:val="12"/>
                      <w:szCs w:val="12"/>
                    </w:rPr>
                  </w:pPr>
                  <w:r w:rsidRPr="00B83820">
                    <w:rPr>
                      <w:rFonts w:ascii="Calibri" w:eastAsia="Times New Roman" w:hAnsi="Calibri" w:cs="Calibri"/>
                      <w:b/>
                      <w:bCs/>
                      <w:color w:val="FFFFFF"/>
                      <w:sz w:val="12"/>
                      <w:szCs w:val="12"/>
                    </w:rPr>
                    <w:t>Shipper</w:t>
                  </w:r>
                </w:p>
              </w:tc>
              <w:tc>
                <w:tcPr>
                  <w:tcW w:w="425" w:type="dxa"/>
                  <w:tcBorders>
                    <w:top w:val="single" w:sz="4" w:space="0" w:color="auto"/>
                    <w:left w:val="nil"/>
                    <w:bottom w:val="single" w:sz="4" w:space="0" w:color="auto"/>
                    <w:right w:val="single" w:sz="4" w:space="0" w:color="auto"/>
                  </w:tcBorders>
                  <w:shd w:val="clear" w:color="000000" w:fill="44546A"/>
                  <w:vAlign w:val="center"/>
                  <w:hideMark/>
                </w:tcPr>
                <w:p w14:paraId="768A5579" w14:textId="77777777" w:rsidR="00B83820" w:rsidRPr="00B83820" w:rsidRDefault="00B83820" w:rsidP="00B83820">
                  <w:pPr>
                    <w:spacing w:after="0" w:line="240" w:lineRule="auto"/>
                    <w:jc w:val="center"/>
                    <w:rPr>
                      <w:rFonts w:ascii="Calibri" w:eastAsia="Times New Roman" w:hAnsi="Calibri" w:cs="Calibri"/>
                      <w:b/>
                      <w:bCs/>
                      <w:color w:val="FFFFFF"/>
                      <w:sz w:val="12"/>
                      <w:szCs w:val="12"/>
                    </w:rPr>
                  </w:pPr>
                  <w:r w:rsidRPr="00B83820">
                    <w:rPr>
                      <w:rFonts w:ascii="Calibri" w:eastAsia="Times New Roman" w:hAnsi="Calibri" w:cs="Calibri"/>
                      <w:b/>
                      <w:bCs/>
                      <w:color w:val="FFFFFF"/>
                      <w:sz w:val="12"/>
                      <w:szCs w:val="12"/>
                    </w:rPr>
                    <w:t>DN</w:t>
                  </w:r>
                </w:p>
              </w:tc>
              <w:tc>
                <w:tcPr>
                  <w:tcW w:w="567" w:type="dxa"/>
                  <w:tcBorders>
                    <w:top w:val="single" w:sz="4" w:space="0" w:color="auto"/>
                    <w:left w:val="nil"/>
                    <w:bottom w:val="single" w:sz="4" w:space="0" w:color="auto"/>
                    <w:right w:val="single" w:sz="4" w:space="0" w:color="auto"/>
                  </w:tcBorders>
                  <w:shd w:val="clear" w:color="000000" w:fill="44546A"/>
                  <w:vAlign w:val="center"/>
                  <w:hideMark/>
                </w:tcPr>
                <w:p w14:paraId="33FE088E" w14:textId="77777777" w:rsidR="00B83820" w:rsidRPr="00B83820" w:rsidRDefault="00B83820" w:rsidP="00B83820">
                  <w:pPr>
                    <w:spacing w:after="0" w:line="240" w:lineRule="auto"/>
                    <w:jc w:val="center"/>
                    <w:rPr>
                      <w:rFonts w:ascii="Calibri" w:eastAsia="Times New Roman" w:hAnsi="Calibri" w:cs="Calibri"/>
                      <w:b/>
                      <w:bCs/>
                      <w:color w:val="FFFFFF"/>
                      <w:sz w:val="12"/>
                      <w:szCs w:val="12"/>
                    </w:rPr>
                  </w:pPr>
                  <w:r w:rsidRPr="00B83820">
                    <w:rPr>
                      <w:rFonts w:ascii="Calibri" w:eastAsia="Times New Roman" w:hAnsi="Calibri" w:cs="Calibri"/>
                      <w:b/>
                      <w:bCs/>
                      <w:color w:val="FFFFFF"/>
                      <w:sz w:val="12"/>
                      <w:szCs w:val="12"/>
                    </w:rPr>
                    <w:t>IGT</w:t>
                  </w:r>
                </w:p>
              </w:tc>
              <w:tc>
                <w:tcPr>
                  <w:tcW w:w="1418" w:type="dxa"/>
                  <w:tcBorders>
                    <w:top w:val="single" w:sz="4" w:space="0" w:color="auto"/>
                    <w:left w:val="nil"/>
                    <w:bottom w:val="single" w:sz="4" w:space="0" w:color="auto"/>
                    <w:right w:val="single" w:sz="4" w:space="0" w:color="auto"/>
                  </w:tcBorders>
                  <w:shd w:val="clear" w:color="000000" w:fill="44546A"/>
                  <w:vAlign w:val="center"/>
                  <w:hideMark/>
                </w:tcPr>
                <w:p w14:paraId="339B0455" w14:textId="77777777" w:rsidR="00B83820" w:rsidRPr="00B83820" w:rsidRDefault="00B83820" w:rsidP="00B83820">
                  <w:pPr>
                    <w:spacing w:after="0" w:line="240" w:lineRule="auto"/>
                    <w:jc w:val="center"/>
                    <w:rPr>
                      <w:rFonts w:ascii="Calibri" w:eastAsia="Times New Roman" w:hAnsi="Calibri" w:cs="Calibri"/>
                      <w:b/>
                      <w:bCs/>
                      <w:color w:val="FFFFFF"/>
                      <w:sz w:val="12"/>
                      <w:szCs w:val="12"/>
                    </w:rPr>
                  </w:pPr>
                  <w:r w:rsidRPr="00B83820">
                    <w:rPr>
                      <w:rFonts w:ascii="Calibri" w:eastAsia="Times New Roman" w:hAnsi="Calibri" w:cs="Calibri"/>
                      <w:b/>
                      <w:bCs/>
                      <w:color w:val="FFFFFF"/>
                      <w:sz w:val="12"/>
                      <w:szCs w:val="12"/>
                    </w:rPr>
                    <w:t>Total</w:t>
                  </w:r>
                </w:p>
              </w:tc>
            </w:tr>
            <w:tr w:rsidR="00B83820" w:rsidRPr="00B83820" w14:paraId="2AD9E855" w14:textId="77777777" w:rsidTr="00B83820">
              <w:trPr>
                <w:trHeight w:val="401"/>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14:paraId="2F234BE4" w14:textId="77777777" w:rsidR="00B83820" w:rsidRPr="00B83820" w:rsidRDefault="00B83820" w:rsidP="00B83820">
                  <w:pPr>
                    <w:spacing w:after="0" w:line="240" w:lineRule="auto"/>
                    <w:jc w:val="center"/>
                    <w:rPr>
                      <w:rFonts w:ascii="Calibri" w:eastAsia="Times New Roman" w:hAnsi="Calibri" w:cs="Calibri"/>
                      <w:color w:val="000000"/>
                      <w:sz w:val="12"/>
                      <w:szCs w:val="12"/>
                    </w:rPr>
                  </w:pPr>
                  <w:r w:rsidRPr="00B83820">
                    <w:rPr>
                      <w:rFonts w:ascii="Calibri" w:eastAsia="Times New Roman" w:hAnsi="Calibri" w:cs="Calibri"/>
                      <w:color w:val="000000"/>
                      <w:sz w:val="12"/>
                      <w:szCs w:val="12"/>
                    </w:rPr>
                    <w:t>5093</w:t>
                  </w:r>
                </w:p>
              </w:tc>
              <w:tc>
                <w:tcPr>
                  <w:tcW w:w="1134" w:type="dxa"/>
                  <w:tcBorders>
                    <w:top w:val="nil"/>
                    <w:left w:val="nil"/>
                    <w:bottom w:val="single" w:sz="4" w:space="0" w:color="auto"/>
                    <w:right w:val="single" w:sz="4" w:space="0" w:color="auto"/>
                  </w:tcBorders>
                  <w:shd w:val="clear" w:color="auto" w:fill="auto"/>
                  <w:noWrap/>
                  <w:vAlign w:val="center"/>
                  <w:hideMark/>
                </w:tcPr>
                <w:p w14:paraId="782344F0" w14:textId="77777777" w:rsidR="00B83820" w:rsidRPr="00B83820" w:rsidRDefault="00B83820" w:rsidP="00B83820">
                  <w:pPr>
                    <w:spacing w:after="0" w:line="240" w:lineRule="auto"/>
                    <w:jc w:val="center"/>
                    <w:rPr>
                      <w:rFonts w:ascii="Calibri" w:eastAsia="Times New Roman" w:hAnsi="Calibri" w:cs="Calibri"/>
                      <w:color w:val="000000"/>
                      <w:sz w:val="12"/>
                      <w:szCs w:val="12"/>
                    </w:rPr>
                  </w:pPr>
                  <w:r w:rsidRPr="00B83820">
                    <w:rPr>
                      <w:rFonts w:ascii="Calibri" w:eastAsia="Times New Roman" w:hAnsi="Calibri" w:cs="Calibri"/>
                      <w:color w:val="000000"/>
                      <w:sz w:val="12"/>
                      <w:szCs w:val="12"/>
                    </w:rPr>
                    <w:t xml:space="preserve"> £            20,000 </w:t>
                  </w:r>
                </w:p>
              </w:tc>
              <w:tc>
                <w:tcPr>
                  <w:tcW w:w="992" w:type="dxa"/>
                  <w:tcBorders>
                    <w:top w:val="nil"/>
                    <w:left w:val="nil"/>
                    <w:bottom w:val="single" w:sz="4" w:space="0" w:color="auto"/>
                    <w:right w:val="single" w:sz="4" w:space="0" w:color="auto"/>
                  </w:tcBorders>
                  <w:shd w:val="clear" w:color="auto" w:fill="auto"/>
                  <w:noWrap/>
                  <w:vAlign w:val="center"/>
                  <w:hideMark/>
                </w:tcPr>
                <w:p w14:paraId="7C18A697" w14:textId="378F2E13" w:rsidR="00B83820" w:rsidRPr="00B83820" w:rsidRDefault="00B83820" w:rsidP="00B83820">
                  <w:pPr>
                    <w:spacing w:after="0" w:line="240" w:lineRule="auto"/>
                    <w:jc w:val="center"/>
                    <w:rPr>
                      <w:rFonts w:ascii="Calibri" w:eastAsia="Times New Roman" w:hAnsi="Calibri" w:cs="Calibri"/>
                      <w:color w:val="000000"/>
                      <w:sz w:val="12"/>
                      <w:szCs w:val="12"/>
                    </w:rPr>
                  </w:pPr>
                  <w:r w:rsidRPr="00B83820">
                    <w:rPr>
                      <w:rFonts w:ascii="Calibri" w:eastAsia="Times New Roman" w:hAnsi="Calibri" w:cs="Calibri"/>
                      <w:color w:val="000000"/>
                      <w:sz w:val="12"/>
                      <w:szCs w:val="12"/>
                    </w:rPr>
                    <w:t xml:space="preserve"> £        250,768 </w:t>
                  </w:r>
                </w:p>
              </w:tc>
              <w:tc>
                <w:tcPr>
                  <w:tcW w:w="992" w:type="dxa"/>
                  <w:tcBorders>
                    <w:top w:val="nil"/>
                    <w:left w:val="nil"/>
                    <w:bottom w:val="single" w:sz="4" w:space="0" w:color="auto"/>
                    <w:right w:val="single" w:sz="4" w:space="0" w:color="auto"/>
                  </w:tcBorders>
                  <w:shd w:val="clear" w:color="auto" w:fill="auto"/>
                  <w:noWrap/>
                  <w:vAlign w:val="center"/>
                  <w:hideMark/>
                </w:tcPr>
                <w:p w14:paraId="58BBF55A" w14:textId="77777777" w:rsidR="00B83820" w:rsidRPr="00B83820" w:rsidRDefault="00B83820" w:rsidP="00B83820">
                  <w:pPr>
                    <w:spacing w:after="0" w:line="240" w:lineRule="auto"/>
                    <w:jc w:val="center"/>
                    <w:rPr>
                      <w:rFonts w:ascii="Calibri" w:eastAsia="Times New Roman" w:hAnsi="Calibri" w:cs="Calibri"/>
                      <w:color w:val="000000"/>
                      <w:sz w:val="12"/>
                      <w:szCs w:val="12"/>
                    </w:rPr>
                  </w:pPr>
                  <w:r w:rsidRPr="00B83820">
                    <w:rPr>
                      <w:rFonts w:ascii="Calibri" w:eastAsia="Times New Roman" w:hAnsi="Calibri" w:cs="Calibri"/>
                      <w:color w:val="000000"/>
                      <w:sz w:val="12"/>
                      <w:szCs w:val="12"/>
                    </w:rPr>
                    <w:t xml:space="preserve"> £           40,295 </w:t>
                  </w:r>
                </w:p>
              </w:tc>
              <w:tc>
                <w:tcPr>
                  <w:tcW w:w="993" w:type="dxa"/>
                  <w:tcBorders>
                    <w:top w:val="nil"/>
                    <w:left w:val="nil"/>
                    <w:bottom w:val="single" w:sz="4" w:space="0" w:color="auto"/>
                    <w:right w:val="single" w:sz="4" w:space="0" w:color="auto"/>
                  </w:tcBorders>
                  <w:shd w:val="clear" w:color="auto" w:fill="auto"/>
                  <w:noWrap/>
                  <w:vAlign w:val="center"/>
                  <w:hideMark/>
                </w:tcPr>
                <w:p w14:paraId="3DC05955" w14:textId="1D64122F" w:rsidR="00B83820" w:rsidRPr="007956C6" w:rsidRDefault="00B83820" w:rsidP="00B83820">
                  <w:pPr>
                    <w:spacing w:after="0" w:line="240" w:lineRule="auto"/>
                    <w:jc w:val="center"/>
                    <w:rPr>
                      <w:rFonts w:ascii="Calibri" w:eastAsia="Times New Roman" w:hAnsi="Calibri" w:cs="Calibri"/>
                      <w:color w:val="0070C0"/>
                      <w:sz w:val="12"/>
                      <w:szCs w:val="12"/>
                    </w:rPr>
                  </w:pPr>
                  <w:r w:rsidRPr="007956C6">
                    <w:rPr>
                      <w:rFonts w:ascii="Calibri" w:eastAsia="Times New Roman" w:hAnsi="Calibri" w:cs="Calibri"/>
                      <w:color w:val="0070C0"/>
                      <w:sz w:val="12"/>
                      <w:szCs w:val="12"/>
                    </w:rPr>
                    <w:t xml:space="preserve"> £19,000 </w:t>
                  </w:r>
                </w:p>
              </w:tc>
              <w:tc>
                <w:tcPr>
                  <w:tcW w:w="1134" w:type="dxa"/>
                  <w:tcBorders>
                    <w:top w:val="nil"/>
                    <w:left w:val="nil"/>
                    <w:bottom w:val="single" w:sz="4" w:space="0" w:color="auto"/>
                    <w:right w:val="single" w:sz="4" w:space="0" w:color="auto"/>
                  </w:tcBorders>
                  <w:vAlign w:val="center"/>
                </w:tcPr>
                <w:p w14:paraId="4867213D" w14:textId="5F66FA38" w:rsidR="00B83820" w:rsidRPr="00B83820" w:rsidRDefault="00B83820" w:rsidP="00B83820">
                  <w:pPr>
                    <w:spacing w:after="0" w:line="240" w:lineRule="auto"/>
                    <w:jc w:val="center"/>
                    <w:rPr>
                      <w:rFonts w:ascii="Calibri" w:eastAsia="Times New Roman" w:hAnsi="Calibri" w:cs="Calibri"/>
                      <w:color w:val="000000"/>
                      <w:sz w:val="12"/>
                      <w:szCs w:val="12"/>
                    </w:rPr>
                  </w:pPr>
                  <w:r w:rsidRPr="00B83820">
                    <w:rPr>
                      <w:rFonts w:ascii="Calibri" w:eastAsia="Times New Roman" w:hAnsi="Calibri" w:cs="Calibri"/>
                      <w:color w:val="000000"/>
                      <w:sz w:val="12"/>
                      <w:szCs w:val="12"/>
                    </w:rPr>
                    <w:t xml:space="preserve"> £        3</w:t>
                  </w:r>
                  <w:r w:rsidR="00B87F74">
                    <w:rPr>
                      <w:rFonts w:ascii="Calibri" w:eastAsia="Times New Roman" w:hAnsi="Calibri" w:cs="Calibri"/>
                      <w:color w:val="000000"/>
                      <w:sz w:val="12"/>
                      <w:szCs w:val="12"/>
                    </w:rPr>
                    <w:t>30</w:t>
                  </w:r>
                  <w:r w:rsidRPr="00B83820">
                    <w:rPr>
                      <w:rFonts w:ascii="Calibri" w:eastAsia="Times New Roman" w:hAnsi="Calibri" w:cs="Calibri"/>
                      <w:color w:val="000000"/>
                      <w:sz w:val="12"/>
                      <w:szCs w:val="12"/>
                    </w:rPr>
                    <w:t xml:space="preserve">,063 </w:t>
                  </w:r>
                </w:p>
              </w:tc>
              <w:tc>
                <w:tcPr>
                  <w:tcW w:w="708" w:type="dxa"/>
                  <w:tcBorders>
                    <w:top w:val="nil"/>
                    <w:left w:val="single" w:sz="4" w:space="0" w:color="auto"/>
                    <w:bottom w:val="single" w:sz="4" w:space="0" w:color="auto"/>
                    <w:right w:val="single" w:sz="4" w:space="0" w:color="auto"/>
                  </w:tcBorders>
                  <w:shd w:val="clear" w:color="auto" w:fill="auto"/>
                  <w:vAlign w:val="center"/>
                </w:tcPr>
                <w:p w14:paraId="477F2417" w14:textId="049D98A7" w:rsidR="00B83820" w:rsidRPr="00B83820" w:rsidRDefault="00B83820" w:rsidP="00B83820">
                  <w:pPr>
                    <w:spacing w:after="0" w:line="240" w:lineRule="auto"/>
                    <w:ind w:left="150"/>
                    <w:jc w:val="center"/>
                    <w:rPr>
                      <w:rFonts w:ascii="Calibri" w:eastAsia="Times New Roman" w:hAnsi="Calibri" w:cs="Calibri"/>
                      <w:color w:val="000000"/>
                      <w:sz w:val="12"/>
                      <w:szCs w:val="12"/>
                    </w:rPr>
                  </w:pPr>
                  <w:r w:rsidRPr="00B83820">
                    <w:rPr>
                      <w:rFonts w:ascii="Calibri" w:eastAsia="Times New Roman" w:hAnsi="Calibri" w:cs="Calibri"/>
                      <w:color w:val="000000"/>
                      <w:sz w:val="12"/>
                      <w:szCs w:val="12"/>
                    </w:rPr>
                    <w:t xml:space="preserve">23,000 </w:t>
                  </w:r>
                </w:p>
              </w:tc>
              <w:tc>
                <w:tcPr>
                  <w:tcW w:w="709" w:type="dxa"/>
                  <w:tcBorders>
                    <w:top w:val="nil"/>
                    <w:left w:val="nil"/>
                    <w:bottom w:val="single" w:sz="4" w:space="0" w:color="auto"/>
                    <w:right w:val="single" w:sz="4" w:space="0" w:color="auto"/>
                  </w:tcBorders>
                  <w:shd w:val="clear" w:color="auto" w:fill="auto"/>
                  <w:noWrap/>
                  <w:vAlign w:val="center"/>
                  <w:hideMark/>
                </w:tcPr>
                <w:p w14:paraId="254A59D1" w14:textId="5D3B5029" w:rsidR="00B83820" w:rsidRPr="00B83820" w:rsidRDefault="00B83820" w:rsidP="00B83820">
                  <w:pPr>
                    <w:spacing w:after="0" w:line="240" w:lineRule="auto"/>
                    <w:jc w:val="center"/>
                    <w:rPr>
                      <w:rFonts w:ascii="Calibri" w:eastAsia="Times New Roman" w:hAnsi="Calibri" w:cs="Calibri"/>
                      <w:color w:val="000000"/>
                      <w:sz w:val="12"/>
                      <w:szCs w:val="12"/>
                    </w:rPr>
                  </w:pPr>
                  <w:r w:rsidRPr="00B83820">
                    <w:rPr>
                      <w:rFonts w:ascii="Calibri" w:eastAsia="Times New Roman" w:hAnsi="Calibri" w:cs="Calibri"/>
                      <w:color w:val="000000"/>
                      <w:sz w:val="12"/>
                      <w:szCs w:val="12"/>
                    </w:rPr>
                    <w:t>100%</w:t>
                  </w:r>
                </w:p>
              </w:tc>
              <w:tc>
                <w:tcPr>
                  <w:tcW w:w="425" w:type="dxa"/>
                  <w:tcBorders>
                    <w:top w:val="nil"/>
                    <w:left w:val="nil"/>
                    <w:bottom w:val="single" w:sz="4" w:space="0" w:color="auto"/>
                    <w:right w:val="single" w:sz="4" w:space="0" w:color="auto"/>
                  </w:tcBorders>
                  <w:shd w:val="clear" w:color="auto" w:fill="auto"/>
                  <w:noWrap/>
                  <w:vAlign w:val="center"/>
                  <w:hideMark/>
                </w:tcPr>
                <w:p w14:paraId="30647E25" w14:textId="77777777" w:rsidR="00B83820" w:rsidRPr="00B83820" w:rsidRDefault="00B83820" w:rsidP="00B83820">
                  <w:pPr>
                    <w:spacing w:after="0" w:line="240" w:lineRule="auto"/>
                    <w:jc w:val="center"/>
                    <w:rPr>
                      <w:rFonts w:ascii="Calibri" w:eastAsia="Times New Roman" w:hAnsi="Calibri" w:cs="Calibri"/>
                      <w:color w:val="000000"/>
                      <w:sz w:val="12"/>
                      <w:szCs w:val="12"/>
                    </w:rPr>
                  </w:pPr>
                  <w:r w:rsidRPr="00B83820">
                    <w:rPr>
                      <w:rFonts w:ascii="Calibri" w:eastAsia="Times New Roman" w:hAnsi="Calibri" w:cs="Calibri"/>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14:paraId="1A481567" w14:textId="77777777" w:rsidR="00B83820" w:rsidRPr="00B83820" w:rsidRDefault="00B83820" w:rsidP="00B83820">
                  <w:pPr>
                    <w:spacing w:after="0" w:line="240" w:lineRule="auto"/>
                    <w:jc w:val="center"/>
                    <w:rPr>
                      <w:rFonts w:ascii="Calibri" w:eastAsia="Times New Roman" w:hAnsi="Calibri" w:cs="Calibri"/>
                      <w:color w:val="000000"/>
                      <w:sz w:val="12"/>
                      <w:szCs w:val="12"/>
                    </w:rPr>
                  </w:pPr>
                  <w:r w:rsidRPr="00B83820">
                    <w:rPr>
                      <w:rFonts w:ascii="Calibri" w:eastAsia="Times New Roman" w:hAnsi="Calibri" w:cs="Calibri"/>
                      <w:color w:val="000000"/>
                      <w:sz w:val="12"/>
                      <w:szCs w:val="12"/>
                    </w:rPr>
                    <w:t> </w:t>
                  </w:r>
                </w:p>
              </w:tc>
              <w:tc>
                <w:tcPr>
                  <w:tcW w:w="1418" w:type="dxa"/>
                  <w:tcBorders>
                    <w:top w:val="nil"/>
                    <w:left w:val="nil"/>
                    <w:bottom w:val="single" w:sz="4" w:space="0" w:color="auto"/>
                    <w:right w:val="single" w:sz="4" w:space="0" w:color="auto"/>
                  </w:tcBorders>
                  <w:shd w:val="clear" w:color="auto" w:fill="auto"/>
                  <w:noWrap/>
                  <w:vAlign w:val="center"/>
                  <w:hideMark/>
                </w:tcPr>
                <w:p w14:paraId="5A69E097" w14:textId="402EC421" w:rsidR="00B83820" w:rsidRPr="00B83820" w:rsidRDefault="00B83820" w:rsidP="00B83820">
                  <w:pPr>
                    <w:spacing w:after="0" w:line="240" w:lineRule="auto"/>
                    <w:jc w:val="center"/>
                    <w:rPr>
                      <w:rFonts w:ascii="Calibri" w:eastAsia="Times New Roman" w:hAnsi="Calibri" w:cs="Calibri"/>
                      <w:color w:val="000000"/>
                      <w:sz w:val="12"/>
                      <w:szCs w:val="12"/>
                    </w:rPr>
                  </w:pPr>
                  <w:r w:rsidRPr="00B83820">
                    <w:rPr>
                      <w:rFonts w:ascii="Calibri" w:eastAsia="Times New Roman" w:hAnsi="Calibri" w:cs="Calibri"/>
                      <w:color w:val="000000"/>
                      <w:sz w:val="12"/>
                      <w:szCs w:val="12"/>
                    </w:rPr>
                    <w:t xml:space="preserve"> £              3</w:t>
                  </w:r>
                  <w:r w:rsidR="007956C6">
                    <w:rPr>
                      <w:rFonts w:ascii="Calibri" w:eastAsia="Times New Roman" w:hAnsi="Calibri" w:cs="Calibri"/>
                      <w:color w:val="000000"/>
                      <w:sz w:val="12"/>
                      <w:szCs w:val="12"/>
                    </w:rPr>
                    <w:t>53</w:t>
                  </w:r>
                  <w:r w:rsidRPr="00B83820">
                    <w:rPr>
                      <w:rFonts w:ascii="Calibri" w:eastAsia="Times New Roman" w:hAnsi="Calibri" w:cs="Calibri"/>
                      <w:color w:val="000000"/>
                      <w:sz w:val="12"/>
                      <w:szCs w:val="12"/>
                    </w:rPr>
                    <w:t>,063</w:t>
                  </w:r>
                </w:p>
              </w:tc>
            </w:tr>
            <w:tr w:rsidR="00B83820" w:rsidRPr="00B83820" w14:paraId="3FD0D4E5" w14:textId="77777777" w:rsidTr="00B83820">
              <w:trPr>
                <w:trHeight w:val="401"/>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14:paraId="04B2D8CD" w14:textId="77777777" w:rsidR="00B83820" w:rsidRPr="00B83820" w:rsidRDefault="00B83820" w:rsidP="00B83820">
                  <w:pPr>
                    <w:spacing w:after="0" w:line="240" w:lineRule="auto"/>
                    <w:jc w:val="center"/>
                    <w:rPr>
                      <w:rFonts w:ascii="Calibri" w:eastAsia="Times New Roman" w:hAnsi="Calibri" w:cs="Calibri"/>
                      <w:color w:val="000000"/>
                      <w:sz w:val="12"/>
                      <w:szCs w:val="12"/>
                    </w:rPr>
                  </w:pPr>
                  <w:r w:rsidRPr="00B83820">
                    <w:rPr>
                      <w:rFonts w:ascii="Calibri" w:eastAsia="Times New Roman" w:hAnsi="Calibri" w:cs="Calibri"/>
                      <w:color w:val="000000"/>
                      <w:sz w:val="12"/>
                      <w:szCs w:val="12"/>
                    </w:rPr>
                    <w:t>4941</w:t>
                  </w:r>
                </w:p>
              </w:tc>
              <w:tc>
                <w:tcPr>
                  <w:tcW w:w="1134" w:type="dxa"/>
                  <w:tcBorders>
                    <w:top w:val="nil"/>
                    <w:left w:val="nil"/>
                    <w:bottom w:val="single" w:sz="4" w:space="0" w:color="auto"/>
                    <w:right w:val="single" w:sz="4" w:space="0" w:color="auto"/>
                  </w:tcBorders>
                  <w:shd w:val="clear" w:color="auto" w:fill="auto"/>
                  <w:noWrap/>
                  <w:vAlign w:val="center"/>
                  <w:hideMark/>
                </w:tcPr>
                <w:p w14:paraId="5C33F4BB" w14:textId="77777777" w:rsidR="00B83820" w:rsidRPr="00B83820" w:rsidRDefault="00B83820" w:rsidP="00B83820">
                  <w:pPr>
                    <w:spacing w:after="0" w:line="240" w:lineRule="auto"/>
                    <w:jc w:val="center"/>
                    <w:rPr>
                      <w:rFonts w:ascii="Calibri" w:eastAsia="Times New Roman" w:hAnsi="Calibri" w:cs="Calibri"/>
                      <w:color w:val="000000"/>
                      <w:sz w:val="12"/>
                      <w:szCs w:val="12"/>
                    </w:rPr>
                  </w:pPr>
                  <w:r w:rsidRPr="00B83820">
                    <w:rPr>
                      <w:rFonts w:ascii="Calibri" w:eastAsia="Times New Roman" w:hAnsi="Calibri" w:cs="Calibri"/>
                      <w:color w:val="000000"/>
                      <w:sz w:val="12"/>
                      <w:szCs w:val="12"/>
                    </w:rPr>
                    <w:t xml:space="preserve"> £            10,000 </w:t>
                  </w:r>
                </w:p>
              </w:tc>
              <w:tc>
                <w:tcPr>
                  <w:tcW w:w="992" w:type="dxa"/>
                  <w:tcBorders>
                    <w:top w:val="nil"/>
                    <w:left w:val="nil"/>
                    <w:bottom w:val="single" w:sz="4" w:space="0" w:color="auto"/>
                    <w:right w:val="single" w:sz="4" w:space="0" w:color="auto"/>
                  </w:tcBorders>
                  <w:shd w:val="clear" w:color="auto" w:fill="auto"/>
                  <w:noWrap/>
                  <w:vAlign w:val="center"/>
                  <w:hideMark/>
                </w:tcPr>
                <w:p w14:paraId="504095FB" w14:textId="77777777" w:rsidR="00B83820" w:rsidRPr="00B83820" w:rsidRDefault="00B83820" w:rsidP="00B83820">
                  <w:pPr>
                    <w:spacing w:after="0" w:line="240" w:lineRule="auto"/>
                    <w:jc w:val="center"/>
                    <w:rPr>
                      <w:rFonts w:ascii="Calibri" w:eastAsia="Times New Roman" w:hAnsi="Calibri" w:cs="Calibri"/>
                      <w:color w:val="000000"/>
                      <w:sz w:val="12"/>
                      <w:szCs w:val="12"/>
                    </w:rPr>
                  </w:pPr>
                  <w:r w:rsidRPr="00B83820">
                    <w:rPr>
                      <w:rFonts w:ascii="Calibri" w:eastAsia="Times New Roman" w:hAnsi="Calibri" w:cs="Calibri"/>
                      <w:color w:val="000000"/>
                      <w:sz w:val="12"/>
                      <w:szCs w:val="12"/>
                    </w:rPr>
                    <w:t> </w:t>
                  </w:r>
                </w:p>
              </w:tc>
              <w:tc>
                <w:tcPr>
                  <w:tcW w:w="992" w:type="dxa"/>
                  <w:tcBorders>
                    <w:top w:val="nil"/>
                    <w:left w:val="nil"/>
                    <w:bottom w:val="single" w:sz="4" w:space="0" w:color="auto"/>
                    <w:right w:val="single" w:sz="4" w:space="0" w:color="auto"/>
                  </w:tcBorders>
                  <w:shd w:val="clear" w:color="auto" w:fill="auto"/>
                  <w:noWrap/>
                  <w:vAlign w:val="center"/>
                  <w:hideMark/>
                </w:tcPr>
                <w:p w14:paraId="58C6952D" w14:textId="77777777" w:rsidR="00B83820" w:rsidRPr="00B83820" w:rsidRDefault="00B83820" w:rsidP="00B83820">
                  <w:pPr>
                    <w:spacing w:after="0" w:line="240" w:lineRule="auto"/>
                    <w:jc w:val="center"/>
                    <w:rPr>
                      <w:rFonts w:ascii="Calibri" w:eastAsia="Times New Roman" w:hAnsi="Calibri" w:cs="Calibri"/>
                      <w:color w:val="000000"/>
                      <w:sz w:val="12"/>
                      <w:szCs w:val="12"/>
                    </w:rPr>
                  </w:pPr>
                  <w:r w:rsidRPr="00B83820">
                    <w:rPr>
                      <w:rFonts w:ascii="Calibri" w:eastAsia="Times New Roman" w:hAnsi="Calibri" w:cs="Calibri"/>
                      <w:color w:val="000000"/>
                      <w:sz w:val="12"/>
                      <w:szCs w:val="12"/>
                    </w:rPr>
                    <w:t> </w:t>
                  </w:r>
                </w:p>
              </w:tc>
              <w:tc>
                <w:tcPr>
                  <w:tcW w:w="993" w:type="dxa"/>
                  <w:tcBorders>
                    <w:top w:val="nil"/>
                    <w:left w:val="nil"/>
                    <w:bottom w:val="single" w:sz="4" w:space="0" w:color="auto"/>
                    <w:right w:val="single" w:sz="4" w:space="0" w:color="auto"/>
                  </w:tcBorders>
                  <w:shd w:val="clear" w:color="auto" w:fill="auto"/>
                  <w:noWrap/>
                  <w:vAlign w:val="center"/>
                  <w:hideMark/>
                </w:tcPr>
                <w:p w14:paraId="5555B4C4" w14:textId="77777777" w:rsidR="00B83820" w:rsidRPr="007956C6" w:rsidRDefault="00B83820" w:rsidP="00B83820">
                  <w:pPr>
                    <w:spacing w:after="0" w:line="240" w:lineRule="auto"/>
                    <w:jc w:val="center"/>
                    <w:rPr>
                      <w:rFonts w:ascii="Calibri" w:eastAsia="Times New Roman" w:hAnsi="Calibri" w:cs="Calibri"/>
                      <w:color w:val="0070C0"/>
                      <w:sz w:val="12"/>
                      <w:szCs w:val="12"/>
                    </w:rPr>
                  </w:pPr>
                  <w:r w:rsidRPr="007956C6">
                    <w:rPr>
                      <w:rFonts w:ascii="Calibri" w:eastAsia="Times New Roman" w:hAnsi="Calibri" w:cs="Calibri"/>
                      <w:color w:val="0070C0"/>
                      <w:sz w:val="12"/>
                      <w:szCs w:val="12"/>
                    </w:rPr>
                    <w:t> </w:t>
                  </w:r>
                </w:p>
              </w:tc>
              <w:tc>
                <w:tcPr>
                  <w:tcW w:w="1134" w:type="dxa"/>
                  <w:tcBorders>
                    <w:top w:val="nil"/>
                    <w:left w:val="nil"/>
                    <w:bottom w:val="single" w:sz="4" w:space="0" w:color="auto"/>
                    <w:right w:val="single" w:sz="4" w:space="0" w:color="auto"/>
                  </w:tcBorders>
                  <w:vAlign w:val="center"/>
                </w:tcPr>
                <w:p w14:paraId="547DB546" w14:textId="342E1ACC" w:rsidR="00B83820" w:rsidRPr="00B83820" w:rsidRDefault="00B83820" w:rsidP="00B83820">
                  <w:pPr>
                    <w:spacing w:after="0" w:line="240" w:lineRule="auto"/>
                    <w:jc w:val="center"/>
                    <w:rPr>
                      <w:rFonts w:ascii="Calibri" w:eastAsia="Times New Roman" w:hAnsi="Calibri" w:cs="Calibri"/>
                      <w:color w:val="000000"/>
                      <w:sz w:val="12"/>
                      <w:szCs w:val="12"/>
                    </w:rPr>
                  </w:pPr>
                  <w:r w:rsidRPr="00B83820">
                    <w:rPr>
                      <w:rFonts w:ascii="Calibri" w:eastAsia="Times New Roman" w:hAnsi="Calibri" w:cs="Calibri"/>
                      <w:color w:val="000000"/>
                      <w:sz w:val="12"/>
                      <w:szCs w:val="12"/>
                    </w:rPr>
                    <w:t> </w:t>
                  </w:r>
                </w:p>
              </w:tc>
              <w:tc>
                <w:tcPr>
                  <w:tcW w:w="708" w:type="dxa"/>
                  <w:tcBorders>
                    <w:top w:val="nil"/>
                    <w:left w:val="single" w:sz="4" w:space="0" w:color="auto"/>
                    <w:bottom w:val="single" w:sz="4" w:space="0" w:color="auto"/>
                    <w:right w:val="single" w:sz="4" w:space="0" w:color="auto"/>
                  </w:tcBorders>
                  <w:shd w:val="clear" w:color="auto" w:fill="auto"/>
                  <w:vAlign w:val="center"/>
                </w:tcPr>
                <w:p w14:paraId="51FE174B" w14:textId="6198D773" w:rsidR="00B83820" w:rsidRPr="00B83820" w:rsidRDefault="00B83820" w:rsidP="00B83820">
                  <w:pPr>
                    <w:spacing w:after="0" w:line="240" w:lineRule="auto"/>
                    <w:jc w:val="center"/>
                    <w:rPr>
                      <w:rFonts w:ascii="Calibri" w:eastAsia="Times New Roman" w:hAnsi="Calibri" w:cs="Calibri"/>
                      <w:color w:val="000000"/>
                      <w:sz w:val="12"/>
                      <w:szCs w:val="12"/>
                    </w:rPr>
                  </w:pPr>
                  <w:r w:rsidRPr="00B83820">
                    <w:rPr>
                      <w:rFonts w:ascii="Calibri" w:eastAsia="Times New Roman" w:hAnsi="Calibri" w:cs="Calibri"/>
                      <w:color w:val="000000"/>
                      <w:sz w:val="12"/>
                      <w:szCs w:val="12"/>
                    </w:rPr>
                    <w:t> </w:t>
                  </w:r>
                </w:p>
              </w:tc>
              <w:tc>
                <w:tcPr>
                  <w:tcW w:w="709" w:type="dxa"/>
                  <w:tcBorders>
                    <w:top w:val="nil"/>
                    <w:left w:val="nil"/>
                    <w:bottom w:val="single" w:sz="4" w:space="0" w:color="auto"/>
                    <w:right w:val="single" w:sz="4" w:space="0" w:color="auto"/>
                  </w:tcBorders>
                  <w:shd w:val="clear" w:color="auto" w:fill="auto"/>
                  <w:noWrap/>
                  <w:vAlign w:val="center"/>
                  <w:hideMark/>
                </w:tcPr>
                <w:p w14:paraId="5070FC03" w14:textId="64E2204D" w:rsidR="00B83820" w:rsidRPr="00B83820" w:rsidRDefault="00B83820" w:rsidP="00B83820">
                  <w:pPr>
                    <w:spacing w:after="0" w:line="240" w:lineRule="auto"/>
                    <w:jc w:val="center"/>
                    <w:rPr>
                      <w:rFonts w:ascii="Calibri" w:eastAsia="Times New Roman" w:hAnsi="Calibri" w:cs="Calibri"/>
                      <w:color w:val="000000"/>
                      <w:sz w:val="12"/>
                      <w:szCs w:val="12"/>
                    </w:rPr>
                  </w:pPr>
                  <w:r w:rsidRPr="00B83820">
                    <w:rPr>
                      <w:rFonts w:ascii="Calibri" w:eastAsia="Times New Roman" w:hAnsi="Calibri" w:cs="Calibri"/>
                      <w:color w:val="000000"/>
                      <w:sz w:val="12"/>
                      <w:szCs w:val="12"/>
                    </w:rPr>
                    <w:t>100%</w:t>
                  </w:r>
                </w:p>
              </w:tc>
              <w:tc>
                <w:tcPr>
                  <w:tcW w:w="425" w:type="dxa"/>
                  <w:tcBorders>
                    <w:top w:val="nil"/>
                    <w:left w:val="nil"/>
                    <w:bottom w:val="single" w:sz="4" w:space="0" w:color="auto"/>
                    <w:right w:val="single" w:sz="4" w:space="0" w:color="auto"/>
                  </w:tcBorders>
                  <w:shd w:val="clear" w:color="auto" w:fill="auto"/>
                  <w:noWrap/>
                  <w:vAlign w:val="center"/>
                  <w:hideMark/>
                </w:tcPr>
                <w:p w14:paraId="1980DD94" w14:textId="77777777" w:rsidR="00B83820" w:rsidRPr="00B83820" w:rsidRDefault="00B83820" w:rsidP="00B83820">
                  <w:pPr>
                    <w:spacing w:after="0" w:line="240" w:lineRule="auto"/>
                    <w:jc w:val="center"/>
                    <w:rPr>
                      <w:rFonts w:ascii="Calibri" w:eastAsia="Times New Roman" w:hAnsi="Calibri" w:cs="Calibri"/>
                      <w:color w:val="000000"/>
                      <w:sz w:val="12"/>
                      <w:szCs w:val="12"/>
                    </w:rPr>
                  </w:pPr>
                  <w:r w:rsidRPr="00B83820">
                    <w:rPr>
                      <w:rFonts w:ascii="Calibri" w:eastAsia="Times New Roman" w:hAnsi="Calibri" w:cs="Calibri"/>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14:paraId="7FC12C1C" w14:textId="77777777" w:rsidR="00B83820" w:rsidRPr="00B83820" w:rsidRDefault="00B83820" w:rsidP="00B83820">
                  <w:pPr>
                    <w:spacing w:after="0" w:line="240" w:lineRule="auto"/>
                    <w:jc w:val="center"/>
                    <w:rPr>
                      <w:rFonts w:ascii="Calibri" w:eastAsia="Times New Roman" w:hAnsi="Calibri" w:cs="Calibri"/>
                      <w:color w:val="000000"/>
                      <w:sz w:val="12"/>
                      <w:szCs w:val="12"/>
                    </w:rPr>
                  </w:pPr>
                  <w:r w:rsidRPr="00B83820">
                    <w:rPr>
                      <w:rFonts w:ascii="Calibri" w:eastAsia="Times New Roman" w:hAnsi="Calibri" w:cs="Calibri"/>
                      <w:color w:val="000000"/>
                      <w:sz w:val="12"/>
                      <w:szCs w:val="12"/>
                    </w:rPr>
                    <w:t> </w:t>
                  </w:r>
                </w:p>
              </w:tc>
              <w:tc>
                <w:tcPr>
                  <w:tcW w:w="1418" w:type="dxa"/>
                  <w:tcBorders>
                    <w:top w:val="nil"/>
                    <w:left w:val="nil"/>
                    <w:bottom w:val="single" w:sz="4" w:space="0" w:color="auto"/>
                    <w:right w:val="single" w:sz="4" w:space="0" w:color="auto"/>
                  </w:tcBorders>
                  <w:shd w:val="clear" w:color="auto" w:fill="auto"/>
                  <w:noWrap/>
                  <w:vAlign w:val="center"/>
                  <w:hideMark/>
                </w:tcPr>
                <w:p w14:paraId="30C63AF7" w14:textId="77777777" w:rsidR="00B83820" w:rsidRPr="00B83820" w:rsidRDefault="00B83820" w:rsidP="00B83820">
                  <w:pPr>
                    <w:spacing w:after="0" w:line="240" w:lineRule="auto"/>
                    <w:jc w:val="center"/>
                    <w:rPr>
                      <w:rFonts w:ascii="Calibri" w:eastAsia="Times New Roman" w:hAnsi="Calibri" w:cs="Calibri"/>
                      <w:color w:val="000000"/>
                      <w:sz w:val="12"/>
                      <w:szCs w:val="12"/>
                    </w:rPr>
                  </w:pPr>
                  <w:r w:rsidRPr="00B83820">
                    <w:rPr>
                      <w:rFonts w:ascii="Calibri" w:eastAsia="Times New Roman" w:hAnsi="Calibri" w:cs="Calibri"/>
                      <w:color w:val="000000"/>
                      <w:sz w:val="12"/>
                      <w:szCs w:val="12"/>
                    </w:rPr>
                    <w:t xml:space="preserve"> £                10,000 </w:t>
                  </w:r>
                </w:p>
              </w:tc>
            </w:tr>
            <w:tr w:rsidR="00B83820" w:rsidRPr="00B83820" w14:paraId="57AE9A51" w14:textId="77777777" w:rsidTr="00B83820">
              <w:trPr>
                <w:trHeight w:val="401"/>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14:paraId="498433C0" w14:textId="77777777" w:rsidR="00B83820" w:rsidRPr="00B83820" w:rsidRDefault="00B83820" w:rsidP="00B83820">
                  <w:pPr>
                    <w:spacing w:after="0" w:line="240" w:lineRule="auto"/>
                    <w:jc w:val="center"/>
                    <w:rPr>
                      <w:rFonts w:ascii="Calibri" w:eastAsia="Times New Roman" w:hAnsi="Calibri" w:cs="Calibri"/>
                      <w:color w:val="000000"/>
                      <w:sz w:val="12"/>
                      <w:szCs w:val="12"/>
                    </w:rPr>
                  </w:pPr>
                  <w:r w:rsidRPr="00B83820">
                    <w:rPr>
                      <w:rFonts w:ascii="Calibri" w:eastAsia="Times New Roman" w:hAnsi="Calibri" w:cs="Calibri"/>
                      <w:color w:val="000000"/>
                      <w:sz w:val="12"/>
                      <w:szCs w:val="12"/>
                    </w:rPr>
                    <w:t>4992</w:t>
                  </w:r>
                </w:p>
              </w:tc>
              <w:tc>
                <w:tcPr>
                  <w:tcW w:w="1134" w:type="dxa"/>
                  <w:tcBorders>
                    <w:top w:val="nil"/>
                    <w:left w:val="nil"/>
                    <w:bottom w:val="single" w:sz="4" w:space="0" w:color="auto"/>
                    <w:right w:val="single" w:sz="4" w:space="0" w:color="auto"/>
                  </w:tcBorders>
                  <w:shd w:val="clear" w:color="auto" w:fill="auto"/>
                  <w:noWrap/>
                  <w:vAlign w:val="center"/>
                  <w:hideMark/>
                </w:tcPr>
                <w:p w14:paraId="6FC22F6E" w14:textId="77777777" w:rsidR="00B83820" w:rsidRPr="00B83820" w:rsidRDefault="00B83820" w:rsidP="00B83820">
                  <w:pPr>
                    <w:spacing w:after="0" w:line="240" w:lineRule="auto"/>
                    <w:jc w:val="center"/>
                    <w:rPr>
                      <w:rFonts w:ascii="Calibri" w:eastAsia="Times New Roman" w:hAnsi="Calibri" w:cs="Calibri"/>
                      <w:color w:val="000000"/>
                      <w:sz w:val="12"/>
                      <w:szCs w:val="12"/>
                    </w:rPr>
                  </w:pPr>
                  <w:r w:rsidRPr="00B83820">
                    <w:rPr>
                      <w:rFonts w:ascii="Calibri" w:eastAsia="Times New Roman" w:hAnsi="Calibri" w:cs="Calibri"/>
                      <w:color w:val="000000"/>
                      <w:sz w:val="12"/>
                      <w:szCs w:val="12"/>
                    </w:rPr>
                    <w:t xml:space="preserve"> £            10,000 </w:t>
                  </w:r>
                </w:p>
              </w:tc>
              <w:tc>
                <w:tcPr>
                  <w:tcW w:w="992" w:type="dxa"/>
                  <w:tcBorders>
                    <w:top w:val="nil"/>
                    <w:left w:val="nil"/>
                    <w:bottom w:val="single" w:sz="4" w:space="0" w:color="auto"/>
                    <w:right w:val="single" w:sz="4" w:space="0" w:color="auto"/>
                  </w:tcBorders>
                  <w:shd w:val="clear" w:color="auto" w:fill="auto"/>
                  <w:noWrap/>
                  <w:vAlign w:val="center"/>
                  <w:hideMark/>
                </w:tcPr>
                <w:p w14:paraId="07A27145" w14:textId="77777777" w:rsidR="00B83820" w:rsidRPr="00B83820" w:rsidRDefault="00B83820" w:rsidP="00B83820">
                  <w:pPr>
                    <w:spacing w:after="0" w:line="240" w:lineRule="auto"/>
                    <w:jc w:val="center"/>
                    <w:rPr>
                      <w:rFonts w:ascii="Calibri" w:eastAsia="Times New Roman" w:hAnsi="Calibri" w:cs="Calibri"/>
                      <w:color w:val="000000"/>
                      <w:sz w:val="12"/>
                      <w:szCs w:val="12"/>
                    </w:rPr>
                  </w:pPr>
                  <w:r w:rsidRPr="00B83820">
                    <w:rPr>
                      <w:rFonts w:ascii="Calibri" w:eastAsia="Times New Roman" w:hAnsi="Calibri" w:cs="Calibri"/>
                      <w:color w:val="000000"/>
                      <w:sz w:val="12"/>
                      <w:szCs w:val="12"/>
                    </w:rPr>
                    <w:t> </w:t>
                  </w:r>
                </w:p>
              </w:tc>
              <w:tc>
                <w:tcPr>
                  <w:tcW w:w="992" w:type="dxa"/>
                  <w:tcBorders>
                    <w:top w:val="nil"/>
                    <w:left w:val="nil"/>
                    <w:bottom w:val="single" w:sz="4" w:space="0" w:color="auto"/>
                    <w:right w:val="single" w:sz="4" w:space="0" w:color="auto"/>
                  </w:tcBorders>
                  <w:shd w:val="clear" w:color="auto" w:fill="auto"/>
                  <w:noWrap/>
                  <w:vAlign w:val="center"/>
                  <w:hideMark/>
                </w:tcPr>
                <w:p w14:paraId="7DE02387" w14:textId="77777777" w:rsidR="00B83820" w:rsidRPr="00B83820" w:rsidRDefault="00B83820" w:rsidP="00B83820">
                  <w:pPr>
                    <w:spacing w:after="0" w:line="240" w:lineRule="auto"/>
                    <w:jc w:val="center"/>
                    <w:rPr>
                      <w:rFonts w:ascii="Calibri" w:eastAsia="Times New Roman" w:hAnsi="Calibri" w:cs="Calibri"/>
                      <w:color w:val="000000"/>
                      <w:sz w:val="12"/>
                      <w:szCs w:val="12"/>
                    </w:rPr>
                  </w:pPr>
                  <w:r w:rsidRPr="00B83820">
                    <w:rPr>
                      <w:rFonts w:ascii="Calibri" w:eastAsia="Times New Roman" w:hAnsi="Calibri" w:cs="Calibri"/>
                      <w:color w:val="000000"/>
                      <w:sz w:val="12"/>
                      <w:szCs w:val="12"/>
                    </w:rPr>
                    <w:t> </w:t>
                  </w:r>
                </w:p>
              </w:tc>
              <w:tc>
                <w:tcPr>
                  <w:tcW w:w="993" w:type="dxa"/>
                  <w:tcBorders>
                    <w:top w:val="nil"/>
                    <w:left w:val="nil"/>
                    <w:bottom w:val="single" w:sz="4" w:space="0" w:color="auto"/>
                    <w:right w:val="single" w:sz="4" w:space="0" w:color="auto"/>
                  </w:tcBorders>
                  <w:shd w:val="clear" w:color="auto" w:fill="auto"/>
                  <w:noWrap/>
                  <w:vAlign w:val="center"/>
                  <w:hideMark/>
                </w:tcPr>
                <w:p w14:paraId="1ABFEC7A" w14:textId="77777777" w:rsidR="00B83820" w:rsidRPr="007956C6" w:rsidRDefault="00B83820" w:rsidP="00B83820">
                  <w:pPr>
                    <w:spacing w:after="0" w:line="240" w:lineRule="auto"/>
                    <w:jc w:val="center"/>
                    <w:rPr>
                      <w:rFonts w:ascii="Calibri" w:eastAsia="Times New Roman" w:hAnsi="Calibri" w:cs="Calibri"/>
                      <w:color w:val="0070C0"/>
                      <w:sz w:val="12"/>
                      <w:szCs w:val="12"/>
                    </w:rPr>
                  </w:pPr>
                  <w:r w:rsidRPr="007956C6">
                    <w:rPr>
                      <w:rFonts w:ascii="Calibri" w:eastAsia="Times New Roman" w:hAnsi="Calibri" w:cs="Calibri"/>
                      <w:color w:val="0070C0"/>
                      <w:sz w:val="12"/>
                      <w:szCs w:val="12"/>
                    </w:rPr>
                    <w:t> </w:t>
                  </w:r>
                </w:p>
              </w:tc>
              <w:tc>
                <w:tcPr>
                  <w:tcW w:w="1134" w:type="dxa"/>
                  <w:tcBorders>
                    <w:top w:val="nil"/>
                    <w:left w:val="nil"/>
                    <w:bottom w:val="single" w:sz="4" w:space="0" w:color="auto"/>
                    <w:right w:val="single" w:sz="4" w:space="0" w:color="auto"/>
                  </w:tcBorders>
                  <w:vAlign w:val="center"/>
                </w:tcPr>
                <w:p w14:paraId="054F2622" w14:textId="67C6DD0C" w:rsidR="00B83820" w:rsidRPr="00B83820" w:rsidRDefault="00B83820" w:rsidP="00B83820">
                  <w:pPr>
                    <w:spacing w:after="0" w:line="240" w:lineRule="auto"/>
                    <w:jc w:val="center"/>
                    <w:rPr>
                      <w:rFonts w:ascii="Calibri" w:eastAsia="Times New Roman" w:hAnsi="Calibri" w:cs="Calibri"/>
                      <w:color w:val="000000"/>
                      <w:sz w:val="12"/>
                      <w:szCs w:val="12"/>
                    </w:rPr>
                  </w:pPr>
                  <w:r w:rsidRPr="00B83820">
                    <w:rPr>
                      <w:rFonts w:ascii="Calibri" w:eastAsia="Times New Roman" w:hAnsi="Calibri" w:cs="Calibri"/>
                      <w:color w:val="000000"/>
                      <w:sz w:val="12"/>
                      <w:szCs w:val="12"/>
                    </w:rPr>
                    <w:t> </w:t>
                  </w:r>
                </w:p>
              </w:tc>
              <w:tc>
                <w:tcPr>
                  <w:tcW w:w="708" w:type="dxa"/>
                  <w:tcBorders>
                    <w:top w:val="nil"/>
                    <w:left w:val="single" w:sz="4" w:space="0" w:color="auto"/>
                    <w:bottom w:val="single" w:sz="4" w:space="0" w:color="auto"/>
                    <w:right w:val="single" w:sz="4" w:space="0" w:color="auto"/>
                  </w:tcBorders>
                  <w:shd w:val="clear" w:color="auto" w:fill="auto"/>
                  <w:vAlign w:val="center"/>
                </w:tcPr>
                <w:p w14:paraId="1A98DBF5" w14:textId="16374A58" w:rsidR="00B83820" w:rsidRPr="00B83820" w:rsidRDefault="00B83820" w:rsidP="00B83820">
                  <w:pPr>
                    <w:spacing w:after="0" w:line="240" w:lineRule="auto"/>
                    <w:jc w:val="center"/>
                    <w:rPr>
                      <w:rFonts w:ascii="Calibri" w:eastAsia="Times New Roman" w:hAnsi="Calibri" w:cs="Calibri"/>
                      <w:color w:val="000000"/>
                      <w:sz w:val="12"/>
                      <w:szCs w:val="12"/>
                    </w:rPr>
                  </w:pPr>
                  <w:r w:rsidRPr="00B83820">
                    <w:rPr>
                      <w:rFonts w:ascii="Calibri" w:eastAsia="Times New Roman" w:hAnsi="Calibri" w:cs="Calibri"/>
                      <w:color w:val="000000"/>
                      <w:sz w:val="12"/>
                      <w:szCs w:val="12"/>
                    </w:rPr>
                    <w:t> </w:t>
                  </w:r>
                </w:p>
              </w:tc>
              <w:tc>
                <w:tcPr>
                  <w:tcW w:w="709" w:type="dxa"/>
                  <w:tcBorders>
                    <w:top w:val="nil"/>
                    <w:left w:val="nil"/>
                    <w:bottom w:val="single" w:sz="4" w:space="0" w:color="auto"/>
                    <w:right w:val="single" w:sz="4" w:space="0" w:color="auto"/>
                  </w:tcBorders>
                  <w:shd w:val="clear" w:color="auto" w:fill="auto"/>
                  <w:noWrap/>
                  <w:vAlign w:val="center"/>
                  <w:hideMark/>
                </w:tcPr>
                <w:p w14:paraId="593B297F" w14:textId="192AD0CC" w:rsidR="00B83820" w:rsidRPr="00B83820" w:rsidRDefault="00B83820" w:rsidP="00B83820">
                  <w:pPr>
                    <w:spacing w:after="0" w:line="240" w:lineRule="auto"/>
                    <w:jc w:val="center"/>
                    <w:rPr>
                      <w:rFonts w:ascii="Calibri" w:eastAsia="Times New Roman" w:hAnsi="Calibri" w:cs="Calibri"/>
                      <w:color w:val="000000"/>
                      <w:sz w:val="12"/>
                      <w:szCs w:val="12"/>
                    </w:rPr>
                  </w:pPr>
                  <w:r w:rsidRPr="00B83820">
                    <w:rPr>
                      <w:rFonts w:ascii="Calibri" w:eastAsia="Times New Roman" w:hAnsi="Calibri" w:cs="Calibri"/>
                      <w:color w:val="000000"/>
                      <w:sz w:val="12"/>
                      <w:szCs w:val="12"/>
                    </w:rPr>
                    <w:t>100%</w:t>
                  </w:r>
                </w:p>
              </w:tc>
              <w:tc>
                <w:tcPr>
                  <w:tcW w:w="425" w:type="dxa"/>
                  <w:tcBorders>
                    <w:top w:val="nil"/>
                    <w:left w:val="nil"/>
                    <w:bottom w:val="single" w:sz="4" w:space="0" w:color="auto"/>
                    <w:right w:val="single" w:sz="4" w:space="0" w:color="auto"/>
                  </w:tcBorders>
                  <w:shd w:val="clear" w:color="auto" w:fill="auto"/>
                  <w:noWrap/>
                  <w:vAlign w:val="center"/>
                  <w:hideMark/>
                </w:tcPr>
                <w:p w14:paraId="4DB3E300" w14:textId="77777777" w:rsidR="00B83820" w:rsidRPr="00B83820" w:rsidRDefault="00B83820" w:rsidP="00B83820">
                  <w:pPr>
                    <w:spacing w:after="0" w:line="240" w:lineRule="auto"/>
                    <w:jc w:val="center"/>
                    <w:rPr>
                      <w:rFonts w:ascii="Calibri" w:eastAsia="Times New Roman" w:hAnsi="Calibri" w:cs="Calibri"/>
                      <w:color w:val="000000"/>
                      <w:sz w:val="12"/>
                      <w:szCs w:val="12"/>
                    </w:rPr>
                  </w:pPr>
                  <w:r w:rsidRPr="00B83820">
                    <w:rPr>
                      <w:rFonts w:ascii="Calibri" w:eastAsia="Times New Roman" w:hAnsi="Calibri" w:cs="Calibri"/>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14:paraId="09184621" w14:textId="77777777" w:rsidR="00B83820" w:rsidRPr="00B83820" w:rsidRDefault="00B83820" w:rsidP="00B83820">
                  <w:pPr>
                    <w:spacing w:after="0" w:line="240" w:lineRule="auto"/>
                    <w:jc w:val="center"/>
                    <w:rPr>
                      <w:rFonts w:ascii="Calibri" w:eastAsia="Times New Roman" w:hAnsi="Calibri" w:cs="Calibri"/>
                      <w:color w:val="000000"/>
                      <w:sz w:val="12"/>
                      <w:szCs w:val="12"/>
                    </w:rPr>
                  </w:pPr>
                  <w:r w:rsidRPr="00B83820">
                    <w:rPr>
                      <w:rFonts w:ascii="Calibri" w:eastAsia="Times New Roman" w:hAnsi="Calibri" w:cs="Calibri"/>
                      <w:color w:val="000000"/>
                      <w:sz w:val="12"/>
                      <w:szCs w:val="12"/>
                    </w:rPr>
                    <w:t> </w:t>
                  </w:r>
                </w:p>
              </w:tc>
              <w:tc>
                <w:tcPr>
                  <w:tcW w:w="1418" w:type="dxa"/>
                  <w:tcBorders>
                    <w:top w:val="nil"/>
                    <w:left w:val="nil"/>
                    <w:bottom w:val="single" w:sz="4" w:space="0" w:color="auto"/>
                    <w:right w:val="single" w:sz="4" w:space="0" w:color="auto"/>
                  </w:tcBorders>
                  <w:shd w:val="clear" w:color="auto" w:fill="auto"/>
                  <w:noWrap/>
                  <w:vAlign w:val="center"/>
                  <w:hideMark/>
                </w:tcPr>
                <w:p w14:paraId="03470C46" w14:textId="77777777" w:rsidR="00B83820" w:rsidRPr="00B83820" w:rsidRDefault="00B83820" w:rsidP="00B83820">
                  <w:pPr>
                    <w:spacing w:after="0" w:line="240" w:lineRule="auto"/>
                    <w:jc w:val="center"/>
                    <w:rPr>
                      <w:rFonts w:ascii="Calibri" w:eastAsia="Times New Roman" w:hAnsi="Calibri" w:cs="Calibri"/>
                      <w:color w:val="000000"/>
                      <w:sz w:val="12"/>
                      <w:szCs w:val="12"/>
                    </w:rPr>
                  </w:pPr>
                  <w:r w:rsidRPr="00B83820">
                    <w:rPr>
                      <w:rFonts w:ascii="Calibri" w:eastAsia="Times New Roman" w:hAnsi="Calibri" w:cs="Calibri"/>
                      <w:color w:val="000000"/>
                      <w:sz w:val="12"/>
                      <w:szCs w:val="12"/>
                    </w:rPr>
                    <w:t xml:space="preserve"> £                10,000 </w:t>
                  </w:r>
                </w:p>
              </w:tc>
            </w:tr>
            <w:tr w:rsidR="00B83820" w:rsidRPr="00B83820" w14:paraId="16CF91FF" w14:textId="77777777" w:rsidTr="00B83820">
              <w:trPr>
                <w:trHeight w:val="288"/>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14:paraId="6062FACE" w14:textId="77777777" w:rsidR="00B83820" w:rsidRPr="00B83820" w:rsidRDefault="00B83820" w:rsidP="00B83820">
                  <w:pPr>
                    <w:spacing w:after="0" w:line="240" w:lineRule="auto"/>
                    <w:jc w:val="center"/>
                    <w:rPr>
                      <w:rFonts w:ascii="Calibri" w:eastAsia="Times New Roman" w:hAnsi="Calibri" w:cs="Calibri"/>
                      <w:b/>
                      <w:bCs/>
                      <w:color w:val="000000"/>
                      <w:sz w:val="12"/>
                      <w:szCs w:val="12"/>
                    </w:rPr>
                  </w:pPr>
                  <w:r w:rsidRPr="00B83820">
                    <w:rPr>
                      <w:rFonts w:ascii="Calibri" w:eastAsia="Times New Roman" w:hAnsi="Calibri" w:cs="Calibri"/>
                      <w:b/>
                      <w:bCs/>
                      <w:color w:val="000000"/>
                      <w:sz w:val="12"/>
                      <w:szCs w:val="12"/>
                    </w:rPr>
                    <w:t>Total</w:t>
                  </w:r>
                </w:p>
              </w:tc>
              <w:tc>
                <w:tcPr>
                  <w:tcW w:w="1134" w:type="dxa"/>
                  <w:tcBorders>
                    <w:top w:val="nil"/>
                    <w:left w:val="nil"/>
                    <w:bottom w:val="single" w:sz="4" w:space="0" w:color="auto"/>
                    <w:right w:val="single" w:sz="4" w:space="0" w:color="auto"/>
                  </w:tcBorders>
                  <w:shd w:val="clear" w:color="auto" w:fill="auto"/>
                  <w:noWrap/>
                  <w:vAlign w:val="center"/>
                  <w:hideMark/>
                </w:tcPr>
                <w:p w14:paraId="503C9876" w14:textId="77777777" w:rsidR="00B83820" w:rsidRPr="00B83820" w:rsidRDefault="00B83820" w:rsidP="00B83820">
                  <w:pPr>
                    <w:spacing w:after="0" w:line="240" w:lineRule="auto"/>
                    <w:jc w:val="center"/>
                    <w:rPr>
                      <w:rFonts w:ascii="Calibri" w:eastAsia="Times New Roman" w:hAnsi="Calibri" w:cs="Calibri"/>
                      <w:b/>
                      <w:color w:val="000000"/>
                      <w:sz w:val="12"/>
                      <w:szCs w:val="12"/>
                    </w:rPr>
                  </w:pPr>
                  <w:r w:rsidRPr="00B83820">
                    <w:rPr>
                      <w:rFonts w:ascii="Calibri" w:eastAsia="Times New Roman" w:hAnsi="Calibri" w:cs="Calibri"/>
                      <w:b/>
                      <w:color w:val="000000"/>
                      <w:sz w:val="12"/>
                      <w:szCs w:val="12"/>
                    </w:rPr>
                    <w:t xml:space="preserve"> £            40,000 </w:t>
                  </w:r>
                </w:p>
              </w:tc>
              <w:tc>
                <w:tcPr>
                  <w:tcW w:w="992" w:type="dxa"/>
                  <w:tcBorders>
                    <w:top w:val="nil"/>
                    <w:left w:val="nil"/>
                    <w:bottom w:val="single" w:sz="4" w:space="0" w:color="auto"/>
                    <w:right w:val="single" w:sz="4" w:space="0" w:color="auto"/>
                  </w:tcBorders>
                  <w:shd w:val="clear" w:color="auto" w:fill="auto"/>
                  <w:noWrap/>
                  <w:vAlign w:val="center"/>
                  <w:hideMark/>
                </w:tcPr>
                <w:p w14:paraId="3FB1C8B9" w14:textId="459CA577" w:rsidR="00B83820" w:rsidRPr="00B83820" w:rsidRDefault="00B83820" w:rsidP="00B83820">
                  <w:pPr>
                    <w:spacing w:after="0" w:line="240" w:lineRule="auto"/>
                    <w:jc w:val="center"/>
                    <w:rPr>
                      <w:rFonts w:ascii="Calibri" w:eastAsia="Times New Roman" w:hAnsi="Calibri" w:cs="Calibri"/>
                      <w:b/>
                      <w:color w:val="000000"/>
                      <w:sz w:val="12"/>
                      <w:szCs w:val="12"/>
                    </w:rPr>
                  </w:pPr>
                  <w:r w:rsidRPr="00B83820">
                    <w:rPr>
                      <w:rFonts w:ascii="Calibri" w:eastAsia="Times New Roman" w:hAnsi="Calibri" w:cs="Calibri"/>
                      <w:b/>
                      <w:color w:val="000000"/>
                      <w:sz w:val="12"/>
                      <w:szCs w:val="12"/>
                    </w:rPr>
                    <w:t xml:space="preserve"> £        250,768 </w:t>
                  </w:r>
                </w:p>
              </w:tc>
              <w:tc>
                <w:tcPr>
                  <w:tcW w:w="992" w:type="dxa"/>
                  <w:tcBorders>
                    <w:top w:val="nil"/>
                    <w:left w:val="nil"/>
                    <w:bottom w:val="single" w:sz="4" w:space="0" w:color="auto"/>
                    <w:right w:val="single" w:sz="4" w:space="0" w:color="auto"/>
                  </w:tcBorders>
                  <w:shd w:val="clear" w:color="auto" w:fill="auto"/>
                  <w:noWrap/>
                  <w:vAlign w:val="center"/>
                  <w:hideMark/>
                </w:tcPr>
                <w:p w14:paraId="226E4397" w14:textId="77777777" w:rsidR="00B83820" w:rsidRPr="00B83820" w:rsidRDefault="00B83820" w:rsidP="00B83820">
                  <w:pPr>
                    <w:spacing w:after="0" w:line="240" w:lineRule="auto"/>
                    <w:jc w:val="center"/>
                    <w:rPr>
                      <w:rFonts w:ascii="Calibri" w:eastAsia="Times New Roman" w:hAnsi="Calibri" w:cs="Calibri"/>
                      <w:b/>
                      <w:color w:val="000000"/>
                      <w:sz w:val="12"/>
                      <w:szCs w:val="12"/>
                    </w:rPr>
                  </w:pPr>
                  <w:r w:rsidRPr="00B83820">
                    <w:rPr>
                      <w:rFonts w:ascii="Calibri" w:eastAsia="Times New Roman" w:hAnsi="Calibri" w:cs="Calibri"/>
                      <w:b/>
                      <w:color w:val="000000"/>
                      <w:sz w:val="12"/>
                      <w:szCs w:val="12"/>
                    </w:rPr>
                    <w:t xml:space="preserve"> £           40,295 </w:t>
                  </w:r>
                </w:p>
              </w:tc>
              <w:tc>
                <w:tcPr>
                  <w:tcW w:w="993" w:type="dxa"/>
                  <w:tcBorders>
                    <w:top w:val="nil"/>
                    <w:left w:val="nil"/>
                    <w:bottom w:val="single" w:sz="4" w:space="0" w:color="auto"/>
                    <w:right w:val="single" w:sz="4" w:space="0" w:color="auto"/>
                  </w:tcBorders>
                  <w:shd w:val="clear" w:color="auto" w:fill="auto"/>
                  <w:noWrap/>
                  <w:vAlign w:val="center"/>
                  <w:hideMark/>
                </w:tcPr>
                <w:p w14:paraId="7B23BE49" w14:textId="35BCA1CC" w:rsidR="00B83820" w:rsidRPr="007956C6" w:rsidRDefault="00B83820" w:rsidP="00B83820">
                  <w:pPr>
                    <w:spacing w:after="0" w:line="240" w:lineRule="auto"/>
                    <w:jc w:val="center"/>
                    <w:rPr>
                      <w:rFonts w:ascii="Calibri" w:eastAsia="Times New Roman" w:hAnsi="Calibri" w:cs="Calibri"/>
                      <w:b/>
                      <w:color w:val="0070C0"/>
                      <w:sz w:val="12"/>
                      <w:szCs w:val="12"/>
                    </w:rPr>
                  </w:pPr>
                  <w:r w:rsidRPr="007956C6">
                    <w:rPr>
                      <w:rFonts w:ascii="Calibri" w:eastAsia="Times New Roman" w:hAnsi="Calibri" w:cs="Calibri"/>
                      <w:b/>
                      <w:color w:val="0070C0"/>
                      <w:sz w:val="12"/>
                      <w:szCs w:val="12"/>
                    </w:rPr>
                    <w:t xml:space="preserve"> £        19,000</w:t>
                  </w:r>
                </w:p>
              </w:tc>
              <w:tc>
                <w:tcPr>
                  <w:tcW w:w="1134" w:type="dxa"/>
                  <w:tcBorders>
                    <w:top w:val="nil"/>
                    <w:left w:val="nil"/>
                    <w:bottom w:val="single" w:sz="4" w:space="0" w:color="auto"/>
                    <w:right w:val="single" w:sz="4" w:space="0" w:color="auto"/>
                  </w:tcBorders>
                  <w:vAlign w:val="center"/>
                </w:tcPr>
                <w:p w14:paraId="32706E83" w14:textId="08AB4877" w:rsidR="00B83820" w:rsidRPr="00B83820" w:rsidRDefault="00B83820" w:rsidP="00B83820">
                  <w:pPr>
                    <w:spacing w:after="0" w:line="240" w:lineRule="auto"/>
                    <w:jc w:val="center"/>
                    <w:rPr>
                      <w:rFonts w:ascii="Calibri" w:eastAsia="Times New Roman" w:hAnsi="Calibri" w:cs="Calibri"/>
                      <w:b/>
                      <w:color w:val="000000"/>
                      <w:sz w:val="12"/>
                      <w:szCs w:val="12"/>
                    </w:rPr>
                  </w:pPr>
                  <w:r w:rsidRPr="00B83820">
                    <w:rPr>
                      <w:rFonts w:ascii="Calibri" w:eastAsia="Times New Roman" w:hAnsi="Calibri" w:cs="Calibri"/>
                      <w:b/>
                      <w:color w:val="000000"/>
                      <w:sz w:val="12"/>
                      <w:szCs w:val="12"/>
                    </w:rPr>
                    <w:t xml:space="preserve"> £        3</w:t>
                  </w:r>
                  <w:r w:rsidR="00B87F74">
                    <w:rPr>
                      <w:rFonts w:ascii="Calibri" w:eastAsia="Times New Roman" w:hAnsi="Calibri" w:cs="Calibri"/>
                      <w:b/>
                      <w:color w:val="000000"/>
                      <w:sz w:val="12"/>
                      <w:szCs w:val="12"/>
                    </w:rPr>
                    <w:t>30</w:t>
                  </w:r>
                  <w:r w:rsidRPr="00B83820">
                    <w:rPr>
                      <w:rFonts w:ascii="Calibri" w:eastAsia="Times New Roman" w:hAnsi="Calibri" w:cs="Calibri"/>
                      <w:b/>
                      <w:color w:val="000000"/>
                      <w:sz w:val="12"/>
                      <w:szCs w:val="12"/>
                    </w:rPr>
                    <w:t xml:space="preserve">,063 </w:t>
                  </w:r>
                </w:p>
              </w:tc>
              <w:tc>
                <w:tcPr>
                  <w:tcW w:w="708" w:type="dxa"/>
                  <w:tcBorders>
                    <w:top w:val="nil"/>
                    <w:left w:val="single" w:sz="4" w:space="0" w:color="auto"/>
                    <w:bottom w:val="single" w:sz="4" w:space="0" w:color="auto"/>
                    <w:right w:val="single" w:sz="4" w:space="0" w:color="auto"/>
                  </w:tcBorders>
                  <w:shd w:val="clear" w:color="auto" w:fill="auto"/>
                  <w:vAlign w:val="center"/>
                </w:tcPr>
                <w:p w14:paraId="5AFD579A" w14:textId="2BF6EABE" w:rsidR="00B83820" w:rsidRPr="00B83820" w:rsidRDefault="00B83820" w:rsidP="00B83820">
                  <w:pPr>
                    <w:spacing w:after="0" w:line="240" w:lineRule="auto"/>
                    <w:ind w:left="150"/>
                    <w:jc w:val="center"/>
                    <w:rPr>
                      <w:rFonts w:ascii="Calibri" w:eastAsia="Times New Roman" w:hAnsi="Calibri" w:cs="Calibri"/>
                      <w:b/>
                      <w:color w:val="000000"/>
                      <w:sz w:val="12"/>
                      <w:szCs w:val="12"/>
                    </w:rPr>
                  </w:pPr>
                  <w:r w:rsidRPr="00B83820">
                    <w:rPr>
                      <w:rFonts w:ascii="Calibri" w:eastAsia="Times New Roman" w:hAnsi="Calibri" w:cs="Calibri"/>
                      <w:b/>
                      <w:color w:val="000000"/>
                      <w:sz w:val="12"/>
                      <w:szCs w:val="12"/>
                    </w:rPr>
                    <w:t xml:space="preserve">23,000 </w:t>
                  </w:r>
                </w:p>
              </w:tc>
              <w:tc>
                <w:tcPr>
                  <w:tcW w:w="709" w:type="dxa"/>
                  <w:tcBorders>
                    <w:top w:val="nil"/>
                    <w:left w:val="nil"/>
                    <w:bottom w:val="nil"/>
                    <w:right w:val="nil"/>
                  </w:tcBorders>
                  <w:shd w:val="clear" w:color="auto" w:fill="auto"/>
                  <w:noWrap/>
                  <w:vAlign w:val="center"/>
                  <w:hideMark/>
                </w:tcPr>
                <w:p w14:paraId="53557A06" w14:textId="34CDECAC" w:rsidR="00B83820" w:rsidRPr="00B83820" w:rsidRDefault="00B83820" w:rsidP="00B83820">
                  <w:pPr>
                    <w:spacing w:after="0" w:line="240" w:lineRule="auto"/>
                    <w:jc w:val="center"/>
                    <w:rPr>
                      <w:rFonts w:ascii="Calibri" w:eastAsia="Times New Roman" w:hAnsi="Calibri" w:cs="Calibri"/>
                      <w:color w:val="000000"/>
                      <w:sz w:val="12"/>
                      <w:szCs w:val="12"/>
                    </w:rPr>
                  </w:pPr>
                </w:p>
              </w:tc>
              <w:tc>
                <w:tcPr>
                  <w:tcW w:w="425" w:type="dxa"/>
                  <w:tcBorders>
                    <w:top w:val="nil"/>
                    <w:left w:val="nil"/>
                    <w:bottom w:val="nil"/>
                    <w:right w:val="nil"/>
                  </w:tcBorders>
                  <w:shd w:val="clear" w:color="auto" w:fill="auto"/>
                  <w:noWrap/>
                  <w:vAlign w:val="center"/>
                  <w:hideMark/>
                </w:tcPr>
                <w:p w14:paraId="11371F6F" w14:textId="77777777" w:rsidR="00B83820" w:rsidRPr="00B83820" w:rsidRDefault="00B83820" w:rsidP="00B83820">
                  <w:pPr>
                    <w:spacing w:after="0" w:line="240" w:lineRule="auto"/>
                    <w:jc w:val="center"/>
                    <w:rPr>
                      <w:rFonts w:ascii="Times New Roman" w:eastAsia="Times New Roman" w:hAnsi="Times New Roman" w:cs="Times New Roman"/>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ABDA458" w14:textId="77777777" w:rsidR="00B83820" w:rsidRPr="00B83820" w:rsidRDefault="00B83820" w:rsidP="00B83820">
                  <w:pPr>
                    <w:spacing w:after="0" w:line="240" w:lineRule="auto"/>
                    <w:jc w:val="center"/>
                    <w:rPr>
                      <w:rFonts w:ascii="Calibri" w:eastAsia="Times New Roman" w:hAnsi="Calibri" w:cs="Calibri"/>
                      <w:b/>
                      <w:bCs/>
                      <w:color w:val="000000"/>
                      <w:sz w:val="12"/>
                      <w:szCs w:val="12"/>
                    </w:rPr>
                  </w:pPr>
                  <w:r w:rsidRPr="00B83820">
                    <w:rPr>
                      <w:rFonts w:ascii="Calibri" w:eastAsia="Times New Roman" w:hAnsi="Calibri" w:cs="Calibri"/>
                      <w:b/>
                      <w:bCs/>
                      <w:color w:val="000000"/>
                      <w:sz w:val="12"/>
                      <w:szCs w:val="12"/>
                    </w:rPr>
                    <w:t>Total</w:t>
                  </w:r>
                </w:p>
              </w:tc>
              <w:tc>
                <w:tcPr>
                  <w:tcW w:w="1418" w:type="dxa"/>
                  <w:tcBorders>
                    <w:top w:val="nil"/>
                    <w:left w:val="nil"/>
                    <w:bottom w:val="single" w:sz="4" w:space="0" w:color="auto"/>
                    <w:right w:val="single" w:sz="4" w:space="0" w:color="auto"/>
                  </w:tcBorders>
                  <w:shd w:val="clear" w:color="auto" w:fill="auto"/>
                  <w:noWrap/>
                  <w:vAlign w:val="center"/>
                  <w:hideMark/>
                </w:tcPr>
                <w:p w14:paraId="28566E3B" w14:textId="2712B70E" w:rsidR="00B83820" w:rsidRPr="00B83820" w:rsidRDefault="00B83820" w:rsidP="00B83820">
                  <w:pPr>
                    <w:spacing w:after="0" w:line="240" w:lineRule="auto"/>
                    <w:jc w:val="center"/>
                    <w:rPr>
                      <w:rFonts w:ascii="Calibri" w:eastAsia="Times New Roman" w:hAnsi="Calibri" w:cs="Calibri"/>
                      <w:b/>
                      <w:color w:val="000000"/>
                      <w:sz w:val="12"/>
                      <w:szCs w:val="12"/>
                    </w:rPr>
                  </w:pPr>
                  <w:r w:rsidRPr="00B83820">
                    <w:rPr>
                      <w:rFonts w:ascii="Calibri" w:eastAsia="Times New Roman" w:hAnsi="Calibri" w:cs="Calibri"/>
                      <w:color w:val="000000"/>
                      <w:sz w:val="12"/>
                      <w:szCs w:val="12"/>
                    </w:rPr>
                    <w:t xml:space="preserve"> </w:t>
                  </w:r>
                  <w:r w:rsidRPr="00B83820">
                    <w:rPr>
                      <w:rFonts w:ascii="Calibri" w:eastAsia="Times New Roman" w:hAnsi="Calibri" w:cs="Calibri"/>
                      <w:b/>
                      <w:color w:val="000000"/>
                      <w:sz w:val="12"/>
                      <w:szCs w:val="12"/>
                    </w:rPr>
                    <w:t>£           3</w:t>
                  </w:r>
                  <w:r w:rsidR="007956C6">
                    <w:rPr>
                      <w:rFonts w:ascii="Calibri" w:eastAsia="Times New Roman" w:hAnsi="Calibri" w:cs="Calibri"/>
                      <w:b/>
                      <w:color w:val="000000"/>
                      <w:sz w:val="12"/>
                      <w:szCs w:val="12"/>
                    </w:rPr>
                    <w:t>73</w:t>
                  </w:r>
                  <w:r w:rsidRPr="00B83820">
                    <w:rPr>
                      <w:rFonts w:ascii="Calibri" w:eastAsia="Times New Roman" w:hAnsi="Calibri" w:cs="Calibri"/>
                      <w:b/>
                      <w:color w:val="000000"/>
                      <w:sz w:val="12"/>
                      <w:szCs w:val="12"/>
                    </w:rPr>
                    <w:t xml:space="preserve">,063   </w:t>
                  </w:r>
                </w:p>
              </w:tc>
            </w:tr>
          </w:tbl>
          <w:p w14:paraId="0781771D" w14:textId="49F13225" w:rsidR="00825094" w:rsidRDefault="00825094" w:rsidP="00135C0D">
            <w:pPr>
              <w:rPr>
                <w:rFonts w:cs="Arial"/>
                <w:sz w:val="20"/>
                <w:szCs w:val="20"/>
              </w:rPr>
            </w:pPr>
          </w:p>
          <w:p w14:paraId="398347EE" w14:textId="77777777" w:rsidR="0079016D" w:rsidRDefault="0079016D" w:rsidP="00135C0D">
            <w:pPr>
              <w:rPr>
                <w:rFonts w:cs="Arial"/>
                <w:sz w:val="16"/>
                <w:szCs w:val="16"/>
              </w:rPr>
            </w:pPr>
          </w:p>
          <w:p w14:paraId="6CDDB9A4" w14:textId="5079E890" w:rsidR="00097557" w:rsidRDefault="00097557" w:rsidP="002B5742">
            <w:pPr>
              <w:rPr>
                <w:rFonts w:cs="Arial"/>
                <w:sz w:val="16"/>
                <w:szCs w:val="16"/>
              </w:rPr>
            </w:pPr>
          </w:p>
          <w:p w14:paraId="6F68C588" w14:textId="216ED670" w:rsidR="006C09B4" w:rsidRDefault="006C09B4" w:rsidP="002B5742">
            <w:pPr>
              <w:rPr>
                <w:rFonts w:cs="Arial"/>
                <w:sz w:val="16"/>
                <w:szCs w:val="16"/>
              </w:rPr>
            </w:pPr>
          </w:p>
          <w:p w14:paraId="34254D0C" w14:textId="77777777" w:rsidR="006C09B4" w:rsidRPr="002B5742" w:rsidRDefault="006C09B4" w:rsidP="002B5742">
            <w:pPr>
              <w:rPr>
                <w:rFonts w:cs="Arial"/>
                <w:sz w:val="16"/>
                <w:szCs w:val="16"/>
              </w:rPr>
            </w:pPr>
          </w:p>
          <w:p w14:paraId="5E8D4BC1" w14:textId="77777777" w:rsidR="00BC1C21" w:rsidRDefault="00BC1C21" w:rsidP="00135C0D">
            <w:pPr>
              <w:rPr>
                <w:rFonts w:cs="Arial"/>
                <w:sz w:val="16"/>
                <w:szCs w:val="16"/>
              </w:rPr>
            </w:pPr>
          </w:p>
          <w:p w14:paraId="2F5BCCF3" w14:textId="77777777" w:rsidR="00407373" w:rsidRPr="00607F85" w:rsidRDefault="00407373" w:rsidP="00607F85">
            <w:pPr>
              <w:rPr>
                <w:rFonts w:cs="Arial"/>
                <w:b/>
                <w:szCs w:val="16"/>
              </w:rPr>
            </w:pPr>
          </w:p>
        </w:tc>
      </w:tr>
      <w:tr w:rsidR="002B2E87" w:rsidRPr="002B2E87" w14:paraId="6755CD90" w14:textId="77777777" w:rsidTr="13CAD302">
        <w:tc>
          <w:tcPr>
            <w:tcW w:w="5000" w:type="pct"/>
            <w:gridSpan w:val="2"/>
            <w:shd w:val="clear" w:color="auto" w:fill="3E5AA8" w:themeFill="accent1"/>
            <w:vAlign w:val="center"/>
          </w:tcPr>
          <w:p w14:paraId="712659F4" w14:textId="5E9B840D" w:rsidR="002B2E87" w:rsidRPr="002B2E87" w:rsidRDefault="002B2E87" w:rsidP="002B2E87">
            <w:pPr>
              <w:jc w:val="center"/>
              <w:rPr>
                <w:rFonts w:eastAsia="Times New Roman" w:cs="Arial"/>
                <w:b/>
                <w:szCs w:val="16"/>
              </w:rPr>
            </w:pPr>
            <w:r w:rsidRPr="002B2E87">
              <w:rPr>
                <w:rFonts w:eastAsia="Times New Roman" w:cs="Arial"/>
                <w:b/>
                <w:color w:val="FFFFFF"/>
                <w:sz w:val="20"/>
                <w:szCs w:val="16"/>
              </w:rPr>
              <w:lastRenderedPageBreak/>
              <w:t>Section 4: Estimated impact of the service change on service charges</w:t>
            </w:r>
          </w:p>
        </w:tc>
      </w:tr>
      <w:tr w:rsidR="002B2E87" w:rsidRPr="002B2E87" w14:paraId="35E72947" w14:textId="77777777" w:rsidTr="13CAD302">
        <w:tc>
          <w:tcPr>
            <w:tcW w:w="5000" w:type="pct"/>
            <w:gridSpan w:val="2"/>
            <w:shd w:val="clear" w:color="auto" w:fill="auto"/>
          </w:tcPr>
          <w:p w14:paraId="61BC0B1E" w14:textId="745FE3B9" w:rsidR="002B2E87" w:rsidRPr="00A107AC" w:rsidRDefault="002B2E87" w:rsidP="002B2E87">
            <w:pPr>
              <w:contextualSpacing/>
              <w:rPr>
                <w:rFonts w:eastAsia="Times New Roman" w:cs="Arial"/>
                <w:sz w:val="20"/>
              </w:rPr>
            </w:pPr>
          </w:p>
          <w:tbl>
            <w:tblPr>
              <w:tblStyle w:val="TableGrid1"/>
              <w:tblW w:w="10093" w:type="dxa"/>
              <w:tblLayout w:type="fixed"/>
              <w:tblLook w:val="04A0" w:firstRow="1" w:lastRow="0" w:firstColumn="1" w:lastColumn="0" w:noHBand="0" w:noVBand="1"/>
            </w:tblPr>
            <w:tblGrid>
              <w:gridCol w:w="3161"/>
              <w:gridCol w:w="3672"/>
              <w:gridCol w:w="3260"/>
            </w:tblGrid>
            <w:tr w:rsidR="002B2E87" w:rsidRPr="002B2E87" w14:paraId="12B087A9" w14:textId="77777777" w:rsidTr="13CAD302">
              <w:tc>
                <w:tcPr>
                  <w:tcW w:w="3161" w:type="dxa"/>
                </w:tcPr>
                <w:p w14:paraId="060356C4" w14:textId="77777777" w:rsidR="002B2E87" w:rsidRPr="002B2E87" w:rsidRDefault="002B2E87" w:rsidP="002B2E87">
                  <w:pPr>
                    <w:jc w:val="center"/>
                    <w:rPr>
                      <w:rFonts w:eastAsia="Times New Roman" w:cs="Arial"/>
                      <w:b/>
                      <w:sz w:val="20"/>
                      <w:szCs w:val="16"/>
                    </w:rPr>
                  </w:pPr>
                  <w:r w:rsidRPr="002B2E87">
                    <w:rPr>
                      <w:rFonts w:eastAsia="Times New Roman" w:cs="Arial"/>
                      <w:b/>
                      <w:sz w:val="20"/>
                      <w:szCs w:val="16"/>
                    </w:rPr>
                    <w:t>Xoserve Service Area</w:t>
                  </w:r>
                </w:p>
              </w:tc>
              <w:tc>
                <w:tcPr>
                  <w:tcW w:w="3672" w:type="dxa"/>
                </w:tcPr>
                <w:p w14:paraId="49246103" w14:textId="77777777" w:rsidR="002B2E87" w:rsidRPr="002B2E87" w:rsidRDefault="002B2E87" w:rsidP="002B2E87">
                  <w:pPr>
                    <w:jc w:val="center"/>
                    <w:rPr>
                      <w:rFonts w:eastAsia="Times New Roman" w:cs="Arial"/>
                      <w:b/>
                      <w:sz w:val="20"/>
                      <w:szCs w:val="16"/>
                    </w:rPr>
                  </w:pPr>
                  <w:r w:rsidRPr="002B2E87">
                    <w:rPr>
                      <w:rFonts w:eastAsia="Times New Roman" w:cs="Arial"/>
                      <w:b/>
                      <w:sz w:val="20"/>
                      <w:szCs w:val="16"/>
                    </w:rPr>
                    <w:t>Xoserve Service Line</w:t>
                  </w:r>
                </w:p>
              </w:tc>
              <w:tc>
                <w:tcPr>
                  <w:tcW w:w="3260" w:type="dxa"/>
                </w:tcPr>
                <w:p w14:paraId="13AA98B1" w14:textId="77777777" w:rsidR="002B2E87" w:rsidRPr="002B2E87" w:rsidRDefault="002B2E87" w:rsidP="002B2E87">
                  <w:pPr>
                    <w:jc w:val="center"/>
                    <w:rPr>
                      <w:rFonts w:eastAsia="Times New Roman" w:cs="Arial"/>
                      <w:b/>
                      <w:sz w:val="20"/>
                      <w:szCs w:val="16"/>
                    </w:rPr>
                  </w:pPr>
                  <w:r w:rsidRPr="002B2E87">
                    <w:rPr>
                      <w:rFonts w:eastAsia="Times New Roman" w:cs="Arial"/>
                      <w:b/>
                      <w:sz w:val="20"/>
                      <w:szCs w:val="16"/>
                    </w:rPr>
                    <w:t>(+/-) Projected Change in Annual Cost</w:t>
                  </w:r>
                </w:p>
              </w:tc>
            </w:tr>
            <w:tr w:rsidR="002B2E87" w:rsidRPr="002B2E87" w14:paraId="33FDEAE9" w14:textId="77777777" w:rsidTr="13CAD302">
              <w:tc>
                <w:tcPr>
                  <w:tcW w:w="3161" w:type="dxa"/>
                  <w:vAlign w:val="center"/>
                </w:tcPr>
                <w:p w14:paraId="6B7C17A4" w14:textId="4CAF10C8" w:rsidR="00EF6BAA" w:rsidRPr="00EF6BAA" w:rsidRDefault="009A76C4" w:rsidP="00EF6BAA">
                  <w:pPr>
                    <w:rPr>
                      <w:rFonts w:cs="Arial"/>
                      <w:sz w:val="18"/>
                      <w:szCs w:val="18"/>
                    </w:rPr>
                  </w:pPr>
                  <w:r>
                    <w:rPr>
                      <w:rFonts w:cs="Arial"/>
                      <w:sz w:val="18"/>
                      <w:szCs w:val="18"/>
                    </w:rPr>
                    <w:t xml:space="preserve">Customer Performance Analysis </w:t>
                  </w:r>
                </w:p>
                <w:p w14:paraId="19510B34" w14:textId="4A8856F0" w:rsidR="002B2E87" w:rsidRPr="00EF6BAA" w:rsidRDefault="002B2E87" w:rsidP="002B2E87">
                  <w:pPr>
                    <w:jc w:val="center"/>
                    <w:rPr>
                      <w:rFonts w:eastAsia="Times New Roman" w:cs="Arial"/>
                      <w:i/>
                      <w:sz w:val="18"/>
                      <w:szCs w:val="18"/>
                    </w:rPr>
                  </w:pPr>
                </w:p>
              </w:tc>
              <w:tc>
                <w:tcPr>
                  <w:tcW w:w="3672" w:type="dxa"/>
                  <w:vAlign w:val="center"/>
                </w:tcPr>
                <w:p w14:paraId="55279531" w14:textId="6A1F1FC3" w:rsidR="002B2E87" w:rsidRPr="00EF6BAA" w:rsidRDefault="00EF6BAA" w:rsidP="13CAD302">
                  <w:pPr>
                    <w:jc w:val="center"/>
                    <w:rPr>
                      <w:rFonts w:eastAsia="Times New Roman" w:cs="Arial"/>
                      <w:i/>
                      <w:iCs/>
                      <w:sz w:val="18"/>
                      <w:szCs w:val="18"/>
                    </w:rPr>
                  </w:pPr>
                  <w:r w:rsidRPr="13CAD302">
                    <w:rPr>
                      <w:rFonts w:cs="Arial"/>
                      <w:sz w:val="18"/>
                      <w:szCs w:val="18"/>
                    </w:rPr>
                    <w:t>We do not anticipate an additional Service Line being necessary. This should be covered under an existing line as it is simply added the need for further weighting factors.</w:t>
                  </w:r>
                </w:p>
              </w:tc>
              <w:tc>
                <w:tcPr>
                  <w:tcW w:w="3260" w:type="dxa"/>
                  <w:vAlign w:val="center"/>
                </w:tcPr>
                <w:p w14:paraId="6A9367B1" w14:textId="00CE8187" w:rsidR="002B2E87" w:rsidRPr="00EF6BAA" w:rsidRDefault="00ED75C3" w:rsidP="00ED75C3">
                  <w:pPr>
                    <w:jc w:val="center"/>
                    <w:rPr>
                      <w:rFonts w:eastAsia="Times New Roman" w:cs="Arial"/>
                      <w:sz w:val="18"/>
                      <w:szCs w:val="18"/>
                    </w:rPr>
                  </w:pPr>
                  <w:r>
                    <w:rPr>
                      <w:rFonts w:eastAsia="Times New Roman" w:cs="Arial"/>
                      <w:sz w:val="18"/>
                      <w:szCs w:val="18"/>
                    </w:rPr>
                    <w:t>£0</w:t>
                  </w:r>
                </w:p>
              </w:tc>
            </w:tr>
          </w:tbl>
          <w:p w14:paraId="0C0A14CA" w14:textId="77777777" w:rsidR="00BC1C21" w:rsidRDefault="00BC1C21" w:rsidP="009D63E3">
            <w:pPr>
              <w:rPr>
                <w:rFonts w:cs="Arial"/>
                <w:b/>
                <w:i/>
                <w:szCs w:val="20"/>
              </w:rPr>
            </w:pPr>
          </w:p>
          <w:p w14:paraId="3F8CEF3F" w14:textId="1DB035BB" w:rsidR="009D63E3" w:rsidRDefault="009D63E3" w:rsidP="009D63E3">
            <w:pPr>
              <w:rPr>
                <w:rFonts w:cs="Arial"/>
                <w:b/>
                <w:i/>
                <w:szCs w:val="20"/>
              </w:rPr>
            </w:pPr>
            <w:r w:rsidRPr="009D63E3">
              <w:rPr>
                <w:rFonts w:cs="Arial"/>
                <w:b/>
                <w:i/>
                <w:szCs w:val="20"/>
              </w:rPr>
              <w:t>Customer Benefits</w:t>
            </w:r>
            <w:r w:rsidR="00F267BB">
              <w:rPr>
                <w:rFonts w:cs="Arial"/>
                <w:b/>
                <w:i/>
                <w:szCs w:val="20"/>
              </w:rPr>
              <w:t>:</w:t>
            </w:r>
          </w:p>
          <w:p w14:paraId="7DD257A9" w14:textId="5BBCACF1" w:rsidR="00014DA2" w:rsidRDefault="00014DA2" w:rsidP="009D63E3">
            <w:pPr>
              <w:rPr>
                <w:rFonts w:cs="Arial"/>
                <w:b/>
                <w:i/>
                <w:szCs w:val="20"/>
              </w:rPr>
            </w:pPr>
          </w:p>
          <w:p w14:paraId="0B00ABBF" w14:textId="0363055F" w:rsidR="00C7121A" w:rsidRPr="00746EF9" w:rsidRDefault="00746EF9" w:rsidP="009D63E3">
            <w:pPr>
              <w:rPr>
                <w:rFonts w:cs="Arial"/>
                <w:b/>
                <w:sz w:val="18"/>
                <w:szCs w:val="18"/>
              </w:rPr>
            </w:pPr>
            <w:r w:rsidRPr="00746EF9">
              <w:rPr>
                <w:rFonts w:cs="Arial"/>
                <w:sz w:val="18"/>
                <w:szCs w:val="18"/>
              </w:rPr>
              <w:t xml:space="preserve">Each EUC will have an individual weighting factor. This has been suggested to </w:t>
            </w:r>
            <w:r w:rsidRPr="00746EF9">
              <w:rPr>
                <w:sz w:val="18"/>
                <w:szCs w:val="18"/>
              </w:rPr>
              <w:t xml:space="preserve">improve the accuracy of UIG allocation and so further competition in the market. </w:t>
            </w:r>
          </w:p>
          <w:p w14:paraId="71FB73DF" w14:textId="77777777" w:rsidR="008B5120" w:rsidRDefault="008B5120" w:rsidP="002B2E87">
            <w:pPr>
              <w:contextualSpacing/>
              <w:rPr>
                <w:rFonts w:eastAsia="Times New Roman" w:cs="Arial"/>
                <w:b/>
                <w:szCs w:val="16"/>
              </w:rPr>
            </w:pPr>
          </w:p>
          <w:p w14:paraId="07A6764D" w14:textId="77777777" w:rsidR="00ED16AA" w:rsidRDefault="00ED16AA" w:rsidP="002B2E87">
            <w:pPr>
              <w:contextualSpacing/>
              <w:rPr>
                <w:rFonts w:eastAsia="Times New Roman" w:cs="Arial"/>
                <w:b/>
                <w:szCs w:val="16"/>
              </w:rPr>
            </w:pPr>
          </w:p>
          <w:p w14:paraId="6F8E01C7" w14:textId="2AE9DD78" w:rsidR="00B72908" w:rsidRPr="002B2E87" w:rsidRDefault="00B72908" w:rsidP="002B2E87">
            <w:pPr>
              <w:contextualSpacing/>
              <w:rPr>
                <w:rFonts w:eastAsia="Times New Roman" w:cs="Arial"/>
                <w:b/>
                <w:szCs w:val="16"/>
              </w:rPr>
            </w:pPr>
          </w:p>
        </w:tc>
      </w:tr>
      <w:tr w:rsidR="002B2E87" w:rsidRPr="002B2E87" w14:paraId="005645AB" w14:textId="77777777" w:rsidTr="13CAD302">
        <w:tc>
          <w:tcPr>
            <w:tcW w:w="5000" w:type="pct"/>
            <w:gridSpan w:val="2"/>
            <w:shd w:val="clear" w:color="auto" w:fill="3E5AA8" w:themeFill="accent1"/>
            <w:vAlign w:val="center"/>
          </w:tcPr>
          <w:p w14:paraId="0027578C" w14:textId="77777777" w:rsidR="002B2E87" w:rsidRPr="002B2E87" w:rsidRDefault="002B2E87" w:rsidP="002B2E87">
            <w:pPr>
              <w:jc w:val="center"/>
              <w:rPr>
                <w:rFonts w:eastAsia="Times New Roman" w:cs="Arial"/>
                <w:b/>
                <w:color w:val="FFFFFF"/>
                <w:szCs w:val="16"/>
              </w:rPr>
            </w:pPr>
            <w:r w:rsidRPr="002B2E87">
              <w:rPr>
                <w:rFonts w:eastAsia="Times New Roman" w:cs="Arial"/>
                <w:b/>
                <w:color w:val="FFFFFF"/>
                <w:sz w:val="20"/>
                <w:szCs w:val="16"/>
              </w:rPr>
              <w:t>Section 5: Project plan for delivery of the change</w:t>
            </w:r>
          </w:p>
        </w:tc>
      </w:tr>
      <w:tr w:rsidR="002B2E87" w:rsidRPr="002B2E87" w14:paraId="17686922" w14:textId="77777777" w:rsidTr="13CAD302">
        <w:tc>
          <w:tcPr>
            <w:tcW w:w="5000" w:type="pct"/>
            <w:gridSpan w:val="2"/>
            <w:shd w:val="clear" w:color="auto" w:fill="auto"/>
          </w:tcPr>
          <w:p w14:paraId="4BF0156F" w14:textId="562D8B42" w:rsidR="00B64E4A" w:rsidRDefault="00B64E4A" w:rsidP="004F226A">
            <w:pPr>
              <w:rPr>
                <w:rFonts w:eastAsia="Times New Roman" w:cs="Arial"/>
                <w:b/>
                <w:sz w:val="20"/>
                <w:szCs w:val="16"/>
              </w:rPr>
            </w:pPr>
          </w:p>
          <w:p w14:paraId="506F3DE2" w14:textId="77777777" w:rsidR="0002511B" w:rsidRDefault="0002511B" w:rsidP="00B64E4A">
            <w:pPr>
              <w:jc w:val="center"/>
              <w:rPr>
                <w:rFonts w:eastAsia="Times New Roman" w:cs="Arial"/>
                <w:b/>
                <w:sz w:val="20"/>
                <w:szCs w:val="16"/>
              </w:rPr>
            </w:pPr>
          </w:p>
          <w:p w14:paraId="3828A764" w14:textId="677196A6" w:rsidR="0041328B" w:rsidRDefault="006C09B4" w:rsidP="00B64E4A">
            <w:pPr>
              <w:jc w:val="center"/>
              <w:rPr>
                <w:rFonts w:eastAsia="Times New Roman" w:cs="Arial"/>
                <w:b/>
                <w:sz w:val="20"/>
                <w:szCs w:val="16"/>
              </w:rPr>
            </w:pPr>
            <w:r w:rsidRPr="006C09B4">
              <w:rPr>
                <w:rFonts w:eastAsia="Times New Roman" w:cs="Arial"/>
                <w:b/>
                <w:noProof/>
                <w:sz w:val="20"/>
                <w:szCs w:val="16"/>
              </w:rPr>
              <w:drawing>
                <wp:inline distT="0" distB="0" distL="0" distR="0" wp14:anchorId="0BAD3CDE" wp14:editId="65FD5DC6">
                  <wp:extent cx="6165215" cy="2095500"/>
                  <wp:effectExtent l="0" t="0" r="6985" b="0"/>
                  <wp:docPr id="4" name="Picture 3">
                    <a:extLst xmlns:a="http://schemas.openxmlformats.org/drawingml/2006/main">
                      <a:ext uri="{FF2B5EF4-FFF2-40B4-BE49-F238E27FC236}">
                        <a16:creationId xmlns:a16="http://schemas.microsoft.com/office/drawing/2014/main" id="{5A91D84F-2B04-479C-872F-89A14D2233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5A91D84F-2B04-479C-872F-89A14D223384}"/>
                              </a:ext>
                            </a:extLst>
                          </pic:cNvPr>
                          <pic:cNvPicPr>
                            <a:picLocks noChangeAspect="1"/>
                          </pic:cNvPicPr>
                        </pic:nvPicPr>
                        <pic:blipFill>
                          <a:blip r:embed="rId16"/>
                          <a:stretch>
                            <a:fillRect/>
                          </a:stretch>
                        </pic:blipFill>
                        <pic:spPr>
                          <a:xfrm>
                            <a:off x="0" y="0"/>
                            <a:ext cx="6165215" cy="2095500"/>
                          </a:xfrm>
                          <a:prstGeom prst="rect">
                            <a:avLst/>
                          </a:prstGeom>
                        </pic:spPr>
                      </pic:pic>
                    </a:graphicData>
                  </a:graphic>
                </wp:inline>
              </w:drawing>
            </w:r>
          </w:p>
          <w:p w14:paraId="499A66C2" w14:textId="3250429C" w:rsidR="0041328B" w:rsidRDefault="0041328B" w:rsidP="00B64E4A">
            <w:pPr>
              <w:jc w:val="center"/>
              <w:rPr>
                <w:rFonts w:eastAsia="Times New Roman" w:cs="Arial"/>
                <w:b/>
                <w:sz w:val="20"/>
                <w:szCs w:val="16"/>
              </w:rPr>
            </w:pPr>
          </w:p>
          <w:p w14:paraId="4C182560" w14:textId="555EB162" w:rsidR="00746EF9" w:rsidRDefault="00746EF9" w:rsidP="00B64E4A">
            <w:pPr>
              <w:jc w:val="center"/>
              <w:rPr>
                <w:rFonts w:eastAsia="Times New Roman" w:cs="Arial"/>
                <w:b/>
                <w:sz w:val="20"/>
                <w:szCs w:val="16"/>
              </w:rPr>
            </w:pPr>
          </w:p>
          <w:p w14:paraId="2CC7F0D1" w14:textId="33E48F0C" w:rsidR="00746EF9" w:rsidRDefault="00944FE0" w:rsidP="00944FE0">
            <w:pPr>
              <w:rPr>
                <w:rFonts w:eastAsia="Times New Roman" w:cs="Arial"/>
                <w:b/>
                <w:sz w:val="20"/>
                <w:szCs w:val="16"/>
              </w:rPr>
            </w:pPr>
            <w:r>
              <w:rPr>
                <w:rFonts w:eastAsia="Times New Roman" w:cs="Arial"/>
                <w:b/>
                <w:sz w:val="20"/>
                <w:szCs w:val="16"/>
              </w:rPr>
              <w:object w:dxaOrig="1477" w:dyaOrig="974" w14:anchorId="6250990C">
                <v:shape id="_x0000_i1026" type="#_x0000_t75" style="width:74.1pt;height:48.6pt" o:ole="">
                  <v:imagedata r:id="rId17" o:title=""/>
                </v:shape>
                <o:OLEObject Type="Embed" ProgID="PowerPoint.Show.12" ShapeID="_x0000_i1026" DrawAspect="Icon" ObjectID="_1675835150" r:id="rId18"/>
              </w:object>
            </w:r>
          </w:p>
          <w:p w14:paraId="5C2DF21C" w14:textId="77777777" w:rsidR="00746EF9" w:rsidRDefault="00746EF9" w:rsidP="00B64E4A">
            <w:pPr>
              <w:jc w:val="center"/>
              <w:rPr>
                <w:rFonts w:eastAsia="Times New Roman" w:cs="Arial"/>
                <w:b/>
                <w:sz w:val="20"/>
                <w:szCs w:val="16"/>
              </w:rPr>
            </w:pPr>
          </w:p>
          <w:p w14:paraId="15F4AF4E" w14:textId="77777777" w:rsidR="0041328B" w:rsidRDefault="0041328B" w:rsidP="00B64E4A">
            <w:pPr>
              <w:jc w:val="center"/>
              <w:rPr>
                <w:rFonts w:eastAsia="Times New Roman" w:cs="Arial"/>
                <w:b/>
                <w:sz w:val="20"/>
                <w:szCs w:val="16"/>
              </w:rPr>
            </w:pPr>
          </w:p>
          <w:p w14:paraId="08BB6042" w14:textId="4365081A" w:rsidR="0041328B" w:rsidRPr="002B2E87" w:rsidRDefault="0041328B" w:rsidP="00B64E4A">
            <w:pPr>
              <w:jc w:val="center"/>
              <w:rPr>
                <w:rFonts w:eastAsia="Times New Roman" w:cs="Arial"/>
                <w:b/>
                <w:sz w:val="20"/>
                <w:szCs w:val="16"/>
              </w:rPr>
            </w:pPr>
          </w:p>
        </w:tc>
      </w:tr>
      <w:tr w:rsidR="002B2E87" w:rsidRPr="002B2E87" w14:paraId="61F67236" w14:textId="77777777" w:rsidTr="13CAD302">
        <w:tc>
          <w:tcPr>
            <w:tcW w:w="5000" w:type="pct"/>
            <w:gridSpan w:val="2"/>
            <w:shd w:val="clear" w:color="auto" w:fill="3E5AA8" w:themeFill="accent1"/>
            <w:vAlign w:val="center"/>
          </w:tcPr>
          <w:p w14:paraId="1B95EECA" w14:textId="77777777" w:rsidR="002B2E87" w:rsidRPr="002B2E87" w:rsidRDefault="002B2E87" w:rsidP="002B2E87">
            <w:pPr>
              <w:jc w:val="center"/>
              <w:rPr>
                <w:rFonts w:eastAsia="Times New Roman" w:cs="Arial"/>
                <w:b/>
                <w:color w:val="FF0000"/>
                <w:szCs w:val="16"/>
              </w:rPr>
            </w:pPr>
            <w:r w:rsidRPr="002B2E87">
              <w:rPr>
                <w:rFonts w:eastAsia="Times New Roman" w:cs="Arial"/>
                <w:b/>
                <w:color w:val="FFFFFF"/>
                <w:sz w:val="20"/>
                <w:szCs w:val="16"/>
              </w:rPr>
              <w:lastRenderedPageBreak/>
              <w:t>Section 6: Additional information relevant to the proposed service change</w:t>
            </w:r>
          </w:p>
        </w:tc>
      </w:tr>
      <w:tr w:rsidR="002B2E87" w:rsidRPr="002B2E87" w14:paraId="324B2E3C" w14:textId="77777777" w:rsidTr="13CAD302">
        <w:tc>
          <w:tcPr>
            <w:tcW w:w="5000" w:type="pct"/>
            <w:gridSpan w:val="2"/>
            <w:shd w:val="clear" w:color="auto" w:fill="auto"/>
          </w:tcPr>
          <w:p w14:paraId="0140E41F" w14:textId="25DF4917" w:rsidR="0097393B" w:rsidRPr="00C07933" w:rsidRDefault="00F5457A" w:rsidP="13CAD302">
            <w:pPr>
              <w:rPr>
                <w:rFonts w:cs="Arial"/>
                <w:i/>
                <w:iCs/>
                <w:sz w:val="20"/>
                <w:szCs w:val="20"/>
              </w:rPr>
            </w:pPr>
            <w:r w:rsidRPr="13CAD302">
              <w:rPr>
                <w:rFonts w:cs="Arial"/>
                <w:b/>
                <w:bCs/>
                <w:i/>
                <w:iCs/>
                <w:sz w:val="20"/>
                <w:szCs w:val="20"/>
              </w:rPr>
              <w:t>Risks</w:t>
            </w:r>
            <w:proofErr w:type="gramStart"/>
            <w:r w:rsidR="00373D5C" w:rsidRPr="13CAD302">
              <w:rPr>
                <w:rFonts w:cs="Arial"/>
                <w:b/>
                <w:bCs/>
                <w:i/>
                <w:iCs/>
                <w:sz w:val="20"/>
                <w:szCs w:val="20"/>
              </w:rPr>
              <w:t>:</w:t>
            </w:r>
            <w:r w:rsidRPr="13CAD302">
              <w:rPr>
                <w:rFonts w:cs="Arial"/>
                <w:b/>
                <w:bCs/>
                <w:i/>
                <w:iCs/>
                <w:sz w:val="20"/>
                <w:szCs w:val="20"/>
              </w:rPr>
              <w:t xml:space="preserve"> </w:t>
            </w:r>
            <w:r w:rsidR="00B827C6" w:rsidRPr="13CAD302">
              <w:rPr>
                <w:rFonts w:cs="Arial"/>
              </w:rPr>
              <w:t>.</w:t>
            </w:r>
            <w:proofErr w:type="gramEnd"/>
          </w:p>
          <w:p w14:paraId="01F6FA5A" w14:textId="57C039D1" w:rsidR="00373D5C" w:rsidRPr="00746EF9" w:rsidRDefault="00F5457A" w:rsidP="00373D5C">
            <w:pPr>
              <w:pStyle w:val="ListParagraph"/>
              <w:numPr>
                <w:ilvl w:val="0"/>
                <w:numId w:val="5"/>
              </w:numPr>
              <w:spacing w:after="0" w:line="240" w:lineRule="auto"/>
              <w:rPr>
                <w:rFonts w:cs="Arial"/>
                <w:sz w:val="18"/>
                <w:szCs w:val="18"/>
              </w:rPr>
            </w:pPr>
            <w:r w:rsidRPr="00746EF9">
              <w:rPr>
                <w:rFonts w:cs="Arial"/>
                <w:sz w:val="18"/>
                <w:szCs w:val="18"/>
              </w:rPr>
              <w:t xml:space="preserve">There is a risk of increased project spend </w:t>
            </w:r>
            <w:r w:rsidR="00A13B7D" w:rsidRPr="00746EF9">
              <w:rPr>
                <w:rFonts w:cs="Arial"/>
                <w:sz w:val="18"/>
                <w:szCs w:val="18"/>
              </w:rPr>
              <w:t xml:space="preserve">if </w:t>
            </w:r>
            <w:r w:rsidRPr="00746EF9">
              <w:rPr>
                <w:rFonts w:cs="Arial"/>
                <w:sz w:val="18"/>
                <w:szCs w:val="18"/>
              </w:rPr>
              <w:t>unforeseen issues occur which result in additional work, rework or delays to the project schedule</w:t>
            </w:r>
            <w:r w:rsidR="00B827C6" w:rsidRPr="00746EF9">
              <w:rPr>
                <w:rFonts w:cs="Arial"/>
                <w:sz w:val="18"/>
                <w:szCs w:val="18"/>
              </w:rPr>
              <w:t>.</w:t>
            </w:r>
          </w:p>
          <w:p w14:paraId="3DF9A63F" w14:textId="02ECF6AF" w:rsidR="00373D5C" w:rsidRPr="00746EF9" w:rsidRDefault="00373D5C" w:rsidP="00373D5C">
            <w:pPr>
              <w:pStyle w:val="NGTHeading3"/>
              <w:numPr>
                <w:ilvl w:val="0"/>
                <w:numId w:val="5"/>
              </w:numPr>
              <w:spacing w:line="240" w:lineRule="auto"/>
              <w:rPr>
                <w:rFonts w:cs="Arial"/>
                <w:sz w:val="18"/>
                <w:szCs w:val="18"/>
              </w:rPr>
            </w:pPr>
            <w:r w:rsidRPr="00746EF9">
              <w:rPr>
                <w:rFonts w:cs="Arial"/>
                <w:sz w:val="18"/>
                <w:szCs w:val="18"/>
              </w:rPr>
              <w:t xml:space="preserve">There is a risk that </w:t>
            </w:r>
            <w:r w:rsidR="00290CDA" w:rsidRPr="00746EF9">
              <w:rPr>
                <w:rFonts w:cs="Arial"/>
                <w:sz w:val="18"/>
                <w:szCs w:val="18"/>
              </w:rPr>
              <w:t xml:space="preserve">there </w:t>
            </w:r>
            <w:r w:rsidR="00D61D8C" w:rsidRPr="00746EF9">
              <w:rPr>
                <w:rFonts w:cs="Arial"/>
                <w:sz w:val="18"/>
                <w:szCs w:val="18"/>
              </w:rPr>
              <w:t xml:space="preserve">could </w:t>
            </w:r>
            <w:r w:rsidR="00290CDA" w:rsidRPr="00746EF9">
              <w:rPr>
                <w:rFonts w:cs="Arial"/>
                <w:sz w:val="18"/>
                <w:szCs w:val="18"/>
              </w:rPr>
              <w:t>be resource constraints throughout the project lifecycle because of multiple UK</w:t>
            </w:r>
            <w:r w:rsidR="0041043A" w:rsidRPr="00746EF9">
              <w:rPr>
                <w:rFonts w:cs="Arial"/>
                <w:sz w:val="18"/>
                <w:szCs w:val="18"/>
              </w:rPr>
              <w:t xml:space="preserve"> </w:t>
            </w:r>
            <w:r w:rsidR="00290CDA" w:rsidRPr="00746EF9">
              <w:rPr>
                <w:rFonts w:cs="Arial"/>
                <w:sz w:val="18"/>
                <w:szCs w:val="18"/>
              </w:rPr>
              <w:t>Link deliveries running in parallel</w:t>
            </w:r>
            <w:r w:rsidR="00B827C6" w:rsidRPr="00746EF9">
              <w:rPr>
                <w:rFonts w:cs="Arial"/>
                <w:sz w:val="18"/>
                <w:szCs w:val="18"/>
              </w:rPr>
              <w:t>.</w:t>
            </w:r>
          </w:p>
          <w:p w14:paraId="5A4246CE" w14:textId="6C8181E4" w:rsidR="00900AAB" w:rsidRPr="00746EF9" w:rsidRDefault="00D61D8C" w:rsidP="005D16CA">
            <w:pPr>
              <w:pStyle w:val="NGTHeading3"/>
              <w:numPr>
                <w:ilvl w:val="0"/>
                <w:numId w:val="5"/>
              </w:numPr>
              <w:spacing w:line="240" w:lineRule="auto"/>
              <w:rPr>
                <w:rFonts w:cs="Arial"/>
                <w:sz w:val="18"/>
                <w:szCs w:val="18"/>
              </w:rPr>
            </w:pPr>
            <w:r w:rsidRPr="00746EF9">
              <w:rPr>
                <w:rFonts w:cs="Arial"/>
                <w:sz w:val="18"/>
                <w:szCs w:val="18"/>
              </w:rPr>
              <w:t xml:space="preserve">There is a risk to delivery timescales and </w:t>
            </w:r>
            <w:r w:rsidR="00900AAB" w:rsidRPr="00746EF9">
              <w:rPr>
                <w:rFonts w:cs="Arial"/>
                <w:sz w:val="18"/>
                <w:szCs w:val="18"/>
              </w:rPr>
              <w:t>resource constraints due to the ongoing Covid-19 pandemic.</w:t>
            </w:r>
          </w:p>
          <w:p w14:paraId="05EEB966" w14:textId="196C63C4" w:rsidR="002B2E87" w:rsidRPr="00D24E05" w:rsidRDefault="002B2E87" w:rsidP="005A2B58">
            <w:pPr>
              <w:pStyle w:val="NGTHeading3"/>
              <w:numPr>
                <w:ilvl w:val="0"/>
                <w:numId w:val="0"/>
              </w:numPr>
              <w:spacing w:line="240" w:lineRule="auto"/>
              <w:ind w:left="720"/>
              <w:rPr>
                <w:szCs w:val="20"/>
                <w:lang w:val="en-US"/>
              </w:rPr>
            </w:pPr>
          </w:p>
        </w:tc>
      </w:tr>
    </w:tbl>
    <w:p w14:paraId="093985C6" w14:textId="77777777" w:rsidR="002B2E87" w:rsidRPr="002B2E87" w:rsidRDefault="002B2E87" w:rsidP="002B2E87">
      <w:pPr>
        <w:rPr>
          <w:rFonts w:eastAsia="Arial" w:cs="Arial"/>
          <w:b/>
        </w:rPr>
      </w:pPr>
    </w:p>
    <w:p w14:paraId="0268A5E2" w14:textId="623F31DE" w:rsidR="00D24E05" w:rsidRPr="00B41E08" w:rsidRDefault="002B2E87" w:rsidP="00B41E08">
      <w:pPr>
        <w:rPr>
          <w:rFonts w:eastAsia="Arial" w:cs="Arial"/>
          <w:b/>
        </w:rPr>
      </w:pPr>
      <w:r w:rsidRPr="002B2E87">
        <w:rPr>
          <w:rFonts w:eastAsia="Arial" w:cs="Arial"/>
          <w:b/>
        </w:rPr>
        <w:t xml:space="preserve">Please send completed form to: </w:t>
      </w:r>
      <w:hyperlink r:id="rId19" w:history="1">
        <w:r w:rsidRPr="002B2E87">
          <w:rPr>
            <w:rFonts w:eastAsia="Arial" w:cs="Arial"/>
            <w:b/>
            <w:color w:val="D2232A"/>
            <w:u w:val="single"/>
          </w:rPr>
          <w:t>box.xoserve.portfoliooffice@xoserve.com</w:t>
        </w:r>
      </w:hyperlink>
    </w:p>
    <w:p w14:paraId="067C933B" w14:textId="77777777" w:rsidR="00F45E78" w:rsidRDefault="00F45E78" w:rsidP="002B2E87">
      <w:pPr>
        <w:pStyle w:val="NoSpacing"/>
        <w:rPr>
          <w:rFonts w:eastAsia="Arial"/>
        </w:rPr>
      </w:pPr>
    </w:p>
    <w:p w14:paraId="312BB892" w14:textId="77777777" w:rsidR="00BF66FB" w:rsidRDefault="00BF66FB" w:rsidP="002B2E87">
      <w:pPr>
        <w:pStyle w:val="NoSpacing"/>
        <w:rPr>
          <w:rFonts w:eastAsia="Arial"/>
        </w:rPr>
      </w:pPr>
    </w:p>
    <w:p w14:paraId="3251AA56" w14:textId="77777777" w:rsidR="002B2E87" w:rsidRPr="002B2E87" w:rsidRDefault="002B2E87" w:rsidP="002B2E87">
      <w:pPr>
        <w:rPr>
          <w:rFonts w:eastAsia="Arial" w:cs="Times New Roman"/>
          <w:b/>
          <w:sz w:val="20"/>
          <w:szCs w:val="20"/>
        </w:rPr>
      </w:pPr>
      <w:r w:rsidRPr="002B2E87">
        <w:rPr>
          <w:rFonts w:eastAsia="Arial" w:cs="Times New Roman"/>
          <w:b/>
          <w:sz w:val="20"/>
          <w:szCs w:val="20"/>
        </w:rPr>
        <w:t>Document Version History</w:t>
      </w:r>
    </w:p>
    <w:tbl>
      <w:tblPr>
        <w:tblStyle w:val="TableGrid1"/>
        <w:tblW w:w="5522" w:type="pct"/>
        <w:tblInd w:w="-459" w:type="dxa"/>
        <w:tblLook w:val="04A0" w:firstRow="1" w:lastRow="0" w:firstColumn="1" w:lastColumn="0" w:noHBand="0" w:noVBand="1"/>
      </w:tblPr>
      <w:tblGrid>
        <w:gridCol w:w="1797"/>
        <w:gridCol w:w="1663"/>
        <w:gridCol w:w="1107"/>
        <w:gridCol w:w="1519"/>
        <w:gridCol w:w="3871"/>
      </w:tblGrid>
      <w:tr w:rsidR="002B2E87" w:rsidRPr="002B2E87" w14:paraId="05C01B9A" w14:textId="77777777" w:rsidTr="002B2E87">
        <w:trPr>
          <w:trHeight w:val="611"/>
        </w:trPr>
        <w:tc>
          <w:tcPr>
            <w:tcW w:w="902" w:type="pct"/>
            <w:shd w:val="clear" w:color="auto" w:fill="D6DCF0" w:themeFill="accent1" w:themeFillTint="33"/>
            <w:vAlign w:val="center"/>
          </w:tcPr>
          <w:p w14:paraId="0200727F"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Version</w:t>
            </w:r>
          </w:p>
        </w:tc>
        <w:tc>
          <w:tcPr>
            <w:tcW w:w="835" w:type="pct"/>
            <w:shd w:val="clear" w:color="auto" w:fill="D6DCF0" w:themeFill="accent1" w:themeFillTint="33"/>
            <w:vAlign w:val="center"/>
          </w:tcPr>
          <w:p w14:paraId="66353007"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Status</w:t>
            </w:r>
          </w:p>
        </w:tc>
        <w:tc>
          <w:tcPr>
            <w:tcW w:w="556" w:type="pct"/>
            <w:shd w:val="clear" w:color="auto" w:fill="D6DCF0" w:themeFill="accent1" w:themeFillTint="33"/>
            <w:vAlign w:val="center"/>
          </w:tcPr>
          <w:p w14:paraId="218057BC"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Date</w:t>
            </w:r>
          </w:p>
        </w:tc>
        <w:tc>
          <w:tcPr>
            <w:tcW w:w="763" w:type="pct"/>
            <w:shd w:val="clear" w:color="auto" w:fill="D6DCF0" w:themeFill="accent1" w:themeFillTint="33"/>
            <w:vAlign w:val="center"/>
          </w:tcPr>
          <w:p w14:paraId="53B293F3"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Author(s)</w:t>
            </w:r>
          </w:p>
        </w:tc>
        <w:tc>
          <w:tcPr>
            <w:tcW w:w="1944" w:type="pct"/>
            <w:shd w:val="clear" w:color="auto" w:fill="D6DCF0" w:themeFill="accent1" w:themeFillTint="33"/>
            <w:vAlign w:val="center"/>
          </w:tcPr>
          <w:p w14:paraId="04E2A427"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Summary of Changes</w:t>
            </w:r>
          </w:p>
        </w:tc>
      </w:tr>
      <w:tr w:rsidR="002B2E87" w:rsidRPr="002B2E87" w14:paraId="4BA4A705" w14:textId="77777777" w:rsidTr="002B2E87">
        <w:tc>
          <w:tcPr>
            <w:tcW w:w="902" w:type="pct"/>
          </w:tcPr>
          <w:p w14:paraId="35EF9599" w14:textId="1DE9C32F" w:rsidR="002B2E87" w:rsidRPr="002B2E87" w:rsidRDefault="00C721D4" w:rsidP="002B2E87">
            <w:pPr>
              <w:jc w:val="center"/>
              <w:rPr>
                <w:rFonts w:eastAsia="Times New Roman" w:cs="Arial"/>
                <w:sz w:val="20"/>
                <w:szCs w:val="20"/>
              </w:rPr>
            </w:pPr>
            <w:r>
              <w:rPr>
                <w:rFonts w:eastAsia="Times New Roman" w:cs="Arial"/>
                <w:sz w:val="20"/>
                <w:szCs w:val="20"/>
              </w:rPr>
              <w:t>0.1</w:t>
            </w:r>
          </w:p>
        </w:tc>
        <w:tc>
          <w:tcPr>
            <w:tcW w:w="835" w:type="pct"/>
          </w:tcPr>
          <w:p w14:paraId="434AE054" w14:textId="3D89FC6F" w:rsidR="002B2E87" w:rsidRPr="002B2E87" w:rsidRDefault="0032604C" w:rsidP="002B2E87">
            <w:pPr>
              <w:jc w:val="center"/>
              <w:rPr>
                <w:rFonts w:eastAsia="Times New Roman" w:cs="Arial"/>
                <w:sz w:val="20"/>
                <w:szCs w:val="20"/>
              </w:rPr>
            </w:pPr>
            <w:r>
              <w:rPr>
                <w:rFonts w:eastAsia="Times New Roman" w:cs="Arial"/>
                <w:sz w:val="20"/>
                <w:szCs w:val="20"/>
              </w:rPr>
              <w:t xml:space="preserve">Draft </w:t>
            </w:r>
          </w:p>
        </w:tc>
        <w:tc>
          <w:tcPr>
            <w:tcW w:w="556" w:type="pct"/>
          </w:tcPr>
          <w:p w14:paraId="2A8CD6E0" w14:textId="72325AA6" w:rsidR="002B2E87" w:rsidRPr="002B2E87" w:rsidRDefault="00746EF9" w:rsidP="002B2E87">
            <w:pPr>
              <w:jc w:val="center"/>
              <w:rPr>
                <w:rFonts w:eastAsia="Times New Roman" w:cs="Arial"/>
                <w:sz w:val="20"/>
                <w:szCs w:val="20"/>
              </w:rPr>
            </w:pPr>
            <w:r>
              <w:rPr>
                <w:rFonts w:eastAsia="Times New Roman" w:cs="Arial"/>
                <w:sz w:val="20"/>
                <w:szCs w:val="20"/>
              </w:rPr>
              <w:t>18</w:t>
            </w:r>
            <w:r w:rsidR="00797CAB">
              <w:rPr>
                <w:rFonts w:eastAsia="Times New Roman" w:cs="Arial"/>
                <w:sz w:val="20"/>
                <w:szCs w:val="20"/>
              </w:rPr>
              <w:t>/</w:t>
            </w:r>
            <w:r>
              <w:rPr>
                <w:rFonts w:eastAsia="Times New Roman" w:cs="Arial"/>
                <w:sz w:val="20"/>
                <w:szCs w:val="20"/>
              </w:rPr>
              <w:t>11</w:t>
            </w:r>
            <w:r w:rsidR="00797CAB">
              <w:rPr>
                <w:rFonts w:eastAsia="Times New Roman" w:cs="Arial"/>
                <w:sz w:val="20"/>
                <w:szCs w:val="20"/>
              </w:rPr>
              <w:t>/2</w:t>
            </w:r>
            <w:r w:rsidR="00286D0E">
              <w:rPr>
                <w:rFonts w:eastAsia="Times New Roman" w:cs="Arial"/>
                <w:sz w:val="20"/>
                <w:szCs w:val="20"/>
              </w:rPr>
              <w:t>0</w:t>
            </w:r>
          </w:p>
        </w:tc>
        <w:tc>
          <w:tcPr>
            <w:tcW w:w="763" w:type="pct"/>
          </w:tcPr>
          <w:p w14:paraId="781C197A" w14:textId="28C09572" w:rsidR="002B2E87" w:rsidRPr="002B2E87" w:rsidRDefault="00746EF9" w:rsidP="002B2E87">
            <w:pPr>
              <w:jc w:val="center"/>
              <w:rPr>
                <w:rFonts w:eastAsia="Times New Roman" w:cs="Arial"/>
                <w:sz w:val="20"/>
                <w:szCs w:val="20"/>
              </w:rPr>
            </w:pPr>
            <w:r>
              <w:rPr>
                <w:rFonts w:eastAsia="Times New Roman" w:cs="Arial"/>
                <w:sz w:val="20"/>
                <w:szCs w:val="20"/>
              </w:rPr>
              <w:t>Tom Lineham</w:t>
            </w:r>
          </w:p>
        </w:tc>
        <w:tc>
          <w:tcPr>
            <w:tcW w:w="1944" w:type="pct"/>
          </w:tcPr>
          <w:p w14:paraId="690A4FCF" w14:textId="0079CFC6" w:rsidR="002B2E87" w:rsidRPr="002B2E87" w:rsidRDefault="0032604C" w:rsidP="002B2E87">
            <w:pPr>
              <w:jc w:val="center"/>
              <w:rPr>
                <w:rFonts w:eastAsia="Times New Roman" w:cs="Arial"/>
                <w:sz w:val="20"/>
                <w:szCs w:val="20"/>
              </w:rPr>
            </w:pPr>
            <w:r>
              <w:rPr>
                <w:rFonts w:eastAsia="Times New Roman" w:cs="Arial"/>
                <w:sz w:val="20"/>
                <w:szCs w:val="20"/>
              </w:rPr>
              <w:t>Initial draft</w:t>
            </w:r>
          </w:p>
        </w:tc>
      </w:tr>
      <w:tr w:rsidR="00975BC5" w:rsidRPr="002B2E87" w14:paraId="420D8008" w14:textId="77777777" w:rsidTr="002B2E87">
        <w:tc>
          <w:tcPr>
            <w:tcW w:w="902" w:type="pct"/>
          </w:tcPr>
          <w:p w14:paraId="570905FA" w14:textId="082E2A53" w:rsidR="00975BC5" w:rsidRDefault="00234AEF" w:rsidP="002B2E87">
            <w:pPr>
              <w:jc w:val="center"/>
              <w:rPr>
                <w:rFonts w:eastAsia="Times New Roman" w:cs="Arial"/>
                <w:sz w:val="20"/>
                <w:szCs w:val="20"/>
              </w:rPr>
            </w:pPr>
            <w:r>
              <w:rPr>
                <w:rFonts w:eastAsia="Times New Roman" w:cs="Arial"/>
                <w:sz w:val="20"/>
                <w:szCs w:val="20"/>
              </w:rPr>
              <w:t>1.0</w:t>
            </w:r>
          </w:p>
        </w:tc>
        <w:tc>
          <w:tcPr>
            <w:tcW w:w="835" w:type="pct"/>
          </w:tcPr>
          <w:p w14:paraId="10372868" w14:textId="54D37204" w:rsidR="00975BC5" w:rsidRDefault="00234AEF" w:rsidP="002B2E87">
            <w:pPr>
              <w:jc w:val="center"/>
              <w:rPr>
                <w:rFonts w:eastAsia="Times New Roman" w:cs="Arial"/>
                <w:sz w:val="20"/>
                <w:szCs w:val="20"/>
              </w:rPr>
            </w:pPr>
            <w:r>
              <w:rPr>
                <w:rFonts w:eastAsia="Times New Roman" w:cs="Arial"/>
                <w:sz w:val="20"/>
                <w:szCs w:val="20"/>
              </w:rPr>
              <w:t>Approved</w:t>
            </w:r>
          </w:p>
        </w:tc>
        <w:tc>
          <w:tcPr>
            <w:tcW w:w="556" w:type="pct"/>
          </w:tcPr>
          <w:p w14:paraId="2F15D66E" w14:textId="36152854" w:rsidR="00975BC5" w:rsidRDefault="00234AEF" w:rsidP="002B2E87">
            <w:pPr>
              <w:jc w:val="center"/>
              <w:rPr>
                <w:rFonts w:eastAsia="Times New Roman" w:cs="Arial"/>
                <w:sz w:val="20"/>
                <w:szCs w:val="20"/>
              </w:rPr>
            </w:pPr>
            <w:r>
              <w:rPr>
                <w:rFonts w:eastAsia="Times New Roman" w:cs="Arial"/>
                <w:sz w:val="20"/>
                <w:szCs w:val="20"/>
              </w:rPr>
              <w:t>27/11/20</w:t>
            </w:r>
          </w:p>
        </w:tc>
        <w:tc>
          <w:tcPr>
            <w:tcW w:w="763" w:type="pct"/>
          </w:tcPr>
          <w:p w14:paraId="73CFF9B9" w14:textId="7723986D" w:rsidR="00975BC5" w:rsidRDefault="00234AEF" w:rsidP="002B2E87">
            <w:pPr>
              <w:jc w:val="center"/>
              <w:rPr>
                <w:rFonts w:eastAsia="Times New Roman" w:cs="Arial"/>
                <w:sz w:val="20"/>
                <w:szCs w:val="20"/>
              </w:rPr>
            </w:pPr>
            <w:r>
              <w:rPr>
                <w:rFonts w:eastAsia="Times New Roman" w:cs="Arial"/>
                <w:sz w:val="20"/>
                <w:szCs w:val="20"/>
              </w:rPr>
              <w:t>Tom Lineham</w:t>
            </w:r>
          </w:p>
        </w:tc>
        <w:tc>
          <w:tcPr>
            <w:tcW w:w="1944" w:type="pct"/>
          </w:tcPr>
          <w:p w14:paraId="0CAC1E27" w14:textId="33E593A4" w:rsidR="00975BC5" w:rsidRDefault="00234AEF" w:rsidP="002B2E87">
            <w:pPr>
              <w:jc w:val="center"/>
              <w:rPr>
                <w:rFonts w:eastAsia="Times New Roman" w:cs="Arial"/>
                <w:sz w:val="20"/>
                <w:szCs w:val="20"/>
              </w:rPr>
            </w:pPr>
            <w:proofErr w:type="spellStart"/>
            <w:r>
              <w:rPr>
                <w:rFonts w:eastAsia="Times New Roman" w:cs="Arial"/>
                <w:sz w:val="20"/>
                <w:szCs w:val="20"/>
              </w:rPr>
              <w:t>Documemt</w:t>
            </w:r>
            <w:proofErr w:type="spellEnd"/>
            <w:r>
              <w:rPr>
                <w:rFonts w:eastAsia="Times New Roman" w:cs="Arial"/>
                <w:sz w:val="20"/>
                <w:szCs w:val="20"/>
              </w:rPr>
              <w:t xml:space="preserve"> Approved</w:t>
            </w:r>
          </w:p>
        </w:tc>
      </w:tr>
      <w:tr w:rsidR="008E458F" w:rsidRPr="002B2E87" w14:paraId="2C639979" w14:textId="77777777" w:rsidTr="002B2E87">
        <w:tc>
          <w:tcPr>
            <w:tcW w:w="902" w:type="pct"/>
          </w:tcPr>
          <w:p w14:paraId="0D1B2E30" w14:textId="473135C6" w:rsidR="008E458F" w:rsidRDefault="00B72908" w:rsidP="002B2E87">
            <w:pPr>
              <w:jc w:val="center"/>
              <w:rPr>
                <w:rFonts w:eastAsia="Times New Roman" w:cs="Arial"/>
                <w:sz w:val="20"/>
                <w:szCs w:val="20"/>
              </w:rPr>
            </w:pPr>
            <w:r>
              <w:rPr>
                <w:rFonts w:eastAsia="Times New Roman" w:cs="Arial"/>
                <w:sz w:val="20"/>
                <w:szCs w:val="20"/>
              </w:rPr>
              <w:t>1</w:t>
            </w:r>
            <w:r w:rsidR="00EA6404">
              <w:rPr>
                <w:rFonts w:eastAsia="Times New Roman" w:cs="Arial"/>
                <w:sz w:val="20"/>
                <w:szCs w:val="20"/>
              </w:rPr>
              <w:t>.</w:t>
            </w:r>
            <w:r>
              <w:rPr>
                <w:rFonts w:eastAsia="Times New Roman" w:cs="Arial"/>
                <w:sz w:val="20"/>
                <w:szCs w:val="20"/>
              </w:rPr>
              <w:t>1</w:t>
            </w:r>
          </w:p>
        </w:tc>
        <w:tc>
          <w:tcPr>
            <w:tcW w:w="835" w:type="pct"/>
          </w:tcPr>
          <w:p w14:paraId="66C7AF5E" w14:textId="61F44DAA" w:rsidR="008E458F" w:rsidRDefault="00EA6404" w:rsidP="002B2E87">
            <w:pPr>
              <w:jc w:val="center"/>
              <w:rPr>
                <w:rFonts w:eastAsia="Times New Roman" w:cs="Arial"/>
                <w:sz w:val="20"/>
                <w:szCs w:val="20"/>
              </w:rPr>
            </w:pPr>
            <w:r>
              <w:rPr>
                <w:rFonts w:eastAsia="Times New Roman" w:cs="Arial"/>
                <w:sz w:val="20"/>
                <w:szCs w:val="20"/>
              </w:rPr>
              <w:t>For Approval</w:t>
            </w:r>
          </w:p>
        </w:tc>
        <w:tc>
          <w:tcPr>
            <w:tcW w:w="556" w:type="pct"/>
          </w:tcPr>
          <w:p w14:paraId="159F9160" w14:textId="60400946" w:rsidR="008E458F" w:rsidRDefault="00EA6404" w:rsidP="002B2E87">
            <w:pPr>
              <w:jc w:val="center"/>
              <w:rPr>
                <w:rFonts w:eastAsia="Times New Roman" w:cs="Arial"/>
                <w:sz w:val="20"/>
                <w:szCs w:val="20"/>
              </w:rPr>
            </w:pPr>
            <w:r>
              <w:rPr>
                <w:rFonts w:eastAsia="Times New Roman" w:cs="Arial"/>
                <w:sz w:val="20"/>
                <w:szCs w:val="20"/>
              </w:rPr>
              <w:t>23/02/21</w:t>
            </w:r>
          </w:p>
        </w:tc>
        <w:tc>
          <w:tcPr>
            <w:tcW w:w="763" w:type="pct"/>
          </w:tcPr>
          <w:p w14:paraId="2598DCC1" w14:textId="43745E8C" w:rsidR="008E458F" w:rsidRDefault="00EA6404" w:rsidP="002B2E87">
            <w:pPr>
              <w:jc w:val="center"/>
              <w:rPr>
                <w:rFonts w:eastAsia="Times New Roman" w:cs="Arial"/>
                <w:sz w:val="20"/>
                <w:szCs w:val="20"/>
              </w:rPr>
            </w:pPr>
            <w:r>
              <w:rPr>
                <w:rFonts w:eastAsia="Times New Roman" w:cs="Arial"/>
                <w:sz w:val="20"/>
                <w:szCs w:val="20"/>
              </w:rPr>
              <w:t>Tom Lineham</w:t>
            </w:r>
          </w:p>
        </w:tc>
        <w:tc>
          <w:tcPr>
            <w:tcW w:w="1944" w:type="pct"/>
          </w:tcPr>
          <w:p w14:paraId="74599986" w14:textId="5B3DFF01" w:rsidR="008E458F" w:rsidRDefault="00EA6404" w:rsidP="002B2E87">
            <w:pPr>
              <w:jc w:val="center"/>
              <w:rPr>
                <w:rFonts w:eastAsia="Times New Roman" w:cs="Arial"/>
                <w:sz w:val="20"/>
                <w:szCs w:val="20"/>
              </w:rPr>
            </w:pPr>
            <w:r>
              <w:rPr>
                <w:rFonts w:eastAsia="Times New Roman" w:cs="Arial"/>
                <w:sz w:val="20"/>
                <w:szCs w:val="20"/>
              </w:rPr>
              <w:t xml:space="preserve">Inclusion of AUGE Set Up costs </w:t>
            </w:r>
          </w:p>
        </w:tc>
      </w:tr>
      <w:tr w:rsidR="008E458F" w:rsidRPr="002B2E87" w14:paraId="4E78B688" w14:textId="77777777" w:rsidTr="002B2E87">
        <w:tc>
          <w:tcPr>
            <w:tcW w:w="902" w:type="pct"/>
          </w:tcPr>
          <w:p w14:paraId="0B3FDD7E" w14:textId="424BF620" w:rsidR="008E458F" w:rsidRDefault="00B72908" w:rsidP="002B2E87">
            <w:pPr>
              <w:jc w:val="center"/>
              <w:rPr>
                <w:rFonts w:eastAsia="Times New Roman" w:cs="Arial"/>
                <w:sz w:val="20"/>
                <w:szCs w:val="20"/>
              </w:rPr>
            </w:pPr>
            <w:r>
              <w:rPr>
                <w:rFonts w:eastAsia="Times New Roman" w:cs="Arial"/>
                <w:sz w:val="20"/>
                <w:szCs w:val="20"/>
              </w:rPr>
              <w:t>2.0</w:t>
            </w:r>
          </w:p>
        </w:tc>
        <w:tc>
          <w:tcPr>
            <w:tcW w:w="835" w:type="pct"/>
          </w:tcPr>
          <w:p w14:paraId="2C20ECC9" w14:textId="06871554" w:rsidR="008E458F" w:rsidRDefault="00B72908" w:rsidP="002B2E87">
            <w:pPr>
              <w:jc w:val="center"/>
              <w:rPr>
                <w:rFonts w:eastAsia="Times New Roman" w:cs="Arial"/>
                <w:sz w:val="20"/>
                <w:szCs w:val="20"/>
              </w:rPr>
            </w:pPr>
            <w:r>
              <w:rPr>
                <w:rFonts w:eastAsia="Times New Roman" w:cs="Arial"/>
                <w:sz w:val="20"/>
                <w:szCs w:val="20"/>
              </w:rPr>
              <w:t>Approved</w:t>
            </w:r>
          </w:p>
        </w:tc>
        <w:tc>
          <w:tcPr>
            <w:tcW w:w="556" w:type="pct"/>
          </w:tcPr>
          <w:p w14:paraId="0628B5D6" w14:textId="286AADA1" w:rsidR="008E458F" w:rsidRDefault="00B72908" w:rsidP="002B2E87">
            <w:pPr>
              <w:jc w:val="center"/>
              <w:rPr>
                <w:rFonts w:eastAsia="Times New Roman" w:cs="Arial"/>
                <w:sz w:val="20"/>
                <w:szCs w:val="20"/>
              </w:rPr>
            </w:pPr>
            <w:r>
              <w:rPr>
                <w:rFonts w:eastAsia="Times New Roman" w:cs="Arial"/>
                <w:sz w:val="20"/>
                <w:szCs w:val="20"/>
              </w:rPr>
              <w:t>26/02/21</w:t>
            </w:r>
          </w:p>
        </w:tc>
        <w:tc>
          <w:tcPr>
            <w:tcW w:w="763" w:type="pct"/>
          </w:tcPr>
          <w:p w14:paraId="62D48BE9" w14:textId="72EA1550" w:rsidR="008E458F" w:rsidRDefault="00B72908" w:rsidP="002B2E87">
            <w:pPr>
              <w:jc w:val="center"/>
              <w:rPr>
                <w:rFonts w:eastAsia="Times New Roman" w:cs="Arial"/>
                <w:sz w:val="20"/>
                <w:szCs w:val="20"/>
              </w:rPr>
            </w:pPr>
            <w:r>
              <w:rPr>
                <w:rFonts w:eastAsia="Times New Roman" w:cs="Arial"/>
                <w:sz w:val="20"/>
                <w:szCs w:val="20"/>
              </w:rPr>
              <w:t>Tom Lineham</w:t>
            </w:r>
          </w:p>
        </w:tc>
        <w:tc>
          <w:tcPr>
            <w:tcW w:w="1944" w:type="pct"/>
          </w:tcPr>
          <w:p w14:paraId="0F085A31" w14:textId="642AA4A2" w:rsidR="008E458F" w:rsidRDefault="00B72908" w:rsidP="002B2E87">
            <w:pPr>
              <w:jc w:val="center"/>
              <w:rPr>
                <w:rFonts w:eastAsia="Times New Roman" w:cs="Arial"/>
                <w:sz w:val="20"/>
                <w:szCs w:val="20"/>
              </w:rPr>
            </w:pPr>
            <w:r>
              <w:rPr>
                <w:rFonts w:eastAsia="Times New Roman" w:cs="Arial"/>
                <w:sz w:val="20"/>
                <w:szCs w:val="20"/>
              </w:rPr>
              <w:t>Document Approved</w:t>
            </w:r>
          </w:p>
        </w:tc>
      </w:tr>
      <w:tr w:rsidR="00306F47" w:rsidRPr="002B2E87" w14:paraId="46761F7A" w14:textId="77777777" w:rsidTr="002B2E87">
        <w:tc>
          <w:tcPr>
            <w:tcW w:w="902" w:type="pct"/>
          </w:tcPr>
          <w:p w14:paraId="040B495A" w14:textId="6635D3EE" w:rsidR="00306F47" w:rsidRDefault="00306F47" w:rsidP="002B2E87">
            <w:pPr>
              <w:jc w:val="center"/>
              <w:rPr>
                <w:rFonts w:eastAsia="Times New Roman" w:cs="Arial"/>
                <w:sz w:val="20"/>
                <w:szCs w:val="20"/>
              </w:rPr>
            </w:pPr>
          </w:p>
        </w:tc>
        <w:tc>
          <w:tcPr>
            <w:tcW w:w="835" w:type="pct"/>
          </w:tcPr>
          <w:p w14:paraId="4009A2AA" w14:textId="5CFCB843" w:rsidR="00306F47" w:rsidRDefault="00306F47" w:rsidP="002B2E87">
            <w:pPr>
              <w:jc w:val="center"/>
              <w:rPr>
                <w:rFonts w:eastAsia="Times New Roman" w:cs="Arial"/>
                <w:sz w:val="20"/>
                <w:szCs w:val="20"/>
              </w:rPr>
            </w:pPr>
          </w:p>
        </w:tc>
        <w:tc>
          <w:tcPr>
            <w:tcW w:w="556" w:type="pct"/>
          </w:tcPr>
          <w:p w14:paraId="4CB22A99" w14:textId="324A0709" w:rsidR="00306F47" w:rsidRDefault="00306F47" w:rsidP="002B2E87">
            <w:pPr>
              <w:jc w:val="center"/>
              <w:rPr>
                <w:rFonts w:eastAsia="Times New Roman" w:cs="Arial"/>
                <w:sz w:val="20"/>
                <w:szCs w:val="20"/>
              </w:rPr>
            </w:pPr>
          </w:p>
        </w:tc>
        <w:tc>
          <w:tcPr>
            <w:tcW w:w="763" w:type="pct"/>
          </w:tcPr>
          <w:p w14:paraId="6A191D6D" w14:textId="3E9697CA" w:rsidR="00306F47" w:rsidRDefault="00306F47" w:rsidP="002B2E87">
            <w:pPr>
              <w:jc w:val="center"/>
              <w:rPr>
                <w:rFonts w:eastAsia="Times New Roman" w:cs="Arial"/>
                <w:sz w:val="20"/>
                <w:szCs w:val="20"/>
              </w:rPr>
            </w:pPr>
          </w:p>
        </w:tc>
        <w:tc>
          <w:tcPr>
            <w:tcW w:w="1944" w:type="pct"/>
          </w:tcPr>
          <w:p w14:paraId="608AC360" w14:textId="1D4015F2" w:rsidR="00306F47" w:rsidRDefault="00306F47" w:rsidP="002B2E87">
            <w:pPr>
              <w:jc w:val="center"/>
              <w:rPr>
                <w:rFonts w:eastAsia="Times New Roman" w:cs="Arial"/>
                <w:sz w:val="20"/>
                <w:szCs w:val="20"/>
              </w:rPr>
            </w:pPr>
          </w:p>
        </w:tc>
      </w:tr>
    </w:tbl>
    <w:p w14:paraId="06A83719" w14:textId="77777777" w:rsidR="002B2E87" w:rsidRPr="002B2E87" w:rsidRDefault="002B2E87" w:rsidP="002B2E87">
      <w:pPr>
        <w:rPr>
          <w:rFonts w:eastAsia="Arial" w:cs="Times New Roman"/>
          <w:sz w:val="20"/>
          <w:szCs w:val="20"/>
        </w:rPr>
      </w:pPr>
    </w:p>
    <w:p w14:paraId="7E566A1C" w14:textId="77777777" w:rsidR="002B2E87" w:rsidRPr="002B2E87" w:rsidRDefault="002B2E87" w:rsidP="002B2E87">
      <w:pPr>
        <w:rPr>
          <w:rFonts w:eastAsia="Arial" w:cs="Times New Roman"/>
          <w:b/>
          <w:sz w:val="20"/>
          <w:szCs w:val="20"/>
        </w:rPr>
      </w:pPr>
      <w:r w:rsidRPr="002B2E87">
        <w:rPr>
          <w:rFonts w:eastAsia="Arial" w:cs="Times New Roman"/>
          <w:b/>
          <w:sz w:val="20"/>
          <w:szCs w:val="20"/>
        </w:rPr>
        <w:t>Template Version History</w:t>
      </w:r>
    </w:p>
    <w:tbl>
      <w:tblPr>
        <w:tblStyle w:val="TableGrid1"/>
        <w:tblW w:w="5522" w:type="pct"/>
        <w:tblInd w:w="-459" w:type="dxa"/>
        <w:tblLook w:val="04A0" w:firstRow="1" w:lastRow="0" w:firstColumn="1" w:lastColumn="0" w:noHBand="0" w:noVBand="1"/>
      </w:tblPr>
      <w:tblGrid>
        <w:gridCol w:w="1797"/>
        <w:gridCol w:w="1663"/>
        <w:gridCol w:w="1107"/>
        <w:gridCol w:w="1519"/>
        <w:gridCol w:w="3871"/>
      </w:tblGrid>
      <w:tr w:rsidR="002B2E87" w:rsidRPr="002B2E87" w14:paraId="7CD8641A" w14:textId="77777777" w:rsidTr="002B2E87">
        <w:trPr>
          <w:trHeight w:val="611"/>
        </w:trPr>
        <w:tc>
          <w:tcPr>
            <w:tcW w:w="902" w:type="pct"/>
            <w:tcBorders>
              <w:bottom w:val="single" w:sz="4" w:space="0" w:color="auto"/>
            </w:tcBorders>
            <w:shd w:val="clear" w:color="auto" w:fill="D6DCF0" w:themeFill="accent1" w:themeFillTint="33"/>
            <w:vAlign w:val="center"/>
          </w:tcPr>
          <w:p w14:paraId="54319E92"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Version</w:t>
            </w:r>
          </w:p>
        </w:tc>
        <w:tc>
          <w:tcPr>
            <w:tcW w:w="835" w:type="pct"/>
            <w:tcBorders>
              <w:bottom w:val="single" w:sz="4" w:space="0" w:color="auto"/>
            </w:tcBorders>
            <w:shd w:val="clear" w:color="auto" w:fill="D6DCF0" w:themeFill="accent1" w:themeFillTint="33"/>
            <w:vAlign w:val="center"/>
          </w:tcPr>
          <w:p w14:paraId="0E9D1E2F"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Status</w:t>
            </w:r>
          </w:p>
        </w:tc>
        <w:tc>
          <w:tcPr>
            <w:tcW w:w="556" w:type="pct"/>
            <w:tcBorders>
              <w:bottom w:val="single" w:sz="4" w:space="0" w:color="auto"/>
            </w:tcBorders>
            <w:shd w:val="clear" w:color="auto" w:fill="D6DCF0" w:themeFill="accent1" w:themeFillTint="33"/>
            <w:vAlign w:val="center"/>
          </w:tcPr>
          <w:p w14:paraId="3C9BAE11"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Date</w:t>
            </w:r>
          </w:p>
        </w:tc>
        <w:tc>
          <w:tcPr>
            <w:tcW w:w="763" w:type="pct"/>
            <w:tcBorders>
              <w:bottom w:val="single" w:sz="4" w:space="0" w:color="auto"/>
            </w:tcBorders>
            <w:shd w:val="clear" w:color="auto" w:fill="D6DCF0" w:themeFill="accent1" w:themeFillTint="33"/>
            <w:vAlign w:val="center"/>
          </w:tcPr>
          <w:p w14:paraId="3B719679"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Author(s)</w:t>
            </w:r>
          </w:p>
        </w:tc>
        <w:tc>
          <w:tcPr>
            <w:tcW w:w="1944" w:type="pct"/>
            <w:tcBorders>
              <w:bottom w:val="single" w:sz="4" w:space="0" w:color="auto"/>
            </w:tcBorders>
            <w:shd w:val="clear" w:color="auto" w:fill="D6DCF0" w:themeFill="accent1" w:themeFillTint="33"/>
            <w:vAlign w:val="center"/>
          </w:tcPr>
          <w:p w14:paraId="0FA660B3"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Summary of Changes</w:t>
            </w:r>
          </w:p>
        </w:tc>
      </w:tr>
      <w:tr w:rsidR="002B2E87" w:rsidRPr="002B2E87" w14:paraId="67EF6482" w14:textId="77777777" w:rsidTr="002B2E87">
        <w:trPr>
          <w:trHeight w:val="611"/>
        </w:trPr>
        <w:tc>
          <w:tcPr>
            <w:tcW w:w="902" w:type="pct"/>
            <w:shd w:val="clear" w:color="auto" w:fill="FFFFFF" w:themeFill="background1"/>
            <w:vAlign w:val="center"/>
          </w:tcPr>
          <w:p w14:paraId="148538AD" w14:textId="77777777" w:rsidR="002B2E87" w:rsidRPr="00E52009" w:rsidRDefault="002B2E87" w:rsidP="002B2E87">
            <w:pPr>
              <w:jc w:val="center"/>
              <w:rPr>
                <w:rFonts w:eastAsia="Times New Roman" w:cs="Arial"/>
                <w:sz w:val="20"/>
                <w:szCs w:val="20"/>
              </w:rPr>
            </w:pPr>
            <w:r w:rsidRPr="00E52009">
              <w:rPr>
                <w:rFonts w:eastAsia="Times New Roman" w:cs="Arial"/>
                <w:sz w:val="20"/>
                <w:szCs w:val="20"/>
              </w:rPr>
              <w:t>1.0</w:t>
            </w:r>
          </w:p>
        </w:tc>
        <w:tc>
          <w:tcPr>
            <w:tcW w:w="835" w:type="pct"/>
            <w:shd w:val="clear" w:color="auto" w:fill="FFFFFF" w:themeFill="background1"/>
            <w:vAlign w:val="center"/>
          </w:tcPr>
          <w:p w14:paraId="55DC08CE" w14:textId="77777777" w:rsidR="002B2E87" w:rsidRPr="00E52009" w:rsidRDefault="002B2E87" w:rsidP="002B2E87">
            <w:pPr>
              <w:jc w:val="center"/>
              <w:rPr>
                <w:rFonts w:eastAsia="Times New Roman" w:cs="Arial"/>
                <w:sz w:val="20"/>
                <w:szCs w:val="20"/>
              </w:rPr>
            </w:pPr>
            <w:r w:rsidRPr="00E52009">
              <w:rPr>
                <w:rFonts w:eastAsia="Times New Roman" w:cs="Arial"/>
                <w:sz w:val="20"/>
                <w:szCs w:val="20"/>
              </w:rPr>
              <w:t>Approved</w:t>
            </w:r>
          </w:p>
        </w:tc>
        <w:tc>
          <w:tcPr>
            <w:tcW w:w="556" w:type="pct"/>
            <w:shd w:val="clear" w:color="auto" w:fill="FFFFFF" w:themeFill="background1"/>
            <w:vAlign w:val="center"/>
          </w:tcPr>
          <w:p w14:paraId="754ABD5F" w14:textId="77777777" w:rsidR="002B2E87" w:rsidRPr="00E52009" w:rsidRDefault="002B2E87" w:rsidP="002B2E87">
            <w:pPr>
              <w:jc w:val="center"/>
              <w:rPr>
                <w:rFonts w:eastAsia="Times New Roman" w:cs="Arial"/>
                <w:sz w:val="20"/>
                <w:szCs w:val="20"/>
              </w:rPr>
            </w:pPr>
            <w:r w:rsidRPr="00E52009">
              <w:rPr>
                <w:rFonts w:eastAsia="Times New Roman" w:cs="Arial"/>
                <w:sz w:val="20"/>
                <w:szCs w:val="20"/>
              </w:rPr>
              <w:t>15/06/18</w:t>
            </w:r>
          </w:p>
        </w:tc>
        <w:tc>
          <w:tcPr>
            <w:tcW w:w="763" w:type="pct"/>
            <w:shd w:val="clear" w:color="auto" w:fill="FFFFFF" w:themeFill="background1"/>
            <w:vAlign w:val="center"/>
          </w:tcPr>
          <w:p w14:paraId="4F4FCCFD" w14:textId="77777777" w:rsidR="002B2E87" w:rsidRPr="00E52009" w:rsidRDefault="002B2E87" w:rsidP="002B2E87">
            <w:pPr>
              <w:jc w:val="center"/>
              <w:rPr>
                <w:rFonts w:eastAsia="Times New Roman" w:cs="Arial"/>
                <w:sz w:val="20"/>
                <w:szCs w:val="20"/>
              </w:rPr>
            </w:pPr>
            <w:r w:rsidRPr="00E52009">
              <w:rPr>
                <w:rFonts w:eastAsia="Times New Roman" w:cs="Arial"/>
                <w:sz w:val="20"/>
                <w:szCs w:val="20"/>
              </w:rPr>
              <w:t>Rebecca Perkins</w:t>
            </w:r>
          </w:p>
        </w:tc>
        <w:tc>
          <w:tcPr>
            <w:tcW w:w="1944" w:type="pct"/>
            <w:shd w:val="clear" w:color="auto" w:fill="FFFFFF" w:themeFill="background1"/>
            <w:vAlign w:val="center"/>
          </w:tcPr>
          <w:p w14:paraId="4377D9E8" w14:textId="77777777" w:rsidR="002B2E87" w:rsidRPr="00E52009" w:rsidRDefault="002B2E87" w:rsidP="002B2E87">
            <w:pPr>
              <w:rPr>
                <w:rFonts w:eastAsia="Times New Roman" w:cs="Arial"/>
                <w:sz w:val="20"/>
                <w:szCs w:val="20"/>
              </w:rPr>
            </w:pPr>
            <w:r w:rsidRPr="00E52009">
              <w:rPr>
                <w:rFonts w:eastAsia="Times New Roman" w:cs="Arial"/>
                <w:sz w:val="20"/>
                <w:szCs w:val="20"/>
              </w:rPr>
              <w:t>Document approved at CHMC External Workgroup</w:t>
            </w:r>
          </w:p>
        </w:tc>
      </w:tr>
      <w:tr w:rsidR="002B2E87" w:rsidRPr="002B2E87" w14:paraId="0B62DCEC" w14:textId="77777777" w:rsidTr="002B2E87">
        <w:trPr>
          <w:trHeight w:val="611"/>
        </w:trPr>
        <w:tc>
          <w:tcPr>
            <w:tcW w:w="902" w:type="pct"/>
            <w:shd w:val="clear" w:color="auto" w:fill="FFFFFF" w:themeFill="background1"/>
            <w:vAlign w:val="center"/>
          </w:tcPr>
          <w:p w14:paraId="41398EFD" w14:textId="37D08A89" w:rsidR="002B2E87" w:rsidRPr="002B2E87" w:rsidRDefault="00DD70AB" w:rsidP="002B2E87">
            <w:pPr>
              <w:jc w:val="center"/>
              <w:rPr>
                <w:rFonts w:eastAsia="Times New Roman" w:cs="Arial"/>
                <w:sz w:val="20"/>
              </w:rPr>
            </w:pPr>
            <w:r>
              <w:rPr>
                <w:rFonts w:eastAsia="Times New Roman" w:cs="Arial"/>
                <w:sz w:val="20"/>
              </w:rPr>
              <w:t>2.0</w:t>
            </w:r>
          </w:p>
        </w:tc>
        <w:tc>
          <w:tcPr>
            <w:tcW w:w="835" w:type="pct"/>
            <w:shd w:val="clear" w:color="auto" w:fill="FFFFFF" w:themeFill="background1"/>
            <w:vAlign w:val="center"/>
          </w:tcPr>
          <w:p w14:paraId="582F6057" w14:textId="2AB5D8EC" w:rsidR="002B2E87" w:rsidRPr="002B2E87" w:rsidRDefault="00DD70AB" w:rsidP="002B2E87">
            <w:pPr>
              <w:jc w:val="center"/>
              <w:rPr>
                <w:rFonts w:eastAsia="Times New Roman" w:cs="Arial"/>
                <w:sz w:val="20"/>
              </w:rPr>
            </w:pPr>
            <w:r>
              <w:rPr>
                <w:rFonts w:eastAsia="Times New Roman" w:cs="Arial"/>
                <w:sz w:val="20"/>
              </w:rPr>
              <w:t>Approved</w:t>
            </w:r>
          </w:p>
        </w:tc>
        <w:tc>
          <w:tcPr>
            <w:tcW w:w="556" w:type="pct"/>
            <w:shd w:val="clear" w:color="auto" w:fill="FFFFFF" w:themeFill="background1"/>
            <w:vAlign w:val="center"/>
          </w:tcPr>
          <w:p w14:paraId="2C8FE10B" w14:textId="1FE83B64" w:rsidR="002B2E87" w:rsidRPr="002B2E87" w:rsidRDefault="002B2E87" w:rsidP="002B2E87">
            <w:pPr>
              <w:jc w:val="center"/>
              <w:rPr>
                <w:rFonts w:eastAsia="Times New Roman" w:cs="Arial"/>
                <w:sz w:val="20"/>
              </w:rPr>
            </w:pPr>
            <w:r>
              <w:rPr>
                <w:rFonts w:eastAsia="Times New Roman" w:cs="Arial"/>
                <w:sz w:val="20"/>
              </w:rPr>
              <w:t>19/12/18</w:t>
            </w:r>
          </w:p>
        </w:tc>
        <w:tc>
          <w:tcPr>
            <w:tcW w:w="763" w:type="pct"/>
            <w:shd w:val="clear" w:color="auto" w:fill="FFFFFF" w:themeFill="background1"/>
            <w:vAlign w:val="center"/>
          </w:tcPr>
          <w:p w14:paraId="26B92B01" w14:textId="2B3B3463" w:rsidR="002B2E87" w:rsidRPr="002B2E87" w:rsidRDefault="002B2E87" w:rsidP="002B2E87">
            <w:pPr>
              <w:jc w:val="center"/>
              <w:rPr>
                <w:rFonts w:eastAsia="Times New Roman" w:cs="Arial"/>
                <w:sz w:val="20"/>
              </w:rPr>
            </w:pPr>
            <w:r>
              <w:rPr>
                <w:rFonts w:eastAsia="Times New Roman" w:cs="Arial"/>
                <w:sz w:val="20"/>
              </w:rPr>
              <w:t xml:space="preserve">Heather </w:t>
            </w:r>
            <w:proofErr w:type="spellStart"/>
            <w:r>
              <w:rPr>
                <w:rFonts w:eastAsia="Times New Roman" w:cs="Arial"/>
                <w:sz w:val="20"/>
              </w:rPr>
              <w:t>Spensley</w:t>
            </w:r>
            <w:proofErr w:type="spellEnd"/>
          </w:p>
        </w:tc>
        <w:tc>
          <w:tcPr>
            <w:tcW w:w="1944" w:type="pct"/>
            <w:shd w:val="clear" w:color="auto" w:fill="FFFFFF" w:themeFill="background1"/>
            <w:vAlign w:val="center"/>
          </w:tcPr>
          <w:p w14:paraId="28B38E32" w14:textId="2DA5CD4E" w:rsidR="002B2E87" w:rsidRPr="002B2E87" w:rsidRDefault="00E52009" w:rsidP="002B2E87">
            <w:pPr>
              <w:rPr>
                <w:rFonts w:eastAsia="Times New Roman" w:cs="Arial"/>
                <w:sz w:val="18"/>
              </w:rPr>
            </w:pPr>
            <w:r>
              <w:rPr>
                <w:rFonts w:eastAsia="Times New Roman" w:cs="Arial"/>
                <w:sz w:val="20"/>
              </w:rPr>
              <w:t xml:space="preserve">Moved onto </w:t>
            </w:r>
            <w:proofErr w:type="spellStart"/>
            <w:r>
              <w:rPr>
                <w:rFonts w:eastAsia="Times New Roman" w:cs="Arial"/>
                <w:sz w:val="20"/>
              </w:rPr>
              <w:t>Xoserve’s</w:t>
            </w:r>
            <w:proofErr w:type="spellEnd"/>
            <w:r>
              <w:rPr>
                <w:rFonts w:eastAsia="Times New Roman" w:cs="Arial"/>
                <w:sz w:val="20"/>
              </w:rPr>
              <w:t xml:space="preserve"> new Word template in line with new branding</w:t>
            </w:r>
          </w:p>
        </w:tc>
      </w:tr>
    </w:tbl>
    <w:p w14:paraId="3E175A51" w14:textId="0F18E928" w:rsidR="00D66C7E" w:rsidRPr="00D66C7E" w:rsidRDefault="00D66C7E" w:rsidP="00C721D4">
      <w:bookmarkStart w:id="1" w:name="_GoBack"/>
      <w:bookmarkEnd w:id="1"/>
    </w:p>
    <w:sectPr w:rsidR="00D66C7E" w:rsidRPr="00D66C7E">
      <w:headerReference w:type="default" r:id="rId20"/>
      <w:footerReference w:type="default" r:id="rId21"/>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3970075" w16cex:dateUtc="2021-02-25T11:57:03.269Z"/>
  <w16cex:commentExtensible w16cex:durableId="21943978" w16cex:dateUtc="2021-02-25T12:17:10.138Z"/>
  <w16cex:commentExtensible w16cex:durableId="153EB47B" w16cex:dateUtc="2021-02-25T12:17:48.606Z"/>
  <w16cex:commentExtensible w16cex:durableId="415D749C" w16cex:dateUtc="2021-02-25T12:40:43.828Z"/>
  <w16cex:commentExtensible w16cex:durableId="6E3FFCBE" w16cex:dateUtc="2021-02-25T12:44:06.42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6A9F9" w14:textId="77777777" w:rsidR="00FE2835" w:rsidRDefault="00FE2835" w:rsidP="00324744">
      <w:pPr>
        <w:spacing w:after="0" w:line="240" w:lineRule="auto"/>
      </w:pPr>
      <w:r>
        <w:separator/>
      </w:r>
    </w:p>
  </w:endnote>
  <w:endnote w:type="continuationSeparator" w:id="0">
    <w:p w14:paraId="1CF16EA3" w14:textId="77777777" w:rsidR="00FE2835" w:rsidRDefault="00FE2835"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75A75" w14:textId="77777777" w:rsidR="00135C0D" w:rsidRDefault="00135C0D">
    <w:pPr>
      <w:pStyle w:val="Footer"/>
    </w:pPr>
    <w:r>
      <w:rPr>
        <w:noProof/>
      </w:rPr>
      <mc:AlternateContent>
        <mc:Choice Requires="wps">
          <w:drawing>
            <wp:anchor distT="0" distB="0" distL="114300" distR="114300" simplePos="0" relativeHeight="251661312" behindDoc="0" locked="0" layoutInCell="1" allowOverlap="1" wp14:anchorId="3E175A78" wp14:editId="3E175A79">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F6B11C"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0CAF8" w14:textId="77777777" w:rsidR="00FE2835" w:rsidRDefault="00FE2835" w:rsidP="00324744">
      <w:pPr>
        <w:spacing w:after="0" w:line="240" w:lineRule="auto"/>
      </w:pPr>
      <w:r>
        <w:separator/>
      </w:r>
    </w:p>
  </w:footnote>
  <w:footnote w:type="continuationSeparator" w:id="0">
    <w:p w14:paraId="2E46D827" w14:textId="77777777" w:rsidR="00FE2835" w:rsidRDefault="00FE2835"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75A74" w14:textId="77777777" w:rsidR="00135C0D" w:rsidRDefault="00135C0D">
    <w:pPr>
      <w:pStyle w:val="Header"/>
    </w:pPr>
    <w:r>
      <w:rPr>
        <w:noProof/>
      </w:rPr>
      <mc:AlternateContent>
        <mc:Choice Requires="wps">
          <w:drawing>
            <wp:anchor distT="0" distB="0" distL="114300" distR="114300" simplePos="0" relativeHeight="251659264" behindDoc="0" locked="0" layoutInCell="1" allowOverlap="1" wp14:anchorId="3E175A76" wp14:editId="3E175A77">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D4A3FA"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3697"/>
    <w:multiLevelType w:val="hybridMultilevel"/>
    <w:tmpl w:val="083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172F3"/>
    <w:multiLevelType w:val="hybridMultilevel"/>
    <w:tmpl w:val="242C0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22A7A"/>
    <w:multiLevelType w:val="hybridMultilevel"/>
    <w:tmpl w:val="4EAA3C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7A2E05"/>
    <w:multiLevelType w:val="hybridMultilevel"/>
    <w:tmpl w:val="F61AE970"/>
    <w:lvl w:ilvl="0" w:tplc="C1CA03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FE6F16"/>
    <w:multiLevelType w:val="multilevel"/>
    <w:tmpl w:val="B7409ED0"/>
    <w:lvl w:ilvl="0">
      <w:start w:val="1"/>
      <w:numFmt w:val="decimal"/>
      <w:pStyle w:val="NGTHeading1"/>
      <w:lvlText w:val="%1."/>
      <w:lvlJc w:val="left"/>
      <w:pPr>
        <w:tabs>
          <w:tab w:val="num" w:pos="567"/>
        </w:tabs>
        <w:ind w:left="567" w:hanging="567"/>
      </w:pPr>
      <w:rPr>
        <w:rFonts w:ascii="Arial" w:hAnsi="Arial" w:hint="default"/>
        <w:b/>
        <w:i w:val="0"/>
        <w:sz w:val="20"/>
      </w:rPr>
    </w:lvl>
    <w:lvl w:ilvl="1">
      <w:start w:val="1"/>
      <w:numFmt w:val="decimal"/>
      <w:pStyle w:val="NGTHeading2"/>
      <w:lvlText w:val="%1.%2"/>
      <w:lvlJc w:val="left"/>
      <w:pPr>
        <w:tabs>
          <w:tab w:val="num" w:pos="567"/>
        </w:tabs>
        <w:ind w:left="567" w:hanging="567"/>
      </w:pPr>
      <w:rPr>
        <w:rFonts w:ascii="Arial" w:hAnsi="Arial" w:hint="default"/>
        <w:b w:val="0"/>
        <w:i w:val="0"/>
        <w:sz w:val="20"/>
      </w:rPr>
    </w:lvl>
    <w:lvl w:ilvl="2">
      <w:start w:val="1"/>
      <w:numFmt w:val="lowerLetter"/>
      <w:pStyle w:val="NGTHeading3"/>
      <w:lvlText w:val="(%3)"/>
      <w:lvlJc w:val="left"/>
      <w:pPr>
        <w:tabs>
          <w:tab w:val="num" w:pos="1134"/>
        </w:tabs>
        <w:ind w:left="1134" w:hanging="567"/>
      </w:pPr>
      <w:rPr>
        <w:rFonts w:hint="default"/>
      </w:rPr>
    </w:lvl>
    <w:lvl w:ilvl="3">
      <w:start w:val="1"/>
      <w:numFmt w:val="lowerRoman"/>
      <w:pStyle w:val="NGTHeading4"/>
      <w:lvlText w:val="(%4)"/>
      <w:lvlJc w:val="left"/>
      <w:pPr>
        <w:tabs>
          <w:tab w:val="num" w:pos="1854"/>
        </w:tabs>
        <w:ind w:left="1701" w:hanging="567"/>
      </w:pPr>
      <w:rPr>
        <w:rFonts w:hint="default"/>
      </w:rPr>
    </w:lvl>
    <w:lvl w:ilvl="4">
      <w:start w:val="1"/>
      <w:numFmt w:val="upperLetter"/>
      <w:pStyle w:val="NGTHeading5"/>
      <w:lvlText w:val="(%5)"/>
      <w:lvlJc w:val="left"/>
      <w:pPr>
        <w:tabs>
          <w:tab w:val="num" w:pos="2268"/>
        </w:tabs>
        <w:ind w:left="2268" w:hanging="567"/>
      </w:pPr>
      <w:rPr>
        <w:rFonts w:hint="default"/>
      </w:rPr>
    </w:lvl>
    <w:lvl w:ilvl="5">
      <w:start w:val="1"/>
      <w:numFmt w:val="decimal"/>
      <w:pStyle w:val="NGTHeading6"/>
      <w:lvlText w:val="(%6)"/>
      <w:lvlJc w:val="left"/>
      <w:pPr>
        <w:tabs>
          <w:tab w:val="num" w:pos="2835"/>
        </w:tabs>
        <w:ind w:left="2835" w:hanging="567"/>
      </w:pPr>
      <w:rPr>
        <w:rFonts w:hint="default"/>
      </w:rPr>
    </w:lvl>
    <w:lvl w:ilvl="6">
      <w:start w:val="1"/>
      <w:numFmt w:val="upperRoman"/>
      <w:pStyle w:val="NGTHeading7"/>
      <w:lvlText w:val="(%7)"/>
      <w:lvlJc w:val="left"/>
      <w:pPr>
        <w:tabs>
          <w:tab w:val="num" w:pos="3555"/>
        </w:tabs>
        <w:ind w:left="3402" w:hanging="567"/>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 w15:restartNumberingAfterBreak="0">
    <w:nsid w:val="179721FA"/>
    <w:multiLevelType w:val="multilevel"/>
    <w:tmpl w:val="1C240F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3467D7"/>
    <w:multiLevelType w:val="hybridMultilevel"/>
    <w:tmpl w:val="22A69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E211D8"/>
    <w:multiLevelType w:val="hybridMultilevel"/>
    <w:tmpl w:val="8530FD7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8" w15:restartNumberingAfterBreak="0">
    <w:nsid w:val="431A7F99"/>
    <w:multiLevelType w:val="hybridMultilevel"/>
    <w:tmpl w:val="ACC81D8A"/>
    <w:lvl w:ilvl="0" w:tplc="8332AEA8">
      <w:start w:val="1"/>
      <w:numFmt w:val="decimal"/>
      <w:lvlText w:val="%1)"/>
      <w:lvlJc w:val="left"/>
      <w:pPr>
        <w:tabs>
          <w:tab w:val="num" w:pos="720"/>
        </w:tabs>
        <w:ind w:left="720" w:hanging="360"/>
      </w:pPr>
    </w:lvl>
    <w:lvl w:ilvl="1" w:tplc="D110FB62" w:tentative="1">
      <w:start w:val="1"/>
      <w:numFmt w:val="decimal"/>
      <w:lvlText w:val="%2)"/>
      <w:lvlJc w:val="left"/>
      <w:pPr>
        <w:tabs>
          <w:tab w:val="num" w:pos="1440"/>
        </w:tabs>
        <w:ind w:left="1440" w:hanging="360"/>
      </w:pPr>
    </w:lvl>
    <w:lvl w:ilvl="2" w:tplc="88B86826" w:tentative="1">
      <w:start w:val="1"/>
      <w:numFmt w:val="decimal"/>
      <w:lvlText w:val="%3)"/>
      <w:lvlJc w:val="left"/>
      <w:pPr>
        <w:tabs>
          <w:tab w:val="num" w:pos="2160"/>
        </w:tabs>
        <w:ind w:left="2160" w:hanging="360"/>
      </w:pPr>
    </w:lvl>
    <w:lvl w:ilvl="3" w:tplc="FA041972" w:tentative="1">
      <w:start w:val="1"/>
      <w:numFmt w:val="decimal"/>
      <w:lvlText w:val="%4)"/>
      <w:lvlJc w:val="left"/>
      <w:pPr>
        <w:tabs>
          <w:tab w:val="num" w:pos="2880"/>
        </w:tabs>
        <w:ind w:left="2880" w:hanging="360"/>
      </w:pPr>
    </w:lvl>
    <w:lvl w:ilvl="4" w:tplc="73A2A85C" w:tentative="1">
      <w:start w:val="1"/>
      <w:numFmt w:val="decimal"/>
      <w:lvlText w:val="%5)"/>
      <w:lvlJc w:val="left"/>
      <w:pPr>
        <w:tabs>
          <w:tab w:val="num" w:pos="3600"/>
        </w:tabs>
        <w:ind w:left="3600" w:hanging="360"/>
      </w:pPr>
    </w:lvl>
    <w:lvl w:ilvl="5" w:tplc="81C6F840" w:tentative="1">
      <w:start w:val="1"/>
      <w:numFmt w:val="decimal"/>
      <w:lvlText w:val="%6)"/>
      <w:lvlJc w:val="left"/>
      <w:pPr>
        <w:tabs>
          <w:tab w:val="num" w:pos="4320"/>
        </w:tabs>
        <w:ind w:left="4320" w:hanging="360"/>
      </w:pPr>
    </w:lvl>
    <w:lvl w:ilvl="6" w:tplc="54A8373E" w:tentative="1">
      <w:start w:val="1"/>
      <w:numFmt w:val="decimal"/>
      <w:lvlText w:val="%7)"/>
      <w:lvlJc w:val="left"/>
      <w:pPr>
        <w:tabs>
          <w:tab w:val="num" w:pos="5040"/>
        </w:tabs>
        <w:ind w:left="5040" w:hanging="360"/>
      </w:pPr>
    </w:lvl>
    <w:lvl w:ilvl="7" w:tplc="B96E6312" w:tentative="1">
      <w:start w:val="1"/>
      <w:numFmt w:val="decimal"/>
      <w:lvlText w:val="%8)"/>
      <w:lvlJc w:val="left"/>
      <w:pPr>
        <w:tabs>
          <w:tab w:val="num" w:pos="5760"/>
        </w:tabs>
        <w:ind w:left="5760" w:hanging="360"/>
      </w:pPr>
    </w:lvl>
    <w:lvl w:ilvl="8" w:tplc="20CA6256" w:tentative="1">
      <w:start w:val="1"/>
      <w:numFmt w:val="decimal"/>
      <w:lvlText w:val="%9)"/>
      <w:lvlJc w:val="left"/>
      <w:pPr>
        <w:tabs>
          <w:tab w:val="num" w:pos="6480"/>
        </w:tabs>
        <w:ind w:left="6480" w:hanging="360"/>
      </w:pPr>
    </w:lvl>
  </w:abstractNum>
  <w:abstractNum w:abstractNumId="9" w15:restartNumberingAfterBreak="0">
    <w:nsid w:val="49807874"/>
    <w:multiLevelType w:val="multilevel"/>
    <w:tmpl w:val="CA8019BA"/>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4E7F2B4F"/>
    <w:multiLevelType w:val="hybridMultilevel"/>
    <w:tmpl w:val="456A7ADA"/>
    <w:name w:val="Style411"/>
    <w:styleLink w:val="Style411"/>
    <w:lvl w:ilvl="0" w:tplc="5A689952">
      <w:start w:val="1"/>
      <w:numFmt w:val="bullet"/>
      <w:lvlText w:val=""/>
      <w:lvlJc w:val="left"/>
      <w:pPr>
        <w:ind w:left="720" w:hanging="360"/>
      </w:pPr>
      <w:rPr>
        <w:rFonts w:ascii="Symbol" w:hAnsi="Symbol"/>
      </w:rPr>
    </w:lvl>
    <w:lvl w:ilvl="1" w:tplc="8AE04A60">
      <w:start w:val="1"/>
      <w:numFmt w:val="bullet"/>
      <w:lvlText w:val="o"/>
      <w:lvlJc w:val="left"/>
      <w:pPr>
        <w:ind w:left="1440" w:hanging="360"/>
      </w:pPr>
      <w:rPr>
        <w:rFonts w:ascii="Courier New" w:hAnsi="Courier New" w:cs="Courier New"/>
      </w:rPr>
    </w:lvl>
    <w:lvl w:ilvl="2" w:tplc="CD94286A">
      <w:start w:val="1"/>
      <w:numFmt w:val="bullet"/>
      <w:lvlText w:val=""/>
      <w:lvlJc w:val="left"/>
      <w:pPr>
        <w:ind w:left="2160" w:hanging="360"/>
      </w:pPr>
      <w:rPr>
        <w:rFonts w:ascii="Wingdings" w:hAnsi="Wingdings"/>
      </w:rPr>
    </w:lvl>
    <w:lvl w:ilvl="3" w:tplc="BAAE33A8">
      <w:start w:val="1"/>
      <w:numFmt w:val="bullet"/>
      <w:lvlText w:val=""/>
      <w:lvlJc w:val="left"/>
      <w:pPr>
        <w:ind w:left="2880" w:hanging="360"/>
      </w:pPr>
      <w:rPr>
        <w:rFonts w:ascii="Symbol" w:hAnsi="Symbol"/>
      </w:rPr>
    </w:lvl>
    <w:lvl w:ilvl="4" w:tplc="3ED6ECB4">
      <w:start w:val="1"/>
      <w:numFmt w:val="bullet"/>
      <w:lvlText w:val="o"/>
      <w:lvlJc w:val="left"/>
      <w:pPr>
        <w:ind w:left="3600" w:hanging="360"/>
      </w:pPr>
      <w:rPr>
        <w:rFonts w:ascii="Courier New" w:hAnsi="Courier New" w:cs="Courier New"/>
      </w:rPr>
    </w:lvl>
    <w:lvl w:ilvl="5" w:tplc="62945DF2">
      <w:start w:val="1"/>
      <w:numFmt w:val="bullet"/>
      <w:lvlText w:val=""/>
      <w:lvlJc w:val="left"/>
      <w:pPr>
        <w:ind w:left="4320" w:hanging="360"/>
      </w:pPr>
      <w:rPr>
        <w:rFonts w:ascii="Wingdings" w:hAnsi="Wingdings"/>
      </w:rPr>
    </w:lvl>
    <w:lvl w:ilvl="6" w:tplc="7B0E294A">
      <w:start w:val="1"/>
      <w:numFmt w:val="bullet"/>
      <w:lvlText w:val=""/>
      <w:lvlJc w:val="left"/>
      <w:pPr>
        <w:ind w:left="5040" w:hanging="360"/>
      </w:pPr>
      <w:rPr>
        <w:rFonts w:ascii="Symbol" w:hAnsi="Symbol"/>
      </w:rPr>
    </w:lvl>
    <w:lvl w:ilvl="7" w:tplc="419EDC2A">
      <w:start w:val="1"/>
      <w:numFmt w:val="bullet"/>
      <w:lvlText w:val="o"/>
      <w:lvlJc w:val="left"/>
      <w:pPr>
        <w:ind w:left="5760" w:hanging="360"/>
      </w:pPr>
      <w:rPr>
        <w:rFonts w:ascii="Courier New" w:hAnsi="Courier New" w:cs="Courier New"/>
      </w:rPr>
    </w:lvl>
    <w:lvl w:ilvl="8" w:tplc="F078D966">
      <w:start w:val="1"/>
      <w:numFmt w:val="bullet"/>
      <w:lvlText w:val=""/>
      <w:lvlJc w:val="left"/>
      <w:pPr>
        <w:ind w:left="6480" w:hanging="360"/>
      </w:pPr>
      <w:rPr>
        <w:rFonts w:ascii="Wingdings" w:hAnsi="Wingdings"/>
      </w:rPr>
    </w:lvl>
  </w:abstractNum>
  <w:abstractNum w:abstractNumId="11" w15:restartNumberingAfterBreak="0">
    <w:nsid w:val="4F5E1AFB"/>
    <w:multiLevelType w:val="hybridMultilevel"/>
    <w:tmpl w:val="AB0A3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ED1E00"/>
    <w:multiLevelType w:val="hybridMultilevel"/>
    <w:tmpl w:val="8D184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4A664FD"/>
    <w:multiLevelType w:val="hybridMultilevel"/>
    <w:tmpl w:val="3DBA5FC8"/>
    <w:lvl w:ilvl="0" w:tplc="C3A88E7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3078BE"/>
    <w:multiLevelType w:val="hybridMultilevel"/>
    <w:tmpl w:val="DE82B7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CA92A79"/>
    <w:multiLevelType w:val="hybridMultilevel"/>
    <w:tmpl w:val="F246FFCC"/>
    <w:name w:val="Style41"/>
    <w:styleLink w:val="Style41"/>
    <w:lvl w:ilvl="0" w:tplc="08090001">
      <w:start w:val="1"/>
      <w:numFmt w:val="bullet"/>
      <w:lvlText w:val=""/>
      <w:lvlJc w:val="left"/>
      <w:pPr>
        <w:ind w:left="720" w:hanging="360"/>
      </w:pPr>
      <w:rPr>
        <w:rFonts w:ascii="Symbol" w:hAnsi="Symbol" w:hint="default"/>
      </w:rPr>
    </w:lvl>
    <w:lvl w:ilvl="1" w:tplc="0BE0001A">
      <w:start w:val="1"/>
      <w:numFmt w:val="lowerLetter"/>
      <w:lvlText w:val="%2."/>
      <w:lvlJc w:val="left"/>
      <w:pPr>
        <w:ind w:left="1440" w:hanging="360"/>
      </w:pPr>
    </w:lvl>
    <w:lvl w:ilvl="2" w:tplc="276E2C02">
      <w:start w:val="1"/>
      <w:numFmt w:val="lowerRoman"/>
      <w:lvlText w:val="%3."/>
      <w:lvlJc w:val="right"/>
      <w:pPr>
        <w:ind w:left="2160" w:hanging="180"/>
      </w:pPr>
    </w:lvl>
    <w:lvl w:ilvl="3" w:tplc="99864048">
      <w:start w:val="1"/>
      <w:numFmt w:val="decimal"/>
      <w:lvlText w:val="%4."/>
      <w:lvlJc w:val="left"/>
      <w:pPr>
        <w:ind w:left="2880" w:hanging="360"/>
      </w:pPr>
    </w:lvl>
    <w:lvl w:ilvl="4" w:tplc="9B244D5C">
      <w:start w:val="1"/>
      <w:numFmt w:val="lowerLetter"/>
      <w:lvlText w:val="%5."/>
      <w:lvlJc w:val="left"/>
      <w:pPr>
        <w:ind w:left="3600" w:hanging="360"/>
      </w:pPr>
    </w:lvl>
    <w:lvl w:ilvl="5" w:tplc="4F12EAAE">
      <w:start w:val="1"/>
      <w:numFmt w:val="lowerRoman"/>
      <w:lvlText w:val="%6."/>
      <w:lvlJc w:val="right"/>
      <w:pPr>
        <w:ind w:left="4320" w:hanging="180"/>
      </w:pPr>
    </w:lvl>
    <w:lvl w:ilvl="6" w:tplc="ABDEF396">
      <w:start w:val="1"/>
      <w:numFmt w:val="decimal"/>
      <w:lvlText w:val="%7."/>
      <w:lvlJc w:val="left"/>
      <w:pPr>
        <w:ind w:left="5040" w:hanging="360"/>
      </w:pPr>
    </w:lvl>
    <w:lvl w:ilvl="7" w:tplc="7F148600">
      <w:start w:val="1"/>
      <w:numFmt w:val="lowerLetter"/>
      <w:lvlText w:val="%8."/>
      <w:lvlJc w:val="left"/>
      <w:pPr>
        <w:ind w:left="5760" w:hanging="360"/>
      </w:pPr>
    </w:lvl>
    <w:lvl w:ilvl="8" w:tplc="4408634A">
      <w:start w:val="1"/>
      <w:numFmt w:val="lowerRoman"/>
      <w:lvlText w:val="%9."/>
      <w:lvlJc w:val="right"/>
      <w:pPr>
        <w:ind w:left="6480" w:hanging="180"/>
      </w:pPr>
    </w:lvl>
  </w:abstractNum>
  <w:num w:numId="1">
    <w:abstractNumId w:val="5"/>
  </w:num>
  <w:num w:numId="2">
    <w:abstractNumId w:val="6"/>
  </w:num>
  <w:num w:numId="3">
    <w:abstractNumId w:val="4"/>
  </w:num>
  <w:num w:numId="4">
    <w:abstractNumId w:val="9"/>
  </w:num>
  <w:num w:numId="5">
    <w:abstractNumId w:val="0"/>
  </w:num>
  <w:num w:numId="6">
    <w:abstractNumId w:val="12"/>
  </w:num>
  <w:num w:numId="7">
    <w:abstractNumId w:val="1"/>
  </w:num>
  <w:num w:numId="8">
    <w:abstractNumId w:val="11"/>
  </w:num>
  <w:num w:numId="9">
    <w:abstractNumId w:val="15"/>
  </w:num>
  <w:num w:numId="10">
    <w:abstractNumId w:val="10"/>
  </w:num>
  <w:num w:numId="11">
    <w:abstractNumId w:val="3"/>
  </w:num>
  <w:num w:numId="12">
    <w:abstractNumId w:val="2"/>
  </w:num>
  <w:num w:numId="13">
    <w:abstractNumId w:val="14"/>
  </w:num>
  <w:num w:numId="14">
    <w:abstractNumId w:val="7"/>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6BB6"/>
    <w:rsid w:val="00006E29"/>
    <w:rsid w:val="00010986"/>
    <w:rsid w:val="00014DA2"/>
    <w:rsid w:val="00016736"/>
    <w:rsid w:val="000229F1"/>
    <w:rsid w:val="0002511B"/>
    <w:rsid w:val="00025955"/>
    <w:rsid w:val="0003136C"/>
    <w:rsid w:val="0003758F"/>
    <w:rsid w:val="00040B7E"/>
    <w:rsid w:val="00042DB8"/>
    <w:rsid w:val="00043629"/>
    <w:rsid w:val="0004427F"/>
    <w:rsid w:val="00045E44"/>
    <w:rsid w:val="000471A3"/>
    <w:rsid w:val="0005209B"/>
    <w:rsid w:val="00055F7C"/>
    <w:rsid w:val="000560C0"/>
    <w:rsid w:val="00057653"/>
    <w:rsid w:val="00057AFE"/>
    <w:rsid w:val="00057DC0"/>
    <w:rsid w:val="000608B3"/>
    <w:rsid w:val="00061BCD"/>
    <w:rsid w:val="00074FDE"/>
    <w:rsid w:val="0007561C"/>
    <w:rsid w:val="000759A1"/>
    <w:rsid w:val="000774B8"/>
    <w:rsid w:val="00077DB3"/>
    <w:rsid w:val="000818D5"/>
    <w:rsid w:val="00083E49"/>
    <w:rsid w:val="00084714"/>
    <w:rsid w:val="00086F14"/>
    <w:rsid w:val="000870F3"/>
    <w:rsid w:val="00093D54"/>
    <w:rsid w:val="000958A5"/>
    <w:rsid w:val="000972CB"/>
    <w:rsid w:val="00097557"/>
    <w:rsid w:val="000A09DA"/>
    <w:rsid w:val="000A1AD1"/>
    <w:rsid w:val="000A5402"/>
    <w:rsid w:val="000A66E9"/>
    <w:rsid w:val="000A6A9E"/>
    <w:rsid w:val="000A71BB"/>
    <w:rsid w:val="000B26DE"/>
    <w:rsid w:val="000B332E"/>
    <w:rsid w:val="000B406F"/>
    <w:rsid w:val="000B411F"/>
    <w:rsid w:val="000B6963"/>
    <w:rsid w:val="000B73EA"/>
    <w:rsid w:val="000B7CF3"/>
    <w:rsid w:val="000C6E46"/>
    <w:rsid w:val="000C74D3"/>
    <w:rsid w:val="000D05B9"/>
    <w:rsid w:val="000E0DC2"/>
    <w:rsid w:val="000E1463"/>
    <w:rsid w:val="000E16C9"/>
    <w:rsid w:val="000E3819"/>
    <w:rsid w:val="000E55B0"/>
    <w:rsid w:val="00115508"/>
    <w:rsid w:val="00120018"/>
    <w:rsid w:val="001207D8"/>
    <w:rsid w:val="00125B61"/>
    <w:rsid w:val="001270A2"/>
    <w:rsid w:val="00127356"/>
    <w:rsid w:val="001353D7"/>
    <w:rsid w:val="00135C0D"/>
    <w:rsid w:val="00136998"/>
    <w:rsid w:val="00137CB9"/>
    <w:rsid w:val="00143EFF"/>
    <w:rsid w:val="00144E00"/>
    <w:rsid w:val="00150D38"/>
    <w:rsid w:val="0015137D"/>
    <w:rsid w:val="0016147C"/>
    <w:rsid w:val="00181F6D"/>
    <w:rsid w:val="00183A53"/>
    <w:rsid w:val="00186E8F"/>
    <w:rsid w:val="00191D7E"/>
    <w:rsid w:val="00192E27"/>
    <w:rsid w:val="001936FC"/>
    <w:rsid w:val="0019390D"/>
    <w:rsid w:val="00193F34"/>
    <w:rsid w:val="001942F6"/>
    <w:rsid w:val="00195FBE"/>
    <w:rsid w:val="001A4748"/>
    <w:rsid w:val="001B0848"/>
    <w:rsid w:val="001B7DC1"/>
    <w:rsid w:val="001C15F7"/>
    <w:rsid w:val="001C51A0"/>
    <w:rsid w:val="001D247D"/>
    <w:rsid w:val="001D275E"/>
    <w:rsid w:val="001D668B"/>
    <w:rsid w:val="001D69A1"/>
    <w:rsid w:val="001D6FFB"/>
    <w:rsid w:val="001E3C5C"/>
    <w:rsid w:val="001E6419"/>
    <w:rsid w:val="001E6D34"/>
    <w:rsid w:val="001F350A"/>
    <w:rsid w:val="00203FBC"/>
    <w:rsid w:val="0022126F"/>
    <w:rsid w:val="00221538"/>
    <w:rsid w:val="002251F1"/>
    <w:rsid w:val="00226D34"/>
    <w:rsid w:val="00234AEF"/>
    <w:rsid w:val="0024046F"/>
    <w:rsid w:val="00242C0A"/>
    <w:rsid w:val="002466AB"/>
    <w:rsid w:val="00253465"/>
    <w:rsid w:val="002539AB"/>
    <w:rsid w:val="00260F79"/>
    <w:rsid w:val="00263B6E"/>
    <w:rsid w:val="002707BF"/>
    <w:rsid w:val="002765FA"/>
    <w:rsid w:val="0028280D"/>
    <w:rsid w:val="00286D0E"/>
    <w:rsid w:val="00290C3C"/>
    <w:rsid w:val="00290CDA"/>
    <w:rsid w:val="00291A42"/>
    <w:rsid w:val="00291D86"/>
    <w:rsid w:val="00292474"/>
    <w:rsid w:val="00293D29"/>
    <w:rsid w:val="00294CA5"/>
    <w:rsid w:val="00294DE9"/>
    <w:rsid w:val="00295D27"/>
    <w:rsid w:val="002A1FC5"/>
    <w:rsid w:val="002A554E"/>
    <w:rsid w:val="002A6742"/>
    <w:rsid w:val="002B11B2"/>
    <w:rsid w:val="002B27C5"/>
    <w:rsid w:val="002B2B02"/>
    <w:rsid w:val="002B2E87"/>
    <w:rsid w:val="002B4221"/>
    <w:rsid w:val="002B5742"/>
    <w:rsid w:val="002C58D6"/>
    <w:rsid w:val="002D683D"/>
    <w:rsid w:val="002D745C"/>
    <w:rsid w:val="002D74BA"/>
    <w:rsid w:val="002D7A48"/>
    <w:rsid w:val="002E3161"/>
    <w:rsid w:val="002E38B3"/>
    <w:rsid w:val="002E511B"/>
    <w:rsid w:val="002E5F75"/>
    <w:rsid w:val="002F5086"/>
    <w:rsid w:val="002F6CC9"/>
    <w:rsid w:val="00306F47"/>
    <w:rsid w:val="0031660D"/>
    <w:rsid w:val="00324744"/>
    <w:rsid w:val="00325F3A"/>
    <w:rsid w:val="0032604C"/>
    <w:rsid w:val="003270E3"/>
    <w:rsid w:val="00330CC3"/>
    <w:rsid w:val="00332325"/>
    <w:rsid w:val="0033543C"/>
    <w:rsid w:val="00336F7E"/>
    <w:rsid w:val="00340205"/>
    <w:rsid w:val="0034304D"/>
    <w:rsid w:val="00356379"/>
    <w:rsid w:val="003650B4"/>
    <w:rsid w:val="0036515E"/>
    <w:rsid w:val="0037133A"/>
    <w:rsid w:val="00372AF4"/>
    <w:rsid w:val="00373D5C"/>
    <w:rsid w:val="00374984"/>
    <w:rsid w:val="00385ADF"/>
    <w:rsid w:val="00386C13"/>
    <w:rsid w:val="00386DD6"/>
    <w:rsid w:val="00391B4E"/>
    <w:rsid w:val="00392D22"/>
    <w:rsid w:val="0039741E"/>
    <w:rsid w:val="00397A48"/>
    <w:rsid w:val="003A0A81"/>
    <w:rsid w:val="003B125F"/>
    <w:rsid w:val="003C4226"/>
    <w:rsid w:val="003C5A46"/>
    <w:rsid w:val="003E1EC0"/>
    <w:rsid w:val="003E26B0"/>
    <w:rsid w:val="003E4886"/>
    <w:rsid w:val="003E76C8"/>
    <w:rsid w:val="003F3198"/>
    <w:rsid w:val="003F509A"/>
    <w:rsid w:val="004002B1"/>
    <w:rsid w:val="00401A1F"/>
    <w:rsid w:val="0040241C"/>
    <w:rsid w:val="00407373"/>
    <w:rsid w:val="0041043A"/>
    <w:rsid w:val="00411FB4"/>
    <w:rsid w:val="0041328B"/>
    <w:rsid w:val="0042046E"/>
    <w:rsid w:val="004224DF"/>
    <w:rsid w:val="00426807"/>
    <w:rsid w:val="00434BEE"/>
    <w:rsid w:val="0043618F"/>
    <w:rsid w:val="0044312E"/>
    <w:rsid w:val="00443425"/>
    <w:rsid w:val="00445256"/>
    <w:rsid w:val="0044755A"/>
    <w:rsid w:val="0045266B"/>
    <w:rsid w:val="0045742C"/>
    <w:rsid w:val="00460FA2"/>
    <w:rsid w:val="00463EB7"/>
    <w:rsid w:val="0046467E"/>
    <w:rsid w:val="0046499A"/>
    <w:rsid w:val="00470600"/>
    <w:rsid w:val="00473262"/>
    <w:rsid w:val="00476907"/>
    <w:rsid w:val="00487E4D"/>
    <w:rsid w:val="004903EF"/>
    <w:rsid w:val="0049103B"/>
    <w:rsid w:val="00491D60"/>
    <w:rsid w:val="004A4941"/>
    <w:rsid w:val="004A7196"/>
    <w:rsid w:val="004B16E0"/>
    <w:rsid w:val="004B34C8"/>
    <w:rsid w:val="004C3840"/>
    <w:rsid w:val="004C5D53"/>
    <w:rsid w:val="004C7509"/>
    <w:rsid w:val="004D02BC"/>
    <w:rsid w:val="004D06B5"/>
    <w:rsid w:val="004D0B72"/>
    <w:rsid w:val="004D22D8"/>
    <w:rsid w:val="004E102B"/>
    <w:rsid w:val="004E151D"/>
    <w:rsid w:val="004E2CC4"/>
    <w:rsid w:val="004E630F"/>
    <w:rsid w:val="004F095D"/>
    <w:rsid w:val="004F226A"/>
    <w:rsid w:val="004F3362"/>
    <w:rsid w:val="004F5FAD"/>
    <w:rsid w:val="004F7AC5"/>
    <w:rsid w:val="00505225"/>
    <w:rsid w:val="00505A92"/>
    <w:rsid w:val="0051318E"/>
    <w:rsid w:val="005144BB"/>
    <w:rsid w:val="005156C2"/>
    <w:rsid w:val="00517F6F"/>
    <w:rsid w:val="005230DF"/>
    <w:rsid w:val="005249FC"/>
    <w:rsid w:val="00525557"/>
    <w:rsid w:val="00532937"/>
    <w:rsid w:val="00540FDC"/>
    <w:rsid w:val="00543428"/>
    <w:rsid w:val="00544F5A"/>
    <w:rsid w:val="0055298E"/>
    <w:rsid w:val="005538E6"/>
    <w:rsid w:val="00554A0E"/>
    <w:rsid w:val="00555DB7"/>
    <w:rsid w:val="0055608D"/>
    <w:rsid w:val="00570041"/>
    <w:rsid w:val="005864A5"/>
    <w:rsid w:val="005902CB"/>
    <w:rsid w:val="00592987"/>
    <w:rsid w:val="005931DD"/>
    <w:rsid w:val="00595C56"/>
    <w:rsid w:val="00597E73"/>
    <w:rsid w:val="00597F80"/>
    <w:rsid w:val="005A00C0"/>
    <w:rsid w:val="005A0A28"/>
    <w:rsid w:val="005A0A52"/>
    <w:rsid w:val="005A153A"/>
    <w:rsid w:val="005A2B58"/>
    <w:rsid w:val="005A47AA"/>
    <w:rsid w:val="005A680F"/>
    <w:rsid w:val="005A6CEB"/>
    <w:rsid w:val="005B4293"/>
    <w:rsid w:val="005D16CA"/>
    <w:rsid w:val="005D1E7E"/>
    <w:rsid w:val="005D40A8"/>
    <w:rsid w:val="005D4F5D"/>
    <w:rsid w:val="005E1C66"/>
    <w:rsid w:val="005E2260"/>
    <w:rsid w:val="005E2838"/>
    <w:rsid w:val="005E4D31"/>
    <w:rsid w:val="005F1990"/>
    <w:rsid w:val="005F37C2"/>
    <w:rsid w:val="006069BE"/>
    <w:rsid w:val="00607F85"/>
    <w:rsid w:val="00610390"/>
    <w:rsid w:val="00613E31"/>
    <w:rsid w:val="00617345"/>
    <w:rsid w:val="0062016E"/>
    <w:rsid w:val="006275B2"/>
    <w:rsid w:val="006300B9"/>
    <w:rsid w:val="0063343D"/>
    <w:rsid w:val="00636B0A"/>
    <w:rsid w:val="00650B5E"/>
    <w:rsid w:val="00651354"/>
    <w:rsid w:val="00660CA9"/>
    <w:rsid w:val="00662760"/>
    <w:rsid w:val="006643E9"/>
    <w:rsid w:val="006657A1"/>
    <w:rsid w:val="006668AF"/>
    <w:rsid w:val="00667F77"/>
    <w:rsid w:val="00672C70"/>
    <w:rsid w:val="006769AC"/>
    <w:rsid w:val="00677270"/>
    <w:rsid w:val="00677C69"/>
    <w:rsid w:val="00680861"/>
    <w:rsid w:val="006870DE"/>
    <w:rsid w:val="00690D16"/>
    <w:rsid w:val="006A7370"/>
    <w:rsid w:val="006B37E7"/>
    <w:rsid w:val="006C09B4"/>
    <w:rsid w:val="006C228D"/>
    <w:rsid w:val="006C2C66"/>
    <w:rsid w:val="006C6330"/>
    <w:rsid w:val="006C689B"/>
    <w:rsid w:val="006C7029"/>
    <w:rsid w:val="006D4434"/>
    <w:rsid w:val="006D44C5"/>
    <w:rsid w:val="006D5230"/>
    <w:rsid w:val="006D5D08"/>
    <w:rsid w:val="006E74B8"/>
    <w:rsid w:val="006F062B"/>
    <w:rsid w:val="006F1AE5"/>
    <w:rsid w:val="006F3DB0"/>
    <w:rsid w:val="007004AF"/>
    <w:rsid w:val="00706CBE"/>
    <w:rsid w:val="00707442"/>
    <w:rsid w:val="007123BF"/>
    <w:rsid w:val="00712B49"/>
    <w:rsid w:val="0071648B"/>
    <w:rsid w:val="007172CE"/>
    <w:rsid w:val="007243D3"/>
    <w:rsid w:val="00735F2C"/>
    <w:rsid w:val="00737013"/>
    <w:rsid w:val="00742128"/>
    <w:rsid w:val="007426F4"/>
    <w:rsid w:val="0074299F"/>
    <w:rsid w:val="00743EB3"/>
    <w:rsid w:val="00744317"/>
    <w:rsid w:val="0074646A"/>
    <w:rsid w:val="00746EF9"/>
    <w:rsid w:val="00750E30"/>
    <w:rsid w:val="00754351"/>
    <w:rsid w:val="007545B7"/>
    <w:rsid w:val="00755B92"/>
    <w:rsid w:val="007647A7"/>
    <w:rsid w:val="00765648"/>
    <w:rsid w:val="0079016D"/>
    <w:rsid w:val="00790295"/>
    <w:rsid w:val="00794E22"/>
    <w:rsid w:val="007956C6"/>
    <w:rsid w:val="00797CAB"/>
    <w:rsid w:val="007A17E4"/>
    <w:rsid w:val="007A27D2"/>
    <w:rsid w:val="007A2935"/>
    <w:rsid w:val="007A56DB"/>
    <w:rsid w:val="007B2372"/>
    <w:rsid w:val="007B666A"/>
    <w:rsid w:val="007B79DF"/>
    <w:rsid w:val="007D029F"/>
    <w:rsid w:val="007D2AFB"/>
    <w:rsid w:val="007D4F26"/>
    <w:rsid w:val="007D5D6C"/>
    <w:rsid w:val="007D68DD"/>
    <w:rsid w:val="007E6635"/>
    <w:rsid w:val="007F351A"/>
    <w:rsid w:val="00800F15"/>
    <w:rsid w:val="00801CE0"/>
    <w:rsid w:val="008026AC"/>
    <w:rsid w:val="0080492D"/>
    <w:rsid w:val="008158C1"/>
    <w:rsid w:val="008177C1"/>
    <w:rsid w:val="00817F39"/>
    <w:rsid w:val="00825094"/>
    <w:rsid w:val="00826CF4"/>
    <w:rsid w:val="00827695"/>
    <w:rsid w:val="00841378"/>
    <w:rsid w:val="00845605"/>
    <w:rsid w:val="00845AC9"/>
    <w:rsid w:val="00846B1C"/>
    <w:rsid w:val="00847195"/>
    <w:rsid w:val="00857E35"/>
    <w:rsid w:val="008605F5"/>
    <w:rsid w:val="00865076"/>
    <w:rsid w:val="00873B21"/>
    <w:rsid w:val="008775AF"/>
    <w:rsid w:val="00886946"/>
    <w:rsid w:val="00886E75"/>
    <w:rsid w:val="00893050"/>
    <w:rsid w:val="00896180"/>
    <w:rsid w:val="008977AA"/>
    <w:rsid w:val="008A22D6"/>
    <w:rsid w:val="008A4FFC"/>
    <w:rsid w:val="008A53FA"/>
    <w:rsid w:val="008A55AB"/>
    <w:rsid w:val="008B5120"/>
    <w:rsid w:val="008B79C2"/>
    <w:rsid w:val="008C7629"/>
    <w:rsid w:val="008D1540"/>
    <w:rsid w:val="008D6278"/>
    <w:rsid w:val="008D7587"/>
    <w:rsid w:val="008E40B3"/>
    <w:rsid w:val="008E458F"/>
    <w:rsid w:val="008E4C82"/>
    <w:rsid w:val="008F247A"/>
    <w:rsid w:val="008F496C"/>
    <w:rsid w:val="008F4B7E"/>
    <w:rsid w:val="008F611C"/>
    <w:rsid w:val="008F63AC"/>
    <w:rsid w:val="008F7493"/>
    <w:rsid w:val="00900AAB"/>
    <w:rsid w:val="009070A3"/>
    <w:rsid w:val="00907531"/>
    <w:rsid w:val="009165C9"/>
    <w:rsid w:val="00916754"/>
    <w:rsid w:val="00922F4C"/>
    <w:rsid w:val="00925DCB"/>
    <w:rsid w:val="00932034"/>
    <w:rsid w:val="0093540E"/>
    <w:rsid w:val="009364D3"/>
    <w:rsid w:val="009436FD"/>
    <w:rsid w:val="0094462E"/>
    <w:rsid w:val="00944FE0"/>
    <w:rsid w:val="00970A73"/>
    <w:rsid w:val="00971142"/>
    <w:rsid w:val="00972082"/>
    <w:rsid w:val="0097393B"/>
    <w:rsid w:val="009756C0"/>
    <w:rsid w:val="00975BC5"/>
    <w:rsid w:val="00995536"/>
    <w:rsid w:val="0099595C"/>
    <w:rsid w:val="009A0DD5"/>
    <w:rsid w:val="009A1BEE"/>
    <w:rsid w:val="009A4275"/>
    <w:rsid w:val="009A76C4"/>
    <w:rsid w:val="009A7F39"/>
    <w:rsid w:val="009B06B4"/>
    <w:rsid w:val="009B7ABC"/>
    <w:rsid w:val="009C19E9"/>
    <w:rsid w:val="009C433B"/>
    <w:rsid w:val="009D35A6"/>
    <w:rsid w:val="009D464C"/>
    <w:rsid w:val="009D63E3"/>
    <w:rsid w:val="009E1C52"/>
    <w:rsid w:val="009E3962"/>
    <w:rsid w:val="009E7CA6"/>
    <w:rsid w:val="009F04DE"/>
    <w:rsid w:val="009F3251"/>
    <w:rsid w:val="009F5D13"/>
    <w:rsid w:val="00A005A3"/>
    <w:rsid w:val="00A01251"/>
    <w:rsid w:val="00A015F7"/>
    <w:rsid w:val="00A02994"/>
    <w:rsid w:val="00A04D14"/>
    <w:rsid w:val="00A107AC"/>
    <w:rsid w:val="00A13B7D"/>
    <w:rsid w:val="00A338AC"/>
    <w:rsid w:val="00A422CD"/>
    <w:rsid w:val="00A451D3"/>
    <w:rsid w:val="00A571D0"/>
    <w:rsid w:val="00A72FB8"/>
    <w:rsid w:val="00A843C2"/>
    <w:rsid w:val="00A8684A"/>
    <w:rsid w:val="00A920FB"/>
    <w:rsid w:val="00A94845"/>
    <w:rsid w:val="00A96DCE"/>
    <w:rsid w:val="00AA2FF8"/>
    <w:rsid w:val="00AB5B54"/>
    <w:rsid w:val="00AB63DE"/>
    <w:rsid w:val="00AC2244"/>
    <w:rsid w:val="00AC53A8"/>
    <w:rsid w:val="00AC5FC0"/>
    <w:rsid w:val="00AD5778"/>
    <w:rsid w:val="00AE298F"/>
    <w:rsid w:val="00AE31DA"/>
    <w:rsid w:val="00AE33C8"/>
    <w:rsid w:val="00AE5F7F"/>
    <w:rsid w:val="00AF3B49"/>
    <w:rsid w:val="00AF3E44"/>
    <w:rsid w:val="00AF635B"/>
    <w:rsid w:val="00B02E70"/>
    <w:rsid w:val="00B03E33"/>
    <w:rsid w:val="00B13330"/>
    <w:rsid w:val="00B229D6"/>
    <w:rsid w:val="00B31C9F"/>
    <w:rsid w:val="00B33D35"/>
    <w:rsid w:val="00B33E2C"/>
    <w:rsid w:val="00B34CAA"/>
    <w:rsid w:val="00B3593B"/>
    <w:rsid w:val="00B36854"/>
    <w:rsid w:val="00B41BFA"/>
    <w:rsid w:val="00B41E08"/>
    <w:rsid w:val="00B4637B"/>
    <w:rsid w:val="00B4794F"/>
    <w:rsid w:val="00B47993"/>
    <w:rsid w:val="00B50D30"/>
    <w:rsid w:val="00B5496A"/>
    <w:rsid w:val="00B64E4A"/>
    <w:rsid w:val="00B7195F"/>
    <w:rsid w:val="00B719B1"/>
    <w:rsid w:val="00B72908"/>
    <w:rsid w:val="00B763B9"/>
    <w:rsid w:val="00B763CF"/>
    <w:rsid w:val="00B827C6"/>
    <w:rsid w:val="00B83820"/>
    <w:rsid w:val="00B87F74"/>
    <w:rsid w:val="00B945A7"/>
    <w:rsid w:val="00B957D3"/>
    <w:rsid w:val="00B95BC2"/>
    <w:rsid w:val="00BA3EE0"/>
    <w:rsid w:val="00BB251D"/>
    <w:rsid w:val="00BC1C21"/>
    <w:rsid w:val="00BC4DFE"/>
    <w:rsid w:val="00BD0214"/>
    <w:rsid w:val="00BD08EC"/>
    <w:rsid w:val="00BD0A45"/>
    <w:rsid w:val="00BD389E"/>
    <w:rsid w:val="00BF3DF4"/>
    <w:rsid w:val="00BF4C6E"/>
    <w:rsid w:val="00BF66FB"/>
    <w:rsid w:val="00C016C4"/>
    <w:rsid w:val="00C07933"/>
    <w:rsid w:val="00C133A0"/>
    <w:rsid w:val="00C147D6"/>
    <w:rsid w:val="00C17454"/>
    <w:rsid w:val="00C202D5"/>
    <w:rsid w:val="00C226CF"/>
    <w:rsid w:val="00C31751"/>
    <w:rsid w:val="00C3295A"/>
    <w:rsid w:val="00C36EC3"/>
    <w:rsid w:val="00C4330F"/>
    <w:rsid w:val="00C50B49"/>
    <w:rsid w:val="00C52D70"/>
    <w:rsid w:val="00C56FC5"/>
    <w:rsid w:val="00C571CE"/>
    <w:rsid w:val="00C5751B"/>
    <w:rsid w:val="00C57A0A"/>
    <w:rsid w:val="00C57CED"/>
    <w:rsid w:val="00C64854"/>
    <w:rsid w:val="00C64B33"/>
    <w:rsid w:val="00C66E07"/>
    <w:rsid w:val="00C7028B"/>
    <w:rsid w:val="00C7059F"/>
    <w:rsid w:val="00C7121A"/>
    <w:rsid w:val="00C71D7B"/>
    <w:rsid w:val="00C721D4"/>
    <w:rsid w:val="00C74383"/>
    <w:rsid w:val="00C75A48"/>
    <w:rsid w:val="00C75F5E"/>
    <w:rsid w:val="00C811E7"/>
    <w:rsid w:val="00C8261C"/>
    <w:rsid w:val="00C83698"/>
    <w:rsid w:val="00C873DC"/>
    <w:rsid w:val="00C87499"/>
    <w:rsid w:val="00C907E2"/>
    <w:rsid w:val="00C92201"/>
    <w:rsid w:val="00C94964"/>
    <w:rsid w:val="00C97E08"/>
    <w:rsid w:val="00CA3866"/>
    <w:rsid w:val="00CA4840"/>
    <w:rsid w:val="00CB043F"/>
    <w:rsid w:val="00CB0E14"/>
    <w:rsid w:val="00CB27FE"/>
    <w:rsid w:val="00CB70CD"/>
    <w:rsid w:val="00CC7F24"/>
    <w:rsid w:val="00CD35A1"/>
    <w:rsid w:val="00CD69CD"/>
    <w:rsid w:val="00CD7E18"/>
    <w:rsid w:val="00CE01BC"/>
    <w:rsid w:val="00CF55A8"/>
    <w:rsid w:val="00D0538A"/>
    <w:rsid w:val="00D162D0"/>
    <w:rsid w:val="00D21980"/>
    <w:rsid w:val="00D22F20"/>
    <w:rsid w:val="00D24E05"/>
    <w:rsid w:val="00D263C7"/>
    <w:rsid w:val="00D30641"/>
    <w:rsid w:val="00D33910"/>
    <w:rsid w:val="00D3531C"/>
    <w:rsid w:val="00D360CF"/>
    <w:rsid w:val="00D36CF6"/>
    <w:rsid w:val="00D4510D"/>
    <w:rsid w:val="00D47323"/>
    <w:rsid w:val="00D5051B"/>
    <w:rsid w:val="00D53664"/>
    <w:rsid w:val="00D601B9"/>
    <w:rsid w:val="00D61D8C"/>
    <w:rsid w:val="00D66C7E"/>
    <w:rsid w:val="00D66DF8"/>
    <w:rsid w:val="00D70D71"/>
    <w:rsid w:val="00D72C35"/>
    <w:rsid w:val="00D73057"/>
    <w:rsid w:val="00D752CE"/>
    <w:rsid w:val="00D76038"/>
    <w:rsid w:val="00D761C5"/>
    <w:rsid w:val="00D818BD"/>
    <w:rsid w:val="00D82FD6"/>
    <w:rsid w:val="00D83C1B"/>
    <w:rsid w:val="00D904B7"/>
    <w:rsid w:val="00D91870"/>
    <w:rsid w:val="00D97738"/>
    <w:rsid w:val="00DA32E8"/>
    <w:rsid w:val="00DA4910"/>
    <w:rsid w:val="00DB1C70"/>
    <w:rsid w:val="00DB2804"/>
    <w:rsid w:val="00DB488E"/>
    <w:rsid w:val="00DB7344"/>
    <w:rsid w:val="00DD03F7"/>
    <w:rsid w:val="00DD14E1"/>
    <w:rsid w:val="00DD4309"/>
    <w:rsid w:val="00DD5C08"/>
    <w:rsid w:val="00DD70AB"/>
    <w:rsid w:val="00DE0FE3"/>
    <w:rsid w:val="00DE1870"/>
    <w:rsid w:val="00DE6183"/>
    <w:rsid w:val="00DE6368"/>
    <w:rsid w:val="00DF3483"/>
    <w:rsid w:val="00DF7F79"/>
    <w:rsid w:val="00E01B8D"/>
    <w:rsid w:val="00E05837"/>
    <w:rsid w:val="00E106CA"/>
    <w:rsid w:val="00E1121F"/>
    <w:rsid w:val="00E20E6E"/>
    <w:rsid w:val="00E2459A"/>
    <w:rsid w:val="00E24C85"/>
    <w:rsid w:val="00E30722"/>
    <w:rsid w:val="00E31D77"/>
    <w:rsid w:val="00E41517"/>
    <w:rsid w:val="00E43930"/>
    <w:rsid w:val="00E44E1D"/>
    <w:rsid w:val="00E46BC0"/>
    <w:rsid w:val="00E52009"/>
    <w:rsid w:val="00E57EF1"/>
    <w:rsid w:val="00E630B5"/>
    <w:rsid w:val="00E65354"/>
    <w:rsid w:val="00E67A9B"/>
    <w:rsid w:val="00E67CA3"/>
    <w:rsid w:val="00E702A2"/>
    <w:rsid w:val="00E70645"/>
    <w:rsid w:val="00E70A7F"/>
    <w:rsid w:val="00E7156A"/>
    <w:rsid w:val="00E720E5"/>
    <w:rsid w:val="00E8669A"/>
    <w:rsid w:val="00E9528A"/>
    <w:rsid w:val="00E97E8D"/>
    <w:rsid w:val="00EA6404"/>
    <w:rsid w:val="00EC0757"/>
    <w:rsid w:val="00EC10E8"/>
    <w:rsid w:val="00EC132B"/>
    <w:rsid w:val="00EC495E"/>
    <w:rsid w:val="00ED16AA"/>
    <w:rsid w:val="00ED1A0C"/>
    <w:rsid w:val="00ED3AC7"/>
    <w:rsid w:val="00ED75C3"/>
    <w:rsid w:val="00EE2197"/>
    <w:rsid w:val="00EE4571"/>
    <w:rsid w:val="00EE5435"/>
    <w:rsid w:val="00EF327D"/>
    <w:rsid w:val="00EF6BAA"/>
    <w:rsid w:val="00F0059E"/>
    <w:rsid w:val="00F01272"/>
    <w:rsid w:val="00F0272A"/>
    <w:rsid w:val="00F03D06"/>
    <w:rsid w:val="00F07FF2"/>
    <w:rsid w:val="00F10410"/>
    <w:rsid w:val="00F136F7"/>
    <w:rsid w:val="00F14EC6"/>
    <w:rsid w:val="00F15BD3"/>
    <w:rsid w:val="00F1776E"/>
    <w:rsid w:val="00F17BE6"/>
    <w:rsid w:val="00F17CD3"/>
    <w:rsid w:val="00F20834"/>
    <w:rsid w:val="00F20F3C"/>
    <w:rsid w:val="00F226D6"/>
    <w:rsid w:val="00F24979"/>
    <w:rsid w:val="00F267BB"/>
    <w:rsid w:val="00F3152F"/>
    <w:rsid w:val="00F420FC"/>
    <w:rsid w:val="00F427DB"/>
    <w:rsid w:val="00F42E70"/>
    <w:rsid w:val="00F4467F"/>
    <w:rsid w:val="00F44B03"/>
    <w:rsid w:val="00F45E78"/>
    <w:rsid w:val="00F50E2D"/>
    <w:rsid w:val="00F5457A"/>
    <w:rsid w:val="00F54826"/>
    <w:rsid w:val="00F6186F"/>
    <w:rsid w:val="00F648DD"/>
    <w:rsid w:val="00F70FD3"/>
    <w:rsid w:val="00F71999"/>
    <w:rsid w:val="00F7242F"/>
    <w:rsid w:val="00F852B3"/>
    <w:rsid w:val="00F87354"/>
    <w:rsid w:val="00F91A2E"/>
    <w:rsid w:val="00F9305F"/>
    <w:rsid w:val="00F93C9B"/>
    <w:rsid w:val="00F95876"/>
    <w:rsid w:val="00FA500D"/>
    <w:rsid w:val="00FA5B25"/>
    <w:rsid w:val="00FB108C"/>
    <w:rsid w:val="00FB2F9A"/>
    <w:rsid w:val="00FB54E9"/>
    <w:rsid w:val="00FB734A"/>
    <w:rsid w:val="00FC3017"/>
    <w:rsid w:val="00FC3424"/>
    <w:rsid w:val="00FD3D80"/>
    <w:rsid w:val="00FD79A4"/>
    <w:rsid w:val="00FE0B99"/>
    <w:rsid w:val="00FE2835"/>
    <w:rsid w:val="00FE496F"/>
    <w:rsid w:val="00FE70D0"/>
    <w:rsid w:val="00FF05F8"/>
    <w:rsid w:val="00FF573D"/>
    <w:rsid w:val="00FF77FB"/>
    <w:rsid w:val="0EE41FC0"/>
    <w:rsid w:val="13CAD302"/>
    <w:rsid w:val="186D808F"/>
    <w:rsid w:val="2096628D"/>
    <w:rsid w:val="374EB9AA"/>
    <w:rsid w:val="3B39F040"/>
    <w:rsid w:val="4AADCC51"/>
    <w:rsid w:val="598A1A0F"/>
    <w:rsid w:val="670E4B20"/>
    <w:rsid w:val="71E36B91"/>
    <w:rsid w:val="7D0B1646"/>
    <w:rsid w:val="7E7A5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75A29"/>
  <w15:docId w15:val="{77224F8A-F14B-49CF-9FA7-A1F42A60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2B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B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Equipment,Figure_name,Numbered Indented Text,List Paragraph1,List Paragraph Char Char Char,List Paragraph Char Char,Bullet 1,lp1,List Paragraph11"/>
    <w:basedOn w:val="Normal"/>
    <w:link w:val="ListParagraphChar"/>
    <w:uiPriority w:val="34"/>
    <w:qFormat/>
    <w:rsid w:val="00A107AC"/>
    <w:pPr>
      <w:spacing w:after="120" w:line="360" w:lineRule="auto"/>
      <w:ind w:left="720"/>
      <w:contextualSpacing/>
      <w:jc w:val="both"/>
    </w:pPr>
    <w:rPr>
      <w:rFonts w:eastAsia="Times New Roman" w:cs="Times New Roman"/>
      <w:sz w:val="20"/>
      <w:szCs w:val="24"/>
      <w:lang w:eastAsia="en-US"/>
    </w:rPr>
  </w:style>
  <w:style w:type="paragraph" w:customStyle="1" w:styleId="NGTHeading1">
    <w:name w:val="*NGT Heading 1"/>
    <w:basedOn w:val="Normal"/>
    <w:next w:val="Normal"/>
    <w:rsid w:val="00373D5C"/>
    <w:pPr>
      <w:keepNext/>
      <w:numPr>
        <w:numId w:val="3"/>
      </w:numPr>
      <w:spacing w:line="360" w:lineRule="auto"/>
      <w:jc w:val="both"/>
    </w:pPr>
    <w:rPr>
      <w:rFonts w:eastAsia="Times New Roman" w:cs="Times New Roman"/>
      <w:b/>
      <w:sz w:val="20"/>
      <w:szCs w:val="24"/>
      <w:lang w:eastAsia="en-US"/>
    </w:rPr>
  </w:style>
  <w:style w:type="paragraph" w:customStyle="1" w:styleId="NGTHeading2">
    <w:name w:val="*NGT Heading 2"/>
    <w:basedOn w:val="Normal"/>
    <w:rsid w:val="00373D5C"/>
    <w:pPr>
      <w:numPr>
        <w:ilvl w:val="1"/>
        <w:numId w:val="3"/>
      </w:numPr>
      <w:spacing w:before="120" w:after="0" w:line="360" w:lineRule="auto"/>
      <w:jc w:val="both"/>
    </w:pPr>
    <w:rPr>
      <w:rFonts w:eastAsia="Times New Roman" w:cs="Times New Roman"/>
      <w:sz w:val="20"/>
      <w:szCs w:val="24"/>
      <w:lang w:eastAsia="en-US"/>
    </w:rPr>
  </w:style>
  <w:style w:type="paragraph" w:customStyle="1" w:styleId="NGTHeading3">
    <w:name w:val="*NGT Heading 3"/>
    <w:basedOn w:val="Normal"/>
    <w:rsid w:val="00373D5C"/>
    <w:pPr>
      <w:numPr>
        <w:ilvl w:val="2"/>
        <w:numId w:val="3"/>
      </w:numPr>
      <w:spacing w:after="0" w:line="360" w:lineRule="auto"/>
      <w:jc w:val="both"/>
    </w:pPr>
    <w:rPr>
      <w:rFonts w:eastAsia="Times New Roman" w:cs="Times New Roman"/>
      <w:sz w:val="20"/>
      <w:szCs w:val="24"/>
      <w:lang w:eastAsia="en-US"/>
    </w:rPr>
  </w:style>
  <w:style w:type="paragraph" w:customStyle="1" w:styleId="NGTHeading4">
    <w:name w:val="*NGT Heading 4"/>
    <w:basedOn w:val="Normal"/>
    <w:rsid w:val="00373D5C"/>
    <w:pPr>
      <w:numPr>
        <w:ilvl w:val="3"/>
        <w:numId w:val="3"/>
      </w:numPr>
      <w:tabs>
        <w:tab w:val="left" w:pos="1701"/>
      </w:tabs>
      <w:spacing w:line="360" w:lineRule="auto"/>
      <w:jc w:val="both"/>
    </w:pPr>
    <w:rPr>
      <w:rFonts w:eastAsia="Times New Roman" w:cs="Times New Roman"/>
      <w:sz w:val="20"/>
      <w:szCs w:val="24"/>
      <w:lang w:eastAsia="en-US"/>
    </w:rPr>
  </w:style>
  <w:style w:type="paragraph" w:customStyle="1" w:styleId="NGTHeading5">
    <w:name w:val="*NGT Heading 5"/>
    <w:basedOn w:val="Normal"/>
    <w:rsid w:val="00373D5C"/>
    <w:pPr>
      <w:numPr>
        <w:ilvl w:val="4"/>
        <w:numId w:val="3"/>
      </w:numPr>
      <w:spacing w:line="360" w:lineRule="auto"/>
      <w:jc w:val="both"/>
    </w:pPr>
    <w:rPr>
      <w:rFonts w:eastAsia="Times New Roman" w:cs="Times New Roman"/>
      <w:sz w:val="20"/>
      <w:szCs w:val="24"/>
      <w:lang w:eastAsia="en-US"/>
    </w:rPr>
  </w:style>
  <w:style w:type="paragraph" w:customStyle="1" w:styleId="NGTHeading6">
    <w:name w:val="*NGT Heading 6"/>
    <w:basedOn w:val="Normal"/>
    <w:rsid w:val="00373D5C"/>
    <w:pPr>
      <w:numPr>
        <w:ilvl w:val="5"/>
        <w:numId w:val="3"/>
      </w:numPr>
      <w:spacing w:line="360" w:lineRule="auto"/>
      <w:jc w:val="both"/>
    </w:pPr>
    <w:rPr>
      <w:rFonts w:eastAsia="Times New Roman" w:cs="Times New Roman"/>
      <w:sz w:val="20"/>
      <w:szCs w:val="24"/>
      <w:lang w:eastAsia="en-US"/>
    </w:rPr>
  </w:style>
  <w:style w:type="paragraph" w:customStyle="1" w:styleId="NGTHeading7">
    <w:name w:val="*NGT Heading 7"/>
    <w:basedOn w:val="Normal"/>
    <w:rsid w:val="00373D5C"/>
    <w:pPr>
      <w:numPr>
        <w:ilvl w:val="6"/>
        <w:numId w:val="3"/>
      </w:numPr>
      <w:tabs>
        <w:tab w:val="left" w:pos="3402"/>
      </w:tabs>
      <w:spacing w:line="360" w:lineRule="auto"/>
      <w:jc w:val="both"/>
    </w:pPr>
    <w:rPr>
      <w:rFonts w:eastAsia="Times New Roman" w:cs="Times New Roman"/>
      <w:sz w:val="20"/>
      <w:szCs w:val="24"/>
      <w:lang w:eastAsia="en-US"/>
    </w:rPr>
  </w:style>
  <w:style w:type="numbering" w:customStyle="1" w:styleId="Style41">
    <w:name w:val="Style41"/>
    <w:qFormat/>
    <w:rsid w:val="00186E8F"/>
    <w:pPr>
      <w:numPr>
        <w:numId w:val="9"/>
      </w:numPr>
    </w:pPr>
  </w:style>
  <w:style w:type="numbering" w:customStyle="1" w:styleId="Style411">
    <w:name w:val="Style411"/>
    <w:qFormat/>
    <w:rsid w:val="005931DD"/>
    <w:pPr>
      <w:numPr>
        <w:numId w:val="10"/>
      </w:numPr>
    </w:pPr>
  </w:style>
  <w:style w:type="character" w:customStyle="1" w:styleId="ListParagraphChar">
    <w:name w:val="List Paragraph Char"/>
    <w:aliases w:val="Equipment Char,Figure_name Char,Numbered Indented Text Char,List Paragraph1 Char,List Paragraph Char Char Char Char,List Paragraph Char Char Char1,Bullet 1 Char,lp1 Char,List Paragraph11 Char"/>
    <w:basedOn w:val="DefaultParagraphFont"/>
    <w:link w:val="ListParagraph"/>
    <w:uiPriority w:val="34"/>
    <w:qFormat/>
    <w:locked/>
    <w:rsid w:val="0028280D"/>
    <w:rPr>
      <w:rFonts w:ascii="Arial" w:eastAsia="Times New Roman" w:hAnsi="Arial" w:cs="Times New Roman"/>
      <w:sz w:val="20"/>
      <w:szCs w:val="24"/>
      <w:lang w:eastAsia="en-US"/>
    </w:rPr>
  </w:style>
  <w:style w:type="character" w:styleId="FollowedHyperlink">
    <w:name w:val="FollowedHyperlink"/>
    <w:basedOn w:val="DefaultParagraphFont"/>
    <w:uiPriority w:val="99"/>
    <w:semiHidden/>
    <w:unhideWhenUsed/>
    <w:rsid w:val="00470600"/>
    <w:rPr>
      <w:color w:val="D2232A" w:themeColor="followedHyperlink"/>
      <w:u w:val="single"/>
    </w:rPr>
  </w:style>
  <w:style w:type="character" w:styleId="Emphasis">
    <w:name w:val="Emphasis"/>
    <w:basedOn w:val="DefaultParagraphFont"/>
    <w:uiPriority w:val="20"/>
    <w:qFormat/>
    <w:rsid w:val="00873B21"/>
    <w:rPr>
      <w:i/>
      <w:iCs/>
    </w:rPr>
  </w:style>
  <w:style w:type="character" w:styleId="CommentReference">
    <w:name w:val="annotation reference"/>
    <w:basedOn w:val="DefaultParagraphFont"/>
    <w:uiPriority w:val="99"/>
    <w:semiHidden/>
    <w:unhideWhenUsed/>
    <w:rsid w:val="001C51A0"/>
    <w:rPr>
      <w:sz w:val="16"/>
      <w:szCs w:val="16"/>
    </w:rPr>
  </w:style>
  <w:style w:type="paragraph" w:styleId="CommentText">
    <w:name w:val="annotation text"/>
    <w:basedOn w:val="Normal"/>
    <w:link w:val="CommentTextChar"/>
    <w:uiPriority w:val="99"/>
    <w:semiHidden/>
    <w:unhideWhenUsed/>
    <w:rsid w:val="001C51A0"/>
    <w:pPr>
      <w:spacing w:line="240" w:lineRule="auto"/>
    </w:pPr>
    <w:rPr>
      <w:sz w:val="20"/>
      <w:szCs w:val="20"/>
    </w:rPr>
  </w:style>
  <w:style w:type="character" w:customStyle="1" w:styleId="CommentTextChar">
    <w:name w:val="Comment Text Char"/>
    <w:basedOn w:val="DefaultParagraphFont"/>
    <w:link w:val="CommentText"/>
    <w:uiPriority w:val="99"/>
    <w:semiHidden/>
    <w:rsid w:val="001C51A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C51A0"/>
    <w:rPr>
      <w:b/>
      <w:bCs/>
    </w:rPr>
  </w:style>
  <w:style w:type="character" w:customStyle="1" w:styleId="CommentSubjectChar">
    <w:name w:val="Comment Subject Char"/>
    <w:basedOn w:val="CommentTextChar"/>
    <w:link w:val="CommentSubject"/>
    <w:uiPriority w:val="99"/>
    <w:semiHidden/>
    <w:rsid w:val="001C51A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264161">
      <w:bodyDiv w:val="1"/>
      <w:marLeft w:val="0"/>
      <w:marRight w:val="0"/>
      <w:marTop w:val="0"/>
      <w:marBottom w:val="0"/>
      <w:divBdr>
        <w:top w:val="none" w:sz="0" w:space="0" w:color="auto"/>
        <w:left w:val="none" w:sz="0" w:space="0" w:color="auto"/>
        <w:bottom w:val="none" w:sz="0" w:space="0" w:color="auto"/>
        <w:right w:val="none" w:sz="0" w:space="0" w:color="auto"/>
      </w:divBdr>
    </w:div>
    <w:div w:id="457994030">
      <w:bodyDiv w:val="1"/>
      <w:marLeft w:val="0"/>
      <w:marRight w:val="0"/>
      <w:marTop w:val="0"/>
      <w:marBottom w:val="0"/>
      <w:divBdr>
        <w:top w:val="none" w:sz="0" w:space="0" w:color="auto"/>
        <w:left w:val="none" w:sz="0" w:space="0" w:color="auto"/>
        <w:bottom w:val="none" w:sz="0" w:space="0" w:color="auto"/>
        <w:right w:val="none" w:sz="0" w:space="0" w:color="auto"/>
      </w:divBdr>
    </w:div>
    <w:div w:id="557518676">
      <w:bodyDiv w:val="1"/>
      <w:marLeft w:val="0"/>
      <w:marRight w:val="0"/>
      <w:marTop w:val="0"/>
      <w:marBottom w:val="0"/>
      <w:divBdr>
        <w:top w:val="none" w:sz="0" w:space="0" w:color="auto"/>
        <w:left w:val="none" w:sz="0" w:space="0" w:color="auto"/>
        <w:bottom w:val="none" w:sz="0" w:space="0" w:color="auto"/>
        <w:right w:val="none" w:sz="0" w:space="0" w:color="auto"/>
      </w:divBdr>
    </w:div>
    <w:div w:id="714742159">
      <w:bodyDiv w:val="1"/>
      <w:marLeft w:val="0"/>
      <w:marRight w:val="0"/>
      <w:marTop w:val="0"/>
      <w:marBottom w:val="0"/>
      <w:divBdr>
        <w:top w:val="none" w:sz="0" w:space="0" w:color="auto"/>
        <w:left w:val="none" w:sz="0" w:space="0" w:color="auto"/>
        <w:bottom w:val="none" w:sz="0" w:space="0" w:color="auto"/>
        <w:right w:val="none" w:sz="0" w:space="0" w:color="auto"/>
      </w:divBdr>
    </w:div>
    <w:div w:id="727651825">
      <w:bodyDiv w:val="1"/>
      <w:marLeft w:val="0"/>
      <w:marRight w:val="0"/>
      <w:marTop w:val="0"/>
      <w:marBottom w:val="0"/>
      <w:divBdr>
        <w:top w:val="none" w:sz="0" w:space="0" w:color="auto"/>
        <w:left w:val="none" w:sz="0" w:space="0" w:color="auto"/>
        <w:bottom w:val="none" w:sz="0" w:space="0" w:color="auto"/>
        <w:right w:val="none" w:sz="0" w:space="0" w:color="auto"/>
      </w:divBdr>
      <w:divsChild>
        <w:div w:id="1263950135">
          <w:marLeft w:val="360"/>
          <w:marRight w:val="0"/>
          <w:marTop w:val="48"/>
          <w:marBottom w:val="0"/>
          <w:divBdr>
            <w:top w:val="none" w:sz="0" w:space="0" w:color="auto"/>
            <w:left w:val="none" w:sz="0" w:space="0" w:color="auto"/>
            <w:bottom w:val="none" w:sz="0" w:space="0" w:color="auto"/>
            <w:right w:val="none" w:sz="0" w:space="0" w:color="auto"/>
          </w:divBdr>
        </w:div>
      </w:divsChild>
    </w:div>
    <w:div w:id="789973670">
      <w:bodyDiv w:val="1"/>
      <w:marLeft w:val="0"/>
      <w:marRight w:val="0"/>
      <w:marTop w:val="0"/>
      <w:marBottom w:val="0"/>
      <w:divBdr>
        <w:top w:val="none" w:sz="0" w:space="0" w:color="auto"/>
        <w:left w:val="none" w:sz="0" w:space="0" w:color="auto"/>
        <w:bottom w:val="none" w:sz="0" w:space="0" w:color="auto"/>
        <w:right w:val="none" w:sz="0" w:space="0" w:color="auto"/>
      </w:divBdr>
    </w:div>
    <w:div w:id="799615507">
      <w:bodyDiv w:val="1"/>
      <w:marLeft w:val="0"/>
      <w:marRight w:val="0"/>
      <w:marTop w:val="0"/>
      <w:marBottom w:val="0"/>
      <w:divBdr>
        <w:top w:val="none" w:sz="0" w:space="0" w:color="auto"/>
        <w:left w:val="none" w:sz="0" w:space="0" w:color="auto"/>
        <w:bottom w:val="none" w:sz="0" w:space="0" w:color="auto"/>
        <w:right w:val="none" w:sz="0" w:space="0" w:color="auto"/>
      </w:divBdr>
    </w:div>
    <w:div w:id="1147238402">
      <w:bodyDiv w:val="1"/>
      <w:marLeft w:val="0"/>
      <w:marRight w:val="0"/>
      <w:marTop w:val="0"/>
      <w:marBottom w:val="0"/>
      <w:divBdr>
        <w:top w:val="none" w:sz="0" w:space="0" w:color="auto"/>
        <w:left w:val="none" w:sz="0" w:space="0" w:color="auto"/>
        <w:bottom w:val="none" w:sz="0" w:space="0" w:color="auto"/>
        <w:right w:val="none" w:sz="0" w:space="0" w:color="auto"/>
      </w:divBdr>
    </w:div>
    <w:div w:id="1174300034">
      <w:bodyDiv w:val="1"/>
      <w:marLeft w:val="0"/>
      <w:marRight w:val="0"/>
      <w:marTop w:val="0"/>
      <w:marBottom w:val="0"/>
      <w:divBdr>
        <w:top w:val="none" w:sz="0" w:space="0" w:color="auto"/>
        <w:left w:val="none" w:sz="0" w:space="0" w:color="auto"/>
        <w:bottom w:val="none" w:sz="0" w:space="0" w:color="auto"/>
        <w:right w:val="none" w:sz="0" w:space="0" w:color="auto"/>
      </w:divBdr>
    </w:div>
    <w:div w:id="1397051453">
      <w:bodyDiv w:val="1"/>
      <w:marLeft w:val="0"/>
      <w:marRight w:val="0"/>
      <w:marTop w:val="0"/>
      <w:marBottom w:val="0"/>
      <w:divBdr>
        <w:top w:val="none" w:sz="0" w:space="0" w:color="auto"/>
        <w:left w:val="none" w:sz="0" w:space="0" w:color="auto"/>
        <w:bottom w:val="none" w:sz="0" w:space="0" w:color="auto"/>
        <w:right w:val="none" w:sz="0" w:space="0" w:color="auto"/>
      </w:divBdr>
    </w:div>
    <w:div w:id="1444377958">
      <w:bodyDiv w:val="1"/>
      <w:marLeft w:val="0"/>
      <w:marRight w:val="0"/>
      <w:marTop w:val="0"/>
      <w:marBottom w:val="0"/>
      <w:divBdr>
        <w:top w:val="none" w:sz="0" w:space="0" w:color="auto"/>
        <w:left w:val="none" w:sz="0" w:space="0" w:color="auto"/>
        <w:bottom w:val="none" w:sz="0" w:space="0" w:color="auto"/>
        <w:right w:val="none" w:sz="0" w:space="0" w:color="auto"/>
      </w:divBdr>
    </w:div>
    <w:div w:id="1471970584">
      <w:bodyDiv w:val="1"/>
      <w:marLeft w:val="0"/>
      <w:marRight w:val="0"/>
      <w:marTop w:val="0"/>
      <w:marBottom w:val="0"/>
      <w:divBdr>
        <w:top w:val="none" w:sz="0" w:space="0" w:color="auto"/>
        <w:left w:val="none" w:sz="0" w:space="0" w:color="auto"/>
        <w:bottom w:val="none" w:sz="0" w:space="0" w:color="auto"/>
        <w:right w:val="none" w:sz="0" w:space="0" w:color="auto"/>
      </w:divBdr>
    </w:div>
    <w:div w:id="1544752583">
      <w:bodyDiv w:val="1"/>
      <w:marLeft w:val="0"/>
      <w:marRight w:val="0"/>
      <w:marTop w:val="0"/>
      <w:marBottom w:val="0"/>
      <w:divBdr>
        <w:top w:val="none" w:sz="0" w:space="0" w:color="auto"/>
        <w:left w:val="none" w:sz="0" w:space="0" w:color="auto"/>
        <w:bottom w:val="none" w:sz="0" w:space="0" w:color="auto"/>
        <w:right w:val="none" w:sz="0" w:space="0" w:color="auto"/>
      </w:divBdr>
    </w:div>
    <w:div w:id="1607694320">
      <w:bodyDiv w:val="1"/>
      <w:marLeft w:val="0"/>
      <w:marRight w:val="0"/>
      <w:marTop w:val="0"/>
      <w:marBottom w:val="0"/>
      <w:divBdr>
        <w:top w:val="none" w:sz="0" w:space="0" w:color="auto"/>
        <w:left w:val="none" w:sz="0" w:space="0" w:color="auto"/>
        <w:bottom w:val="none" w:sz="0" w:space="0" w:color="auto"/>
        <w:right w:val="none" w:sz="0" w:space="0" w:color="auto"/>
      </w:divBdr>
    </w:div>
    <w:div w:id="1622106365">
      <w:bodyDiv w:val="1"/>
      <w:marLeft w:val="0"/>
      <w:marRight w:val="0"/>
      <w:marTop w:val="0"/>
      <w:marBottom w:val="0"/>
      <w:divBdr>
        <w:top w:val="none" w:sz="0" w:space="0" w:color="auto"/>
        <w:left w:val="none" w:sz="0" w:space="0" w:color="auto"/>
        <w:bottom w:val="none" w:sz="0" w:space="0" w:color="auto"/>
        <w:right w:val="none" w:sz="0" w:space="0" w:color="auto"/>
      </w:divBdr>
      <w:divsChild>
        <w:div w:id="1318532506">
          <w:marLeft w:val="0"/>
          <w:marRight w:val="0"/>
          <w:marTop w:val="0"/>
          <w:marBottom w:val="0"/>
          <w:divBdr>
            <w:top w:val="none" w:sz="0" w:space="0" w:color="auto"/>
            <w:left w:val="none" w:sz="0" w:space="0" w:color="auto"/>
            <w:bottom w:val="none" w:sz="0" w:space="0" w:color="auto"/>
            <w:right w:val="none" w:sz="0" w:space="0" w:color="auto"/>
          </w:divBdr>
        </w:div>
      </w:divsChild>
    </w:div>
    <w:div w:id="2001693431">
      <w:bodyDiv w:val="1"/>
      <w:marLeft w:val="0"/>
      <w:marRight w:val="0"/>
      <w:marTop w:val="0"/>
      <w:marBottom w:val="0"/>
      <w:divBdr>
        <w:top w:val="none" w:sz="0" w:space="0" w:color="auto"/>
        <w:left w:val="none" w:sz="0" w:space="0" w:color="auto"/>
        <w:bottom w:val="none" w:sz="0" w:space="0" w:color="auto"/>
        <w:right w:val="none" w:sz="0" w:space="0" w:color="auto"/>
      </w:divBdr>
    </w:div>
    <w:div w:id="2064670581">
      <w:bodyDiv w:val="1"/>
      <w:marLeft w:val="0"/>
      <w:marRight w:val="0"/>
      <w:marTop w:val="0"/>
      <w:marBottom w:val="0"/>
      <w:divBdr>
        <w:top w:val="none" w:sz="0" w:space="0" w:color="auto"/>
        <w:left w:val="none" w:sz="0" w:space="0" w:color="auto"/>
        <w:bottom w:val="none" w:sz="0" w:space="0" w:color="auto"/>
        <w:right w:val="none" w:sz="0" w:space="0" w:color="auto"/>
      </w:divBdr>
    </w:div>
    <w:div w:id="2089888176">
      <w:bodyDiv w:val="1"/>
      <w:marLeft w:val="0"/>
      <w:marRight w:val="0"/>
      <w:marTop w:val="0"/>
      <w:marBottom w:val="0"/>
      <w:divBdr>
        <w:top w:val="none" w:sz="0" w:space="0" w:color="auto"/>
        <w:left w:val="none" w:sz="0" w:space="0" w:color="auto"/>
        <w:bottom w:val="none" w:sz="0" w:space="0" w:color="auto"/>
        <w:right w:val="none" w:sz="0" w:space="0" w:color="auto"/>
      </w:divBdr>
    </w:div>
    <w:div w:id="20916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xoserve.com/change/change-proposals/xrn-4665-creation-of-new-end-user-categories/?return=/change/change-proposals/?customers=&amp;statuses=&amp;search=4665" TargetMode="External"/><Relationship Id="rId18" Type="http://schemas.openxmlformats.org/officeDocument/2006/relationships/package" Target="embeddings/Microsoft_PowerPoint_Presentation.pptx"/><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asgovernance.co.uk/0711" TargetMode="Externa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theme" Target="theme/theme1.xml"/><Relationship Id="R2c85300a34b1455e"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mailto:box.xoserve.portfoliooffice@xoserv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4A46900855F54F8B1B4A69CC14CF6B" ma:contentTypeVersion="5" ma:contentTypeDescription="Create a new document." ma:contentTypeScope="" ma:versionID="f395a190287002935880076d131e6e39">
  <xsd:schema xmlns:xsd="http://www.w3.org/2001/XMLSchema" xmlns:xs="http://www.w3.org/2001/XMLSchema" xmlns:p="http://schemas.microsoft.com/office/2006/metadata/properties" xmlns:ns2="11f1cc19-a6a2-4477-822b-8358f9edc374" xmlns:ns3="103fba77-31dd-4780-83f9-c54f26c3a260" targetNamespace="http://schemas.microsoft.com/office/2006/metadata/properties" ma:root="true" ma:fieldsID="21adb8fda84ee351d0b414ae2a561507" ns2:_="" ns3:_="">
    <xsd:import namespace="11f1cc19-a6a2-4477-822b-8358f9edc374"/>
    <xsd:import namespace="103fba77-31dd-4780-83f9-c54f26c3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1cc19-a6a2-4477-822b-8358f9edc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3fba77-31dd-4780-83f9-c54f26c3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8F987-75C2-4F53-8447-01D90308DFC1}"/>
</file>

<file path=customXml/itemProps2.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4.xml><?xml version="1.0" encoding="utf-8"?>
<ds:datastoreItem xmlns:ds="http://schemas.openxmlformats.org/officeDocument/2006/customXml" ds:itemID="{A1ADA786-685B-4506-9C16-4981AE352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1169</Words>
  <Characters>6667</Characters>
  <Application>Microsoft Office Word</Application>
  <DocSecurity>0</DocSecurity>
  <Lines>55</Lines>
  <Paragraphs>15</Paragraphs>
  <ScaleCrop>false</ScaleCrop>
  <Company>National Grid</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Thomas Lineham</cp:lastModifiedBy>
  <cp:revision>5</cp:revision>
  <dcterms:created xsi:type="dcterms:W3CDTF">2021-02-26T08:56:00Z</dcterms:created>
  <dcterms:modified xsi:type="dcterms:W3CDTF">2021-02-26T08:59:00Z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y fmtid="{D5CDD505-2E9C-101B-9397-08002B2CF9AE}" pid="3" name="_NewReviewCycle">
    <vt:lpwstr/>
  </property>
</Properties>
</file>