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186" w:type="pct"/>
        <w:tblLayout w:type="fixed"/>
        <w:tblLook w:val="04A0" w:firstRow="1" w:lastRow="0" w:firstColumn="1" w:lastColumn="0" w:noHBand="0" w:noVBand="1"/>
      </w:tblPr>
      <w:tblGrid>
        <w:gridCol w:w="4485"/>
        <w:gridCol w:w="4866"/>
      </w:tblGrid>
      <w:tr w:rsidR="00EA73B3" w:rsidRPr="00EA73B3" w14:paraId="1601AE27" w14:textId="77777777" w:rsidTr="002E3A44">
        <w:trPr>
          <w:trHeight w:val="259"/>
        </w:trPr>
        <w:tc>
          <w:tcPr>
            <w:tcW w:w="239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</w:tcPr>
          <w:p w14:paraId="018CEA35" w14:textId="3B973B6D" w:rsidR="00EA73B3" w:rsidRPr="004D0F26" w:rsidRDefault="00CE2AD6" w:rsidP="0A57A144">
            <w:pPr>
              <w:rPr>
                <w:rFonts w:ascii="Calibri" w:hAnsi="Calibri" w:cs="Calibri"/>
                <w:color w:val="000000"/>
              </w:rPr>
            </w:pPr>
            <w:r w:rsidRPr="00CE2AD6">
              <w:rPr>
                <w:rFonts w:eastAsia="Times New Roman" w:cs="Arial"/>
                <w:sz w:val="20"/>
                <w:szCs w:val="20"/>
              </w:rPr>
              <w:t xml:space="preserve">Convert Class 2, 3 or 4 meter points to Class 1 when </w:t>
            </w:r>
            <w:r w:rsidR="00AD34BD">
              <w:rPr>
                <w:rFonts w:eastAsia="Times New Roman" w:cs="Arial"/>
                <w:sz w:val="20"/>
                <w:szCs w:val="20"/>
              </w:rPr>
              <w:t>[</w:t>
            </w:r>
            <w:r w:rsidRPr="00CE2AD6">
              <w:rPr>
                <w:rFonts w:eastAsia="Times New Roman" w:cs="Arial"/>
                <w:sz w:val="20"/>
                <w:szCs w:val="20"/>
              </w:rPr>
              <w:t>G</w:t>
            </w:r>
            <w:r w:rsidR="00AD34BD">
              <w:rPr>
                <w:rFonts w:eastAsia="Times New Roman" w:cs="Arial"/>
                <w:sz w:val="20"/>
                <w:szCs w:val="20"/>
              </w:rPr>
              <w:t>2</w:t>
            </w:r>
            <w:r w:rsidRPr="00CE2AD6">
              <w:rPr>
                <w:rFonts w:eastAsia="Times New Roman" w:cs="Arial"/>
                <w:sz w:val="20"/>
                <w:szCs w:val="20"/>
              </w:rPr>
              <w:t>.</w:t>
            </w:r>
            <w:r w:rsidR="00AD34BD">
              <w:rPr>
                <w:rFonts w:eastAsia="Times New Roman" w:cs="Arial"/>
                <w:sz w:val="20"/>
                <w:szCs w:val="20"/>
              </w:rPr>
              <w:t>3</w:t>
            </w:r>
            <w:r w:rsidRPr="00CE2AD6">
              <w:rPr>
                <w:rFonts w:eastAsia="Times New Roman" w:cs="Arial"/>
                <w:sz w:val="20"/>
                <w:szCs w:val="20"/>
              </w:rPr>
              <w:t>.15</w:t>
            </w:r>
            <w:r w:rsidR="00AD34BD">
              <w:rPr>
                <w:rFonts w:eastAsia="Times New Roman" w:cs="Arial"/>
                <w:sz w:val="20"/>
                <w:szCs w:val="20"/>
              </w:rPr>
              <w:t>]</w:t>
            </w:r>
            <w:r w:rsidRPr="00CE2AD6">
              <w:rPr>
                <w:rFonts w:eastAsia="Times New Roman" w:cs="Arial"/>
                <w:sz w:val="20"/>
                <w:szCs w:val="20"/>
              </w:rPr>
              <w:t xml:space="preserve"> criteria are met (MOD 0691)</w:t>
            </w:r>
          </w:p>
        </w:tc>
      </w:tr>
      <w:tr w:rsidR="00EA73B3" w:rsidRPr="00EA73B3" w14:paraId="06D4D571" w14:textId="77777777" w:rsidTr="002E3A44">
        <w:trPr>
          <w:trHeight w:val="216"/>
        </w:trPr>
        <w:tc>
          <w:tcPr>
            <w:tcW w:w="239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</w:tcPr>
          <w:p w14:paraId="06F88361" w14:textId="5BB13CA5" w:rsidR="00EA73B3" w:rsidRPr="00EA73B3" w:rsidRDefault="00613931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DF0C80">
              <w:rPr>
                <w:rFonts w:eastAsia="Times New Roman" w:cs="Arial"/>
                <w:sz w:val="20"/>
                <w:szCs w:val="20"/>
              </w:rPr>
              <w:t>038</w:t>
            </w:r>
          </w:p>
        </w:tc>
      </w:tr>
      <w:tr w:rsidR="00EA73B3" w:rsidRPr="00EA73B3" w14:paraId="1D6C8AD7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419660B" w14:textId="1B0FE9B8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Jai Le Resche</w:t>
            </w:r>
          </w:p>
        </w:tc>
      </w:tr>
      <w:tr w:rsidR="00EA73B3" w:rsidRPr="00EA73B3" w14:paraId="2390A8AC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5A705C45" w14:textId="2B648204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Jaimee.leresche</w:t>
            </w:r>
            <w:r w:rsidR="00BA5D1D">
              <w:rPr>
                <w:rFonts w:eastAsia="Times New Roman" w:cs="Arial"/>
                <w:sz w:val="20"/>
                <w:szCs w:val="20"/>
              </w:rPr>
              <w:t>@xoserve.com</w:t>
            </w:r>
          </w:p>
        </w:tc>
      </w:tr>
      <w:tr w:rsidR="00EA73B3" w:rsidRPr="00EA73B3" w14:paraId="3B9ABC1E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07DF7DD" w14:textId="30D6739D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613931">
              <w:rPr>
                <w:rFonts w:eastAsia="Times New Roman" w:cs="Arial"/>
                <w:sz w:val="20"/>
                <w:szCs w:val="20"/>
              </w:rPr>
              <w:t>0121 229 2268</w:t>
            </w:r>
          </w:p>
        </w:tc>
      </w:tr>
      <w:tr w:rsidR="00EA73B3" w:rsidRPr="00EA73B3" w14:paraId="0B495390" w14:textId="77777777" w:rsidTr="002E3A44">
        <w:trPr>
          <w:trHeight w:val="432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E6B73E1" w14:textId="3D0F969B" w:rsidR="00EA73B3" w:rsidRPr="00EA73B3" w:rsidRDefault="00794437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12/05/2021</w:t>
            </w:r>
          </w:p>
        </w:tc>
      </w:tr>
      <w:tr w:rsidR="00EA73B3" w:rsidRPr="00EA73B3" w14:paraId="70D298E7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76CEA666" w14:textId="2624EAE1" w:rsidR="00EA73B3" w:rsidRPr="00EA73B3" w:rsidRDefault="00E84C24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9222C1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  <w:r w:rsidR="009222C1">
              <w:rPr>
                <w:rFonts w:eastAsia="Times New Roman" w:cs="Arial"/>
                <w:sz w:val="20"/>
                <w:szCs w:val="20"/>
              </w:rPr>
              <w:t>/202</w:t>
            </w:r>
            <w:r w:rsidR="00731A18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EA73B3" w:rsidRPr="00EA73B3" w14:paraId="0327033D" w14:textId="77777777" w:rsidTr="002E3A44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266769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B44B2F0" w14:textId="2C0CF0EA" w:rsidR="007F0797" w:rsidRPr="000556E4" w:rsidRDefault="007F0797" w:rsidP="007F0797">
            <w:pPr>
              <w:contextualSpacing/>
              <w:rPr>
                <w:rFonts w:eastAsia="Times New Roman" w:cs="Arial"/>
                <w:sz w:val="19"/>
                <w:szCs w:val="19"/>
              </w:rPr>
            </w:pPr>
            <w:r w:rsidRPr="000556E4">
              <w:rPr>
                <w:rFonts w:eastAsia="Times New Roman" w:cs="Arial"/>
                <w:sz w:val="19"/>
                <w:szCs w:val="19"/>
              </w:rPr>
              <w:t xml:space="preserve">This Change </w:t>
            </w:r>
            <w:r w:rsidR="006A2080" w:rsidRPr="000556E4">
              <w:rPr>
                <w:rFonts w:eastAsia="Times New Roman" w:cs="Arial"/>
                <w:sz w:val="19"/>
                <w:szCs w:val="19"/>
              </w:rPr>
              <w:t>was</w:t>
            </w:r>
            <w:r w:rsidRPr="000556E4">
              <w:rPr>
                <w:rFonts w:eastAsia="Times New Roman" w:cs="Arial"/>
                <w:sz w:val="19"/>
                <w:szCs w:val="19"/>
              </w:rPr>
              <w:t xml:space="preserve"> raised through UNC Modification 0691S – CDSP to convert Class 2, 3 or 4 Supply Meter Points to Class 1 when </w:t>
            </w:r>
            <w:r w:rsidR="00794437">
              <w:rPr>
                <w:rFonts w:eastAsia="Times New Roman" w:cs="Arial"/>
                <w:sz w:val="19"/>
                <w:szCs w:val="19"/>
              </w:rPr>
              <w:t>[</w:t>
            </w:r>
            <w:r w:rsidRPr="000556E4">
              <w:rPr>
                <w:rFonts w:eastAsia="Times New Roman" w:cs="Arial"/>
                <w:sz w:val="19"/>
                <w:szCs w:val="19"/>
              </w:rPr>
              <w:t>G</w:t>
            </w:r>
            <w:r w:rsidR="00794437">
              <w:rPr>
                <w:rFonts w:eastAsia="Times New Roman" w:cs="Arial"/>
                <w:sz w:val="19"/>
                <w:szCs w:val="19"/>
              </w:rPr>
              <w:t>2</w:t>
            </w:r>
            <w:r w:rsidRPr="000556E4">
              <w:rPr>
                <w:rFonts w:eastAsia="Times New Roman" w:cs="Arial"/>
                <w:sz w:val="19"/>
                <w:szCs w:val="19"/>
              </w:rPr>
              <w:t>.</w:t>
            </w:r>
            <w:r w:rsidR="00794437">
              <w:rPr>
                <w:rFonts w:eastAsia="Times New Roman" w:cs="Arial"/>
                <w:sz w:val="19"/>
                <w:szCs w:val="19"/>
              </w:rPr>
              <w:t>3</w:t>
            </w:r>
            <w:r w:rsidRPr="000556E4">
              <w:rPr>
                <w:rFonts w:eastAsia="Times New Roman" w:cs="Arial"/>
                <w:sz w:val="19"/>
                <w:szCs w:val="19"/>
              </w:rPr>
              <w:t>.15</w:t>
            </w:r>
            <w:r w:rsidR="00794437">
              <w:rPr>
                <w:rFonts w:eastAsia="Times New Roman" w:cs="Arial"/>
                <w:sz w:val="19"/>
                <w:szCs w:val="19"/>
              </w:rPr>
              <w:t>]</w:t>
            </w:r>
            <w:r w:rsidRPr="000556E4">
              <w:rPr>
                <w:rFonts w:eastAsia="Times New Roman" w:cs="Arial"/>
                <w:sz w:val="19"/>
                <w:szCs w:val="19"/>
              </w:rPr>
              <w:t xml:space="preserve"> criteria are met. It give</w:t>
            </w:r>
            <w:r w:rsidR="006A2080" w:rsidRPr="000556E4">
              <w:rPr>
                <w:rFonts w:eastAsia="Times New Roman" w:cs="Arial"/>
                <w:sz w:val="19"/>
                <w:szCs w:val="19"/>
              </w:rPr>
              <w:t>s</w:t>
            </w:r>
            <w:r w:rsidRPr="000556E4">
              <w:rPr>
                <w:rFonts w:eastAsia="Times New Roman" w:cs="Arial"/>
                <w:sz w:val="19"/>
                <w:szCs w:val="19"/>
              </w:rPr>
              <w:t xml:space="preserve"> authority to the CDSP to update Supply Meter Points (SMP) within Class 2, 3 &amp; 4 to Class 1 where the AQ exceeds 58,600,000kWh for the duration set out in UNC G2.3.15 and the Shipper does not take the required action in moving to Class 1 by 20 Supply Point System Business Days (SPSBD) after the existing deadline (2 months after the Class 1 Read Requirements have been met). </w:t>
            </w:r>
          </w:p>
          <w:p w14:paraId="259177BB" w14:textId="77777777" w:rsidR="007F0797" w:rsidRPr="000556E4" w:rsidRDefault="007F0797" w:rsidP="007F0797">
            <w:pPr>
              <w:contextualSpacing/>
              <w:rPr>
                <w:rFonts w:eastAsia="Times New Roman" w:cs="Arial"/>
                <w:sz w:val="19"/>
                <w:szCs w:val="19"/>
              </w:rPr>
            </w:pPr>
          </w:p>
          <w:p w14:paraId="58AB12E7" w14:textId="72EFC3C7" w:rsidR="007F0797" w:rsidRPr="000556E4" w:rsidRDefault="007F0797" w:rsidP="007F0797">
            <w:pPr>
              <w:contextualSpacing/>
              <w:rPr>
                <w:rFonts w:eastAsia="Times New Roman" w:cs="Arial"/>
                <w:sz w:val="19"/>
                <w:szCs w:val="19"/>
              </w:rPr>
            </w:pPr>
            <w:r w:rsidRPr="000556E4">
              <w:rPr>
                <w:rFonts w:eastAsia="Times New Roman" w:cs="Arial"/>
                <w:sz w:val="19"/>
                <w:szCs w:val="19"/>
              </w:rPr>
              <w:t>As well as the CDSP converting sites to Class 1 in the above scenarios, this change also propose</w:t>
            </w:r>
            <w:r w:rsidR="00843B94" w:rsidRPr="000556E4">
              <w:rPr>
                <w:rFonts w:eastAsia="Times New Roman" w:cs="Arial"/>
                <w:sz w:val="19"/>
                <w:szCs w:val="19"/>
              </w:rPr>
              <w:t>d</w:t>
            </w:r>
            <w:r w:rsidRPr="000556E4">
              <w:rPr>
                <w:rFonts w:eastAsia="Times New Roman" w:cs="Arial"/>
                <w:sz w:val="19"/>
                <w:szCs w:val="19"/>
              </w:rPr>
              <w:t xml:space="preserve"> new Performance Assurance Committee (PAC) reports</w:t>
            </w:r>
            <w:r w:rsidR="00234D4A">
              <w:rPr>
                <w:rFonts w:eastAsia="Times New Roman" w:cs="Arial"/>
                <w:sz w:val="19"/>
                <w:szCs w:val="19"/>
              </w:rPr>
              <w:t xml:space="preserve"> to be added to the Performance Assurance Report Register (PARR)</w:t>
            </w:r>
            <w:r w:rsidRPr="000556E4">
              <w:rPr>
                <w:rFonts w:eastAsia="Times New Roman" w:cs="Arial"/>
                <w:sz w:val="19"/>
                <w:szCs w:val="19"/>
              </w:rPr>
              <w:t xml:space="preserve">: </w:t>
            </w:r>
          </w:p>
          <w:p w14:paraId="6E2526D5" w14:textId="77777777" w:rsidR="00B37F9F" w:rsidRPr="000556E4" w:rsidRDefault="00B37F9F" w:rsidP="007F0797">
            <w:pPr>
              <w:contextualSpacing/>
              <w:rPr>
                <w:rFonts w:eastAsia="Times New Roman" w:cs="Arial"/>
                <w:sz w:val="19"/>
                <w:szCs w:val="19"/>
              </w:rPr>
            </w:pPr>
          </w:p>
          <w:p w14:paraId="01B7EB77" w14:textId="4856EEC9" w:rsidR="0023344E" w:rsidRPr="00266769" w:rsidRDefault="007F0797" w:rsidP="0026676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19"/>
                <w:szCs w:val="19"/>
              </w:rPr>
            </w:pPr>
            <w:r w:rsidRPr="00266769">
              <w:rPr>
                <w:rFonts w:eastAsia="Times New Roman" w:cs="Arial"/>
                <w:sz w:val="19"/>
                <w:szCs w:val="19"/>
              </w:rPr>
              <w:t xml:space="preserve">SMPs that have been reclassified to Class 1 by the CDSP and the Shipper over the previous 12 months </w:t>
            </w:r>
          </w:p>
          <w:p w14:paraId="63C951D0" w14:textId="3BB3CF98" w:rsidR="007F0797" w:rsidRPr="00266769" w:rsidRDefault="007F0797" w:rsidP="0026676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19"/>
                <w:szCs w:val="19"/>
              </w:rPr>
            </w:pPr>
            <w:r w:rsidRPr="00266769">
              <w:rPr>
                <w:rFonts w:eastAsia="Times New Roman" w:cs="Arial"/>
                <w:sz w:val="19"/>
                <w:szCs w:val="19"/>
              </w:rPr>
              <w:t xml:space="preserve">SMP count above the Class 1 </w:t>
            </w:r>
            <w:r w:rsidR="00234D4A" w:rsidRPr="00266769">
              <w:rPr>
                <w:rFonts w:eastAsia="Times New Roman" w:cs="Arial"/>
                <w:sz w:val="19"/>
                <w:szCs w:val="19"/>
              </w:rPr>
              <w:t>threshold but</w:t>
            </w:r>
            <w:r w:rsidRPr="00266769">
              <w:rPr>
                <w:rFonts w:eastAsia="Times New Roman" w:cs="Arial"/>
                <w:sz w:val="19"/>
                <w:szCs w:val="19"/>
              </w:rPr>
              <w:t xml:space="preserve"> not in Class 1 yet</w:t>
            </w:r>
            <w:r w:rsidR="00234D4A" w:rsidRPr="00266769">
              <w:rPr>
                <w:rFonts w:eastAsia="Times New Roman" w:cs="Arial"/>
                <w:sz w:val="19"/>
                <w:szCs w:val="19"/>
              </w:rPr>
              <w:t xml:space="preserve">, including the total AQ by User. </w:t>
            </w:r>
          </w:p>
          <w:p w14:paraId="1A7E1A76" w14:textId="13B9DEAD" w:rsidR="000628C1" w:rsidRPr="000556E4" w:rsidRDefault="000628C1" w:rsidP="00B37F9F">
            <w:pPr>
              <w:contextualSpacing/>
              <w:rPr>
                <w:rFonts w:eastAsia="Times New Roman" w:cs="Arial"/>
                <w:sz w:val="19"/>
                <w:szCs w:val="19"/>
              </w:rPr>
            </w:pPr>
          </w:p>
          <w:p w14:paraId="65A3D0EA" w14:textId="77777777" w:rsidR="00B37F9F" w:rsidRPr="000556E4" w:rsidRDefault="00B37F9F" w:rsidP="00B37F9F">
            <w:pPr>
              <w:ind w:left="720"/>
              <w:contextualSpacing/>
              <w:rPr>
                <w:rFonts w:eastAsia="Times New Roman" w:cs="Arial"/>
                <w:sz w:val="19"/>
                <w:szCs w:val="19"/>
              </w:rPr>
            </w:pPr>
          </w:p>
          <w:p w14:paraId="5A99AFAA" w14:textId="7215159B" w:rsidR="000628C1" w:rsidRPr="000556E4" w:rsidRDefault="00234D4A" w:rsidP="000628C1">
            <w:pPr>
              <w:contextualSpacing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Under </w:t>
            </w:r>
            <w:r w:rsidR="009B262B" w:rsidRPr="000556E4">
              <w:rPr>
                <w:rFonts w:eastAsia="Times New Roman" w:cs="Arial"/>
                <w:sz w:val="19"/>
                <w:szCs w:val="19"/>
              </w:rPr>
              <w:t>XRN5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>038</w:t>
            </w:r>
            <w:r>
              <w:rPr>
                <w:rFonts w:eastAsia="Times New Roman" w:cs="Arial"/>
                <w:sz w:val="19"/>
                <w:szCs w:val="19"/>
              </w:rPr>
              <w:t xml:space="preserve">, a new </w:t>
            </w:r>
            <w:r w:rsidR="00B86912" w:rsidRPr="000556E4">
              <w:rPr>
                <w:rFonts w:eastAsia="Times New Roman" w:cs="Arial"/>
                <w:sz w:val="19"/>
                <w:szCs w:val="19"/>
              </w:rPr>
              <w:t>process</w:t>
            </w:r>
            <w:r>
              <w:rPr>
                <w:rFonts w:eastAsia="Times New Roman" w:cs="Arial"/>
                <w:sz w:val="19"/>
                <w:szCs w:val="19"/>
              </w:rPr>
              <w:t xml:space="preserve"> has been introduced</w:t>
            </w:r>
            <w:r w:rsidR="00B86912" w:rsidRPr="000556E4">
              <w:rPr>
                <w:rFonts w:eastAsia="Times New Roman" w:cs="Arial"/>
                <w:sz w:val="19"/>
                <w:szCs w:val="19"/>
              </w:rPr>
              <w:t xml:space="preserve"> whereby the</w:t>
            </w:r>
            <w:r w:rsidR="000628C1" w:rsidRPr="000556E4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>CDSP identify SMPs within the Supply Point Register</w:t>
            </w:r>
            <w:r>
              <w:rPr>
                <w:rFonts w:eastAsia="Times New Roman" w:cs="Arial"/>
                <w:sz w:val="19"/>
                <w:szCs w:val="19"/>
              </w:rPr>
              <w:t xml:space="preserve"> that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>have met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 xml:space="preserve"> the criteria set out in UNC G2.3.15 and convert them to Class 1 if this has not be</w:t>
            </w:r>
            <w:r w:rsidR="00843B94" w:rsidRPr="000556E4">
              <w:rPr>
                <w:rFonts w:eastAsia="Times New Roman" w:cs="Arial"/>
                <w:sz w:val="19"/>
                <w:szCs w:val="19"/>
              </w:rPr>
              <w:t>en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 xml:space="preserve"> actioned by Shippers within an agreed timescale.</w:t>
            </w:r>
            <w:r>
              <w:rPr>
                <w:rFonts w:eastAsia="Times New Roman" w:cs="Arial"/>
                <w:sz w:val="19"/>
                <w:szCs w:val="19"/>
              </w:rPr>
              <w:t xml:space="preserve"> As part of this process, the CDSP will liaise with the relevant </w:t>
            </w:r>
            <w:r w:rsidR="0023344E">
              <w:rPr>
                <w:rFonts w:eastAsia="Times New Roman" w:cs="Arial"/>
                <w:sz w:val="19"/>
                <w:szCs w:val="19"/>
              </w:rPr>
              <w:t>Shippers</w:t>
            </w:r>
            <w:r>
              <w:rPr>
                <w:rFonts w:eastAsia="Times New Roman" w:cs="Arial"/>
                <w:sz w:val="19"/>
                <w:szCs w:val="19"/>
              </w:rPr>
              <w:t xml:space="preserve"> to notify them where their SMP has crossed the Class 1 threshold as per UNC and request for </w:t>
            </w:r>
            <w:r w:rsidR="0023344E">
              <w:rPr>
                <w:rFonts w:eastAsia="Times New Roman" w:cs="Arial"/>
                <w:sz w:val="19"/>
                <w:szCs w:val="19"/>
              </w:rPr>
              <w:t>they reclassify the SMP to Class 1</w:t>
            </w:r>
            <w:r w:rsidR="00EB311A">
              <w:rPr>
                <w:rFonts w:eastAsia="Times New Roman" w:cs="Arial"/>
                <w:sz w:val="19"/>
                <w:szCs w:val="19"/>
              </w:rPr>
              <w:t xml:space="preserve"> within a specified time period (20 SPSBDs)</w:t>
            </w:r>
            <w:r w:rsidR="0023344E">
              <w:rPr>
                <w:rFonts w:eastAsia="Times New Roman" w:cs="Arial"/>
                <w:sz w:val="19"/>
                <w:szCs w:val="19"/>
              </w:rPr>
              <w:t>.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23344E">
              <w:rPr>
                <w:rFonts w:eastAsia="Times New Roman" w:cs="Arial"/>
                <w:sz w:val="19"/>
                <w:szCs w:val="19"/>
              </w:rPr>
              <w:t xml:space="preserve">The </w:t>
            </w:r>
            <w:r w:rsidR="00EC083C" w:rsidRPr="000556E4">
              <w:rPr>
                <w:rFonts w:eastAsia="Times New Roman" w:cs="Arial"/>
                <w:sz w:val="19"/>
                <w:szCs w:val="19"/>
              </w:rPr>
              <w:t>CDSP will also report on these SMPs</w:t>
            </w:r>
            <w:r w:rsidR="00794437">
              <w:rPr>
                <w:rFonts w:eastAsia="Times New Roman" w:cs="Arial"/>
                <w:sz w:val="19"/>
                <w:szCs w:val="19"/>
              </w:rPr>
              <w:t xml:space="preserve"> as detailed above.</w:t>
            </w:r>
          </w:p>
          <w:p w14:paraId="2AE1EBA3" w14:textId="77777777" w:rsidR="000628C1" w:rsidRPr="00EA73B3" w:rsidRDefault="000628C1" w:rsidP="00BB601B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08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331"/>
              <w:gridCol w:w="1843"/>
              <w:gridCol w:w="1984"/>
            </w:tblGrid>
            <w:tr w:rsidR="00EA73B3" w:rsidRPr="00EA73B3" w14:paraId="6C790A40" w14:textId="77777777" w:rsidTr="002E3A44">
              <w:trPr>
                <w:trHeight w:val="734"/>
              </w:trPr>
              <w:tc>
                <w:tcPr>
                  <w:tcW w:w="2929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331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4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2E3A44">
              <w:trPr>
                <w:trHeight w:val="688"/>
              </w:trPr>
              <w:tc>
                <w:tcPr>
                  <w:tcW w:w="2929" w:type="dxa"/>
                  <w:vAlign w:val="center"/>
                </w:tcPr>
                <w:p w14:paraId="13AC4C48" w14:textId="63AA3C85" w:rsidR="00EB311A" w:rsidRPr="00A333F0" w:rsidRDefault="002902EB" w:rsidP="00387235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Service Area </w:t>
                  </w:r>
                  <w:r w:rsidR="00387235">
                    <w:rPr>
                      <w:rFonts w:cs="Arial"/>
                      <w:sz w:val="20"/>
                      <w:szCs w:val="16"/>
                    </w:rPr>
                    <w:t>2 – Monthly AQ Processes</w:t>
                  </w:r>
                  <w:bookmarkStart w:id="0" w:name="_GoBack"/>
                  <w:bookmarkEnd w:id="0"/>
                </w:p>
                <w:p w14:paraId="7A8B23CB" w14:textId="44339FA9" w:rsidR="00EA73B3" w:rsidRPr="00A333F0" w:rsidRDefault="00EA73B3" w:rsidP="002902EB">
                  <w:pPr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14:paraId="46E92E56" w14:textId="6BBD08F6" w:rsidR="00EA73B3" w:rsidRPr="00EA73B3" w:rsidRDefault="002902EB" w:rsidP="002902EB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A new </w:t>
                  </w:r>
                  <w:r w:rsidR="0023344E">
                    <w:rPr>
                      <w:rFonts w:cs="Arial"/>
                      <w:sz w:val="20"/>
                      <w:szCs w:val="16"/>
                    </w:rPr>
                    <w:t xml:space="preserve">Direct 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>Service Line</w:t>
                  </w:r>
                  <w:r w:rsidR="0023344E">
                    <w:rPr>
                      <w:rFonts w:cs="Arial"/>
                      <w:sz w:val="20"/>
                      <w:szCs w:val="16"/>
                    </w:rPr>
                    <w:t xml:space="preserve"> for the </w:t>
                  </w:r>
                  <w:r w:rsidR="00EB311A">
                    <w:rPr>
                      <w:rFonts w:cs="Arial"/>
                      <w:sz w:val="20"/>
                      <w:szCs w:val="16"/>
                    </w:rPr>
                    <w:t>notification process and a Specific Service Line</w:t>
                  </w:r>
                  <w:r w:rsidR="009B262B">
                    <w:rPr>
                      <w:rFonts w:cs="Arial"/>
                      <w:sz w:val="20"/>
                      <w:szCs w:val="16"/>
                    </w:rPr>
                    <w:t xml:space="preserve"> </w:t>
                  </w:r>
                  <w:r w:rsidR="00EB311A">
                    <w:rPr>
                      <w:rFonts w:cs="Arial"/>
                      <w:sz w:val="20"/>
                      <w:szCs w:val="16"/>
                    </w:rPr>
                    <w:t xml:space="preserve">for the 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CDSP </w:t>
                  </w:r>
                  <w:r w:rsidR="00EB311A">
                    <w:rPr>
                      <w:rFonts w:cs="Arial"/>
                      <w:sz w:val="20"/>
                      <w:szCs w:val="16"/>
                    </w:rPr>
                    <w:t xml:space="preserve">reclassification </w:t>
                  </w:r>
                  <w:r w:rsidR="00F93E07">
                    <w:rPr>
                      <w:rFonts w:cs="Arial"/>
                      <w:sz w:val="20"/>
                      <w:szCs w:val="16"/>
                    </w:rPr>
                    <w:t>where requirements have been met but the Shipper hasn’t</w:t>
                  </w:r>
                  <w:r w:rsidR="00F10179">
                    <w:rPr>
                      <w:rFonts w:cs="Arial"/>
                      <w:sz w:val="20"/>
                      <w:szCs w:val="16"/>
                    </w:rPr>
                    <w:t xml:space="preserve"> taken </w:t>
                  </w:r>
                  <w:r w:rsidR="00F10179">
                    <w:rPr>
                      <w:rFonts w:cs="Arial"/>
                      <w:sz w:val="20"/>
                      <w:szCs w:val="16"/>
                    </w:rPr>
                    <w:lastRenderedPageBreak/>
                    <w:t>the required action</w:t>
                  </w:r>
                  <w:r w:rsidR="00EB311A">
                    <w:rPr>
                      <w:rFonts w:cs="Arial"/>
                      <w:sz w:val="20"/>
                      <w:szCs w:val="16"/>
                    </w:rPr>
                    <w:t xml:space="preserve"> will be implemented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3B58C1A8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984" w:type="dxa"/>
                  <w:vAlign w:val="center"/>
                </w:tcPr>
                <w:p w14:paraId="6DCD23EA" w14:textId="3B70AF49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46B8C30" w14:textId="2BA654BB" w:rsidR="002362D0" w:rsidRPr="00EA73B3" w:rsidRDefault="002362D0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90F7E3B" w14:textId="4E0DC139" w:rsidR="002362D0" w:rsidRDefault="002362D0"/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9209"/>
      </w:tblGrid>
      <w:tr w:rsidR="00EA73B3" w:rsidRPr="00EA73B3" w14:paraId="0C90DDA4" w14:textId="77777777" w:rsidTr="002E3A44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DAB8B65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02E3A44">
        <w:trPr>
          <w:trHeight w:val="25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57077" w14:textId="77777777" w:rsidR="002362D0" w:rsidRDefault="002362D0"/>
          <w:tbl>
            <w:tblPr>
              <w:tblStyle w:val="TableGrid1"/>
              <w:tblW w:w="895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1134"/>
              <w:gridCol w:w="1418"/>
              <w:gridCol w:w="1984"/>
              <w:gridCol w:w="2833"/>
            </w:tblGrid>
            <w:tr w:rsidR="00EA73B3" w:rsidRPr="00EA73B3" w14:paraId="6E11255F" w14:textId="77777777" w:rsidTr="008B2029">
              <w:trPr>
                <w:trHeight w:val="436"/>
              </w:trPr>
              <w:tc>
                <w:tcPr>
                  <w:tcW w:w="1583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134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418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984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833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8B2029">
              <w:trPr>
                <w:trHeight w:val="288"/>
              </w:trPr>
              <w:tc>
                <w:tcPr>
                  <w:tcW w:w="1583" w:type="dxa"/>
                </w:tcPr>
                <w:p w14:paraId="22D3A938" w14:textId="421D8551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0F9EFD" w14:textId="5CFC75CD" w:rsidR="00195A39" w:rsidRPr="00EA73B3" w:rsidRDefault="00BB601B" w:rsidP="00BB601B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531AFD" w14:textId="3060CD3D" w:rsidR="00EA73B3" w:rsidRPr="00EA73B3" w:rsidRDefault="00BB601B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84" w:type="dxa"/>
                  <w:vAlign w:val="center"/>
                </w:tcPr>
                <w:p w14:paraId="2B077712" w14:textId="3BAF2462" w:rsidR="00F90129" w:rsidRDefault="004D50D9" w:rsidP="009E0C27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4D50D9">
                    <w:rPr>
                      <w:rFonts w:eastAsia="Times New Roman" w:cs="Arial"/>
                      <w:sz w:val="20"/>
                      <w:szCs w:val="20"/>
                    </w:rPr>
                    <w:t>BER costs have been determined from the costs published and approved in the HLSO (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25</w:t>
                  </w:r>
                  <w:r w:rsidR="00A16E52">
                    <w:rPr>
                      <w:rFonts w:eastAsia="Times New Roman" w:cs="Arial"/>
                      <w:sz w:val="20"/>
                      <w:szCs w:val="20"/>
                    </w:rPr>
                    <w:t>,000</w:t>
                  </w:r>
                  <w:r w:rsidRPr="004D50D9">
                    <w:rPr>
                      <w:rFonts w:eastAsia="Times New Roman" w:cs="Arial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4</w:t>
                  </w:r>
                  <w:r w:rsidRPr="004D50D9">
                    <w:rPr>
                      <w:rFonts w:eastAsia="Times New Roman" w:cs="Arial"/>
                      <w:sz w:val="20"/>
                      <w:szCs w:val="20"/>
                    </w:rPr>
                    <w:t>5,000 GBP)</w:t>
                  </w:r>
                  <w:r w:rsidR="00F90129">
                    <w:rPr>
                      <w:rFonts w:eastAsia="Times New Roman" w:cs="Arial"/>
                      <w:sz w:val="20"/>
                      <w:szCs w:val="20"/>
                    </w:rPr>
                    <w:t>.</w:t>
                  </w:r>
                </w:p>
                <w:p w14:paraId="4E3F35E6" w14:textId="412A8EFD" w:rsidR="00EA73B3" w:rsidRPr="00EA73B3" w:rsidRDefault="00EA73B3" w:rsidP="008B202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6B2D9D08" w14:textId="77777777" w:rsidR="0002416F" w:rsidRDefault="009B262B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  <w:r w:rsidR="008B2029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</w:p>
                <w:p w14:paraId="7FE6E28A" w14:textId="77777777" w:rsidR="0002416F" w:rsidRDefault="0002416F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6A039829" w14:textId="7D1E6594" w:rsidR="00EA73B3" w:rsidRPr="00266769" w:rsidRDefault="008B2029" w:rsidP="00195A39">
                  <w:pPr>
                    <w:jc w:val="center"/>
                    <w:rPr>
                      <w:rFonts w:eastAsia="Times New Roman" w:cs="Arial"/>
                      <w:i/>
                      <w:sz w:val="20"/>
                      <w:szCs w:val="20"/>
                    </w:rPr>
                  </w:pPr>
                  <w:r w:rsidRPr="00266769">
                    <w:rPr>
                      <w:rFonts w:eastAsia="Times New Roman" w:cs="Arial"/>
                      <w:i/>
                      <w:sz w:val="20"/>
                      <w:szCs w:val="20"/>
                    </w:rPr>
                    <w:t xml:space="preserve">We were able to utilise current resource to manage XRN5038 from 01 April 2021 and </w:t>
                  </w:r>
                  <w:r w:rsidR="001C2AC6">
                    <w:rPr>
                      <w:rFonts w:eastAsia="Times New Roman" w:cs="Arial"/>
                      <w:i/>
                      <w:sz w:val="20"/>
                      <w:szCs w:val="20"/>
                    </w:rPr>
                    <w:t xml:space="preserve">the amendment to an existing report to create the required </w:t>
                  </w:r>
                  <w:r w:rsidRPr="00266769">
                    <w:rPr>
                      <w:rFonts w:eastAsia="Times New Roman" w:cs="Arial"/>
                      <w:i/>
                      <w:sz w:val="20"/>
                      <w:szCs w:val="20"/>
                    </w:rPr>
                    <w:t xml:space="preserve">reports </w:t>
                  </w:r>
                  <w:r w:rsidR="001C2AC6">
                    <w:rPr>
                      <w:rFonts w:eastAsia="Times New Roman" w:cs="Arial"/>
                      <w:i/>
                      <w:sz w:val="20"/>
                      <w:szCs w:val="20"/>
                    </w:rPr>
                    <w:t xml:space="preserve">under XRN5038 was able to be managed without additional funding. </w:t>
                  </w:r>
                </w:p>
              </w:tc>
            </w:tr>
            <w:tr w:rsidR="00EA73B3" w:rsidRPr="00EA73B3" w14:paraId="199F5DC6" w14:textId="77777777" w:rsidTr="008B2029">
              <w:trPr>
                <w:trHeight w:val="218"/>
              </w:trPr>
              <w:tc>
                <w:tcPr>
                  <w:tcW w:w="1583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D11F3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2A63D92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08B2029">
              <w:trPr>
                <w:trHeight w:val="218"/>
              </w:trPr>
              <w:tc>
                <w:tcPr>
                  <w:tcW w:w="1583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FF287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3C064A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6E130A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1814716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08B2029">
              <w:trPr>
                <w:trHeight w:val="218"/>
              </w:trPr>
              <w:tc>
                <w:tcPr>
                  <w:tcW w:w="1583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7BE72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45FA9E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505912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719E72A3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20BFD5F" w14:textId="77777777" w:rsidTr="008B2029">
              <w:trPr>
                <w:trHeight w:val="50"/>
              </w:trPr>
              <w:tc>
                <w:tcPr>
                  <w:tcW w:w="1583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880586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648D21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2B102F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2BCC920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1672974D" w14:textId="65F98540" w:rsidR="004237FE" w:rsidRPr="00EA73B3" w:rsidRDefault="004237FE" w:rsidP="00BB601B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2E3A44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2E3A44">
        <w:trPr>
          <w:trHeight w:val="2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3679E44F" w:rsidR="00EA73B3" w:rsidRPr="009222C1" w:rsidRDefault="005153B1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222C1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2E3A44">
        <w:trPr>
          <w:trHeight w:val="216"/>
        </w:trPr>
        <w:tc>
          <w:tcPr>
            <w:tcW w:w="5000" w:type="pct"/>
            <w:shd w:val="clear" w:color="auto" w:fill="auto"/>
          </w:tcPr>
          <w:p w14:paraId="4FC8E819" w14:textId="37ECE4FF" w:rsidR="00EB311A" w:rsidRDefault="00EB311A" w:rsidP="00195A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 new Direct Service Line will be implemented which will cover the notification process whereby the CDSP has to identify and notify the relevant Shipper of their SMP meeting the Class 1 threshold as per UNC but not residing within Class 1. This Service Line will include the formal 20 SPSBD notice sent to the relevant Shipper to reclassify. </w:t>
            </w:r>
          </w:p>
          <w:p w14:paraId="74B617B5" w14:textId="399E0027" w:rsidR="00EA73B3" w:rsidRDefault="00EB311A" w:rsidP="00195A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 n</w:t>
            </w:r>
            <w:r w:rsidR="0023344E">
              <w:rPr>
                <w:rFonts w:cs="Arial"/>
                <w:sz w:val="20"/>
                <w:szCs w:val="16"/>
              </w:rPr>
              <w:t xml:space="preserve">ew </w:t>
            </w:r>
            <w:r>
              <w:rPr>
                <w:rFonts w:cs="Arial"/>
                <w:sz w:val="20"/>
                <w:szCs w:val="16"/>
              </w:rPr>
              <w:t xml:space="preserve">Specific </w:t>
            </w:r>
            <w:r w:rsidR="00F10179" w:rsidRPr="00F10179">
              <w:rPr>
                <w:rFonts w:cs="Arial"/>
                <w:sz w:val="20"/>
                <w:szCs w:val="16"/>
              </w:rPr>
              <w:t xml:space="preserve">Service Line will </w:t>
            </w:r>
            <w:r>
              <w:rPr>
                <w:rFonts w:cs="Arial"/>
                <w:sz w:val="20"/>
                <w:szCs w:val="16"/>
              </w:rPr>
              <w:t xml:space="preserve">also </w:t>
            </w:r>
            <w:r w:rsidR="00F10179" w:rsidRPr="00F10179">
              <w:rPr>
                <w:rFonts w:cs="Arial"/>
                <w:sz w:val="20"/>
                <w:szCs w:val="16"/>
              </w:rPr>
              <w:t xml:space="preserve">be implemented which </w:t>
            </w:r>
            <w:r>
              <w:rPr>
                <w:rFonts w:cs="Arial"/>
                <w:sz w:val="20"/>
                <w:szCs w:val="16"/>
              </w:rPr>
              <w:t>covers</w:t>
            </w:r>
            <w:r w:rsidR="00F10179" w:rsidRPr="00F10179">
              <w:rPr>
                <w:rFonts w:cs="Arial"/>
                <w:sz w:val="20"/>
                <w:szCs w:val="16"/>
              </w:rPr>
              <w:t xml:space="preserve"> the CDSP</w:t>
            </w:r>
            <w:r>
              <w:rPr>
                <w:rFonts w:cs="Arial"/>
                <w:sz w:val="20"/>
                <w:szCs w:val="16"/>
              </w:rPr>
              <w:t xml:space="preserve"> responsibility and action</w:t>
            </w:r>
            <w:r w:rsidR="00F10179" w:rsidRPr="00F10179">
              <w:rPr>
                <w:rFonts w:cs="Arial"/>
                <w:sz w:val="20"/>
                <w:szCs w:val="16"/>
              </w:rPr>
              <w:t xml:space="preserve"> to convert sites to Class 1 where requirements have been met but the Shipper hasn’t taken the required action</w:t>
            </w:r>
            <w:r>
              <w:rPr>
                <w:rFonts w:cs="Arial"/>
                <w:sz w:val="20"/>
                <w:szCs w:val="16"/>
              </w:rPr>
              <w:t xml:space="preserve"> within the agreed timescales</w:t>
            </w:r>
            <w:r w:rsidR="00F10179" w:rsidRPr="00F10179">
              <w:rPr>
                <w:rFonts w:cs="Arial"/>
                <w:sz w:val="20"/>
                <w:szCs w:val="16"/>
              </w:rPr>
              <w:t>.</w:t>
            </w:r>
          </w:p>
          <w:p w14:paraId="261E741A" w14:textId="77777777" w:rsidR="0023344E" w:rsidRDefault="0023344E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6992048" w14:textId="18CCC10D" w:rsidR="0023344E" w:rsidRPr="00266769" w:rsidRDefault="0023344E" w:rsidP="00195A39">
            <w:pPr>
              <w:rPr>
                <w:rFonts w:eastAsia="Times New Roman" w:cs="Arial"/>
                <w:sz w:val="20"/>
                <w:szCs w:val="16"/>
              </w:rPr>
            </w:pPr>
            <w:r w:rsidRPr="00266769">
              <w:rPr>
                <w:rFonts w:eastAsia="Times New Roman" w:cs="Arial"/>
                <w:sz w:val="20"/>
                <w:szCs w:val="16"/>
              </w:rPr>
              <w:t xml:space="preserve">The </w:t>
            </w:r>
            <w:r>
              <w:rPr>
                <w:rFonts w:eastAsia="Times New Roman" w:cs="Arial"/>
                <w:sz w:val="20"/>
                <w:szCs w:val="16"/>
              </w:rPr>
              <w:t>latest CDSP Annual Charging Statement has also been updated to reflect the charge</w:t>
            </w:r>
            <w:r w:rsidR="00EB311A">
              <w:rPr>
                <w:rFonts w:eastAsia="Times New Roman" w:cs="Arial"/>
                <w:sz w:val="20"/>
                <w:szCs w:val="16"/>
              </w:rPr>
              <w:t xml:space="preserve"> a Shipper will receive for this Specific Service Line whereby</w:t>
            </w:r>
            <w:r>
              <w:rPr>
                <w:rFonts w:eastAsia="Times New Roman" w:cs="Arial"/>
                <w:sz w:val="20"/>
                <w:szCs w:val="16"/>
              </w:rPr>
              <w:t xml:space="preserve"> the CDSP has to reclassify an SMP </w:t>
            </w:r>
            <w:r w:rsidR="00EB311A">
              <w:rPr>
                <w:rFonts w:eastAsia="Times New Roman" w:cs="Arial"/>
                <w:sz w:val="20"/>
                <w:szCs w:val="16"/>
              </w:rPr>
              <w:t xml:space="preserve">to Class 1 under </w:t>
            </w:r>
            <w:r>
              <w:rPr>
                <w:rFonts w:eastAsia="Times New Roman" w:cs="Arial"/>
                <w:sz w:val="20"/>
                <w:szCs w:val="16"/>
              </w:rPr>
              <w:t>the XRN5038 process</w:t>
            </w:r>
            <w:r w:rsidR="00EB311A">
              <w:rPr>
                <w:rFonts w:eastAsia="Times New Roman" w:cs="Arial"/>
                <w:sz w:val="20"/>
                <w:szCs w:val="16"/>
              </w:rPr>
              <w:t xml:space="preserve">. </w:t>
            </w:r>
            <w:r>
              <w:rPr>
                <w:rFonts w:eastAsia="Times New Roman" w:cs="Arial"/>
                <w:sz w:val="20"/>
                <w:szCs w:val="16"/>
              </w:rPr>
              <w:t xml:space="preserve"> </w:t>
            </w:r>
          </w:p>
        </w:tc>
      </w:tr>
      <w:tr w:rsidR="00EA73B3" w:rsidRPr="00EA73B3" w14:paraId="6EF7276F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2E3A44">
        <w:trPr>
          <w:trHeight w:val="273"/>
        </w:trPr>
        <w:tc>
          <w:tcPr>
            <w:tcW w:w="5000" w:type="pct"/>
            <w:shd w:val="clear" w:color="auto" w:fill="auto"/>
          </w:tcPr>
          <w:p w14:paraId="1AB0B5C7" w14:textId="5D069F1A" w:rsidR="00EA73B3" w:rsidRPr="009222C1" w:rsidRDefault="00BA5D1D" w:rsidP="0A57A144">
            <w:pPr>
              <w:spacing w:line="276" w:lineRule="auto"/>
              <w:contextualSpacing/>
              <w:rPr>
                <w:rFonts w:eastAsia="Times New Roman" w:cs="Arial"/>
                <w:color w:val="FF0000"/>
                <w:szCs w:val="16"/>
              </w:rPr>
            </w:pPr>
            <w:r w:rsidRPr="009222C1">
              <w:rPr>
                <w:rFonts w:eastAsia="Times New Roman" w:cs="Arial"/>
                <w:sz w:val="20"/>
                <w:szCs w:val="16"/>
              </w:rPr>
              <w:t>N/A</w:t>
            </w:r>
          </w:p>
        </w:tc>
      </w:tr>
      <w:tr w:rsidR="00EA73B3" w:rsidRPr="00EA73B3" w14:paraId="7D853ABD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2E3A44">
        <w:trPr>
          <w:trHeight w:val="319"/>
        </w:trPr>
        <w:tc>
          <w:tcPr>
            <w:tcW w:w="5000" w:type="pct"/>
            <w:shd w:val="clear" w:color="auto" w:fill="auto"/>
          </w:tcPr>
          <w:p w14:paraId="7B2B5B58" w14:textId="0FB6FD10" w:rsidR="00EA73B3" w:rsidRPr="009222C1" w:rsidRDefault="005153B1" w:rsidP="0A57A144">
            <w:pPr>
              <w:spacing w:after="200" w:line="276" w:lineRule="auto"/>
              <w:rPr>
                <w:rFonts w:eastAsia="Times New Roman" w:cs="Arial"/>
              </w:rPr>
            </w:pPr>
            <w:r w:rsidRPr="009222C1">
              <w:rPr>
                <w:rFonts w:eastAsia="Times New Roman" w:cs="Arial"/>
                <w:sz w:val="20"/>
              </w:rPr>
              <w:t>N/A</w:t>
            </w:r>
          </w:p>
        </w:tc>
      </w:tr>
    </w:tbl>
    <w:p w14:paraId="7651F714" w14:textId="77777777" w:rsidR="00D66C7E" w:rsidRPr="00EA73B3" w:rsidRDefault="00D66C7E" w:rsidP="000742C7"/>
    <w:sectPr w:rsidR="00D66C7E" w:rsidRPr="00EA73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EF8F" w14:textId="77777777" w:rsidR="00855604" w:rsidRDefault="00855604" w:rsidP="00324744">
      <w:pPr>
        <w:spacing w:after="0" w:line="240" w:lineRule="auto"/>
      </w:pPr>
      <w:r>
        <w:separator/>
      </w:r>
    </w:p>
  </w:endnote>
  <w:endnote w:type="continuationSeparator" w:id="0">
    <w:p w14:paraId="67FEFAF9" w14:textId="77777777" w:rsidR="00855604" w:rsidRDefault="0085560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BA4D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0B46" w14:textId="77777777" w:rsidR="00855604" w:rsidRDefault="00855604" w:rsidP="00324744">
      <w:pPr>
        <w:spacing w:after="0" w:line="240" w:lineRule="auto"/>
      </w:pPr>
      <w:r>
        <w:separator/>
      </w:r>
    </w:p>
  </w:footnote>
  <w:footnote w:type="continuationSeparator" w:id="0">
    <w:p w14:paraId="40525306" w14:textId="77777777" w:rsidR="00855604" w:rsidRDefault="0085560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199D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EFD"/>
    <w:multiLevelType w:val="hybridMultilevel"/>
    <w:tmpl w:val="FF12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8F1"/>
    <w:rsid w:val="00006C99"/>
    <w:rsid w:val="0002416F"/>
    <w:rsid w:val="00037DF7"/>
    <w:rsid w:val="00041D2F"/>
    <w:rsid w:val="000433B9"/>
    <w:rsid w:val="000556E4"/>
    <w:rsid w:val="000628C1"/>
    <w:rsid w:val="000742C7"/>
    <w:rsid w:val="00086147"/>
    <w:rsid w:val="00097798"/>
    <w:rsid w:val="000A1AD1"/>
    <w:rsid w:val="000A31DE"/>
    <w:rsid w:val="000B6754"/>
    <w:rsid w:val="000E6268"/>
    <w:rsid w:val="00113A04"/>
    <w:rsid w:val="00125B61"/>
    <w:rsid w:val="00126697"/>
    <w:rsid w:val="00144E00"/>
    <w:rsid w:val="00194409"/>
    <w:rsid w:val="00195A39"/>
    <w:rsid w:val="001C2268"/>
    <w:rsid w:val="001C2AC6"/>
    <w:rsid w:val="00226D34"/>
    <w:rsid w:val="0023344E"/>
    <w:rsid w:val="00234D4A"/>
    <w:rsid w:val="002362D0"/>
    <w:rsid w:val="002604D1"/>
    <w:rsid w:val="00266769"/>
    <w:rsid w:val="00271200"/>
    <w:rsid w:val="00285816"/>
    <w:rsid w:val="002902EB"/>
    <w:rsid w:val="002B5E11"/>
    <w:rsid w:val="002E3A44"/>
    <w:rsid w:val="002E5101"/>
    <w:rsid w:val="00322D44"/>
    <w:rsid w:val="00324744"/>
    <w:rsid w:val="00344C38"/>
    <w:rsid w:val="00387235"/>
    <w:rsid w:val="003A2BD3"/>
    <w:rsid w:val="003B0759"/>
    <w:rsid w:val="003C2C71"/>
    <w:rsid w:val="004237FE"/>
    <w:rsid w:val="00426807"/>
    <w:rsid w:val="004454DA"/>
    <w:rsid w:val="00470DA6"/>
    <w:rsid w:val="00476E4E"/>
    <w:rsid w:val="004C1423"/>
    <w:rsid w:val="004D0F26"/>
    <w:rsid w:val="004D50D9"/>
    <w:rsid w:val="004F3362"/>
    <w:rsid w:val="00510BAF"/>
    <w:rsid w:val="005153B1"/>
    <w:rsid w:val="00517659"/>
    <w:rsid w:val="00517F6F"/>
    <w:rsid w:val="0055298E"/>
    <w:rsid w:val="00567890"/>
    <w:rsid w:val="005A2A3E"/>
    <w:rsid w:val="00600130"/>
    <w:rsid w:val="006031F4"/>
    <w:rsid w:val="00613931"/>
    <w:rsid w:val="0066138B"/>
    <w:rsid w:val="006A2080"/>
    <w:rsid w:val="00701D8A"/>
    <w:rsid w:val="007243D3"/>
    <w:rsid w:val="00731A18"/>
    <w:rsid w:val="0075406A"/>
    <w:rsid w:val="007579D0"/>
    <w:rsid w:val="00776452"/>
    <w:rsid w:val="00794437"/>
    <w:rsid w:val="007A56DB"/>
    <w:rsid w:val="007D4F26"/>
    <w:rsid w:val="007E7C5B"/>
    <w:rsid w:val="007F0797"/>
    <w:rsid w:val="00817A62"/>
    <w:rsid w:val="00836E06"/>
    <w:rsid w:val="00842F48"/>
    <w:rsid w:val="00843B94"/>
    <w:rsid w:val="00855604"/>
    <w:rsid w:val="0088455C"/>
    <w:rsid w:val="008B2029"/>
    <w:rsid w:val="008F6142"/>
    <w:rsid w:val="009222C1"/>
    <w:rsid w:val="009A617C"/>
    <w:rsid w:val="009B262B"/>
    <w:rsid w:val="009E0C27"/>
    <w:rsid w:val="009E0F66"/>
    <w:rsid w:val="00A16E52"/>
    <w:rsid w:val="00A333F0"/>
    <w:rsid w:val="00A57D06"/>
    <w:rsid w:val="00A727A1"/>
    <w:rsid w:val="00AB5B54"/>
    <w:rsid w:val="00AB63DE"/>
    <w:rsid w:val="00AD34BD"/>
    <w:rsid w:val="00B37F9F"/>
    <w:rsid w:val="00B86912"/>
    <w:rsid w:val="00B8770C"/>
    <w:rsid w:val="00BA5D1D"/>
    <w:rsid w:val="00BB601B"/>
    <w:rsid w:val="00BD0A45"/>
    <w:rsid w:val="00C43132"/>
    <w:rsid w:val="00C61AB1"/>
    <w:rsid w:val="00CB609D"/>
    <w:rsid w:val="00CE2AD6"/>
    <w:rsid w:val="00D66C7E"/>
    <w:rsid w:val="00DD0C65"/>
    <w:rsid w:val="00DF0C80"/>
    <w:rsid w:val="00E84C24"/>
    <w:rsid w:val="00EA73B3"/>
    <w:rsid w:val="00EB311A"/>
    <w:rsid w:val="00EC083C"/>
    <w:rsid w:val="00ED73D6"/>
    <w:rsid w:val="00F10179"/>
    <w:rsid w:val="00F45E21"/>
    <w:rsid w:val="00F90129"/>
    <w:rsid w:val="00F93E07"/>
    <w:rsid w:val="00F95876"/>
    <w:rsid w:val="00FB7BFE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6268"/>
  </w:style>
  <w:style w:type="character" w:customStyle="1" w:styleId="eop">
    <w:name w:val="eop"/>
    <w:basedOn w:val="DefaultParagraphFont"/>
    <w:rsid w:val="000E6268"/>
  </w:style>
  <w:style w:type="character" w:styleId="CommentReference">
    <w:name w:val="annotation reference"/>
    <w:basedOn w:val="DefaultParagraphFont"/>
    <w:uiPriority w:val="99"/>
    <w:semiHidden/>
    <w:unhideWhenUsed/>
    <w:rsid w:val="009B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6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6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2248C-04A1-404B-A5C1-A41B8D618ED5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Jaimee LeResche</cp:lastModifiedBy>
  <cp:revision>3</cp:revision>
  <dcterms:created xsi:type="dcterms:W3CDTF">2021-04-26T15:16:00Z</dcterms:created>
  <dcterms:modified xsi:type="dcterms:W3CDTF">2021-04-28T12:20:00Z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