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019714CE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42DDE1A3" w:rsidR="00EA73B3" w:rsidRPr="000C476D" w:rsidRDefault="00026EAD" w:rsidP="0A57A144">
            <w:r w:rsidRPr="000C476D">
              <w:t xml:space="preserve">Minor Release Drop </w:t>
            </w:r>
            <w:r w:rsidR="00C60DAF">
              <w:t>9</w:t>
            </w:r>
          </w:p>
        </w:tc>
      </w:tr>
      <w:tr w:rsidR="00EA73B3" w:rsidRPr="00EA73B3" w14:paraId="06D4D571" w14:textId="77777777" w:rsidTr="019714CE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5EEBE17B" w:rsidR="00EA73B3" w:rsidRPr="000C476D" w:rsidRDefault="00026EAD" w:rsidP="00195A39">
            <w:r w:rsidRPr="000C476D">
              <w:t>XRN</w:t>
            </w:r>
            <w:r w:rsidR="00C60DAF">
              <w:t>5294</w:t>
            </w:r>
          </w:p>
        </w:tc>
      </w:tr>
      <w:tr w:rsidR="00EA73B3" w:rsidRPr="00EA73B3" w14:paraId="1D6C8AD7" w14:textId="77777777" w:rsidTr="019714CE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684F6C5B" w:rsidR="00EA73B3" w:rsidRPr="000C476D" w:rsidRDefault="008971FF" w:rsidP="0A57A144">
            <w:r>
              <w:t>Bali Bahia</w:t>
            </w:r>
          </w:p>
        </w:tc>
      </w:tr>
      <w:tr w:rsidR="00EA73B3" w:rsidRPr="00EA73B3" w14:paraId="2390A8AC" w14:textId="77777777" w:rsidTr="019714CE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74C587D6" w:rsidR="00EA73B3" w:rsidRPr="000C476D" w:rsidRDefault="008971FF" w:rsidP="0A57A144">
            <w:r>
              <w:t>Bali.Bahia@xoserve.com</w:t>
            </w:r>
          </w:p>
        </w:tc>
      </w:tr>
      <w:tr w:rsidR="00EA73B3" w:rsidRPr="00EA73B3" w14:paraId="3B9ABC1E" w14:textId="77777777" w:rsidTr="019714CE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5E4A8D09" w:rsidR="00EA73B3" w:rsidRPr="000C476D" w:rsidRDefault="00EA73B3" w:rsidP="0A57A144"/>
        </w:tc>
      </w:tr>
      <w:tr w:rsidR="00EA73B3" w:rsidRPr="00EA73B3" w14:paraId="0B495390" w14:textId="77777777" w:rsidTr="019714CE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53E1D48B" w:rsidR="00EA73B3" w:rsidRPr="000C476D" w:rsidRDefault="0082748A" w:rsidP="00EA73B3">
            <w:r>
              <w:t>10/</w:t>
            </w:r>
            <w:r w:rsidR="00C60DAF">
              <w:t>05</w:t>
            </w:r>
            <w:r>
              <w:t>/2021</w:t>
            </w:r>
          </w:p>
        </w:tc>
      </w:tr>
      <w:tr w:rsidR="00EA73B3" w:rsidRPr="00EA73B3" w14:paraId="70D298E7" w14:textId="77777777" w:rsidTr="019714CE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51B86019" w:rsidR="00EA73B3" w:rsidRPr="000C476D" w:rsidRDefault="00C60DAF" w:rsidP="0A57A144">
            <w:r>
              <w:t>20</w:t>
            </w:r>
            <w:r w:rsidR="0082748A">
              <w:t>/</w:t>
            </w:r>
            <w:r>
              <w:t>03</w:t>
            </w:r>
            <w:r w:rsidR="0082748A">
              <w:t>/</w:t>
            </w:r>
            <w:r>
              <w:t>2021</w:t>
            </w:r>
          </w:p>
        </w:tc>
      </w:tr>
      <w:tr w:rsidR="00EA73B3" w:rsidRPr="00EA73B3" w14:paraId="0327033D" w14:textId="77777777" w:rsidTr="019714C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19714C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EC43DD" w14:textId="0CF7CE54" w:rsidR="00496175" w:rsidRPr="001B1EFF" w:rsidRDefault="008C1895" w:rsidP="00001B64">
            <w:pPr>
              <w:spacing w:line="276" w:lineRule="auto"/>
              <w:jc w:val="both"/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 xml:space="preserve">The changes within Minor Release Drop </w:t>
            </w:r>
            <w:r w:rsidR="00C60DAF" w:rsidRPr="001B1EFF">
              <w:rPr>
                <w:rFonts w:eastAsia="Times New Roman" w:cs="Arial"/>
              </w:rPr>
              <w:t>9</w:t>
            </w:r>
            <w:r w:rsidRPr="001B1EFF">
              <w:rPr>
                <w:rFonts w:eastAsia="Times New Roman" w:cs="Arial"/>
              </w:rPr>
              <w:t xml:space="preserve"> were delivered to the agreed scope and</w:t>
            </w:r>
            <w:r w:rsidR="00252118" w:rsidRPr="001B1EFF">
              <w:rPr>
                <w:rFonts w:eastAsia="Times New Roman" w:cs="Arial"/>
              </w:rPr>
              <w:t xml:space="preserve"> </w:t>
            </w:r>
            <w:r w:rsidR="00AC1FCD" w:rsidRPr="001B1EFF">
              <w:rPr>
                <w:rFonts w:eastAsia="Times New Roman" w:cs="Arial"/>
              </w:rPr>
              <w:t xml:space="preserve">to </w:t>
            </w:r>
            <w:r w:rsidR="00252118" w:rsidRPr="001B1EFF">
              <w:rPr>
                <w:rFonts w:eastAsia="Times New Roman" w:cs="Arial"/>
              </w:rPr>
              <w:t xml:space="preserve"> the </w:t>
            </w:r>
            <w:r w:rsidR="00AC1FCD" w:rsidRPr="001B1EFF">
              <w:rPr>
                <w:rFonts w:eastAsia="Times New Roman" w:cs="Arial"/>
              </w:rPr>
              <w:t xml:space="preserve">agreed implementation date </w:t>
            </w:r>
            <w:r w:rsidRPr="001B1EFF">
              <w:rPr>
                <w:rFonts w:eastAsia="Times New Roman" w:cs="Arial"/>
              </w:rPr>
              <w:t xml:space="preserve"> of </w:t>
            </w:r>
            <w:r w:rsidR="00C60DAF" w:rsidRPr="001B1EFF">
              <w:rPr>
                <w:rFonts w:eastAsia="Times New Roman" w:cs="Arial"/>
              </w:rPr>
              <w:t xml:space="preserve">20th </w:t>
            </w:r>
            <w:r w:rsidR="0082748A" w:rsidRPr="001B1EFF">
              <w:rPr>
                <w:rFonts w:eastAsia="Times New Roman" w:cs="Arial"/>
              </w:rPr>
              <w:t xml:space="preserve"> </w:t>
            </w:r>
            <w:r w:rsidR="00C60DAF" w:rsidRPr="001B1EFF">
              <w:rPr>
                <w:rFonts w:eastAsia="Times New Roman" w:cs="Arial"/>
              </w:rPr>
              <w:t>March</w:t>
            </w:r>
            <w:r w:rsidR="00082F62" w:rsidRPr="001B1EFF">
              <w:rPr>
                <w:rFonts w:eastAsia="Times New Roman" w:cs="Arial"/>
              </w:rPr>
              <w:t xml:space="preserve"> 20</w:t>
            </w:r>
            <w:r w:rsidR="00C60DAF" w:rsidRPr="001B1EFF">
              <w:rPr>
                <w:rFonts w:eastAsia="Times New Roman" w:cs="Arial"/>
              </w:rPr>
              <w:t>21</w:t>
            </w:r>
            <w:r w:rsidRPr="001B1EFF">
              <w:rPr>
                <w:rFonts w:eastAsia="Times New Roman" w:cs="Arial"/>
              </w:rPr>
              <w:t>. The changes made in UK Link were as detailed below.</w:t>
            </w:r>
          </w:p>
          <w:p w14:paraId="2AF45CEA" w14:textId="54203F04" w:rsidR="00496175" w:rsidRPr="001B1EFF" w:rsidRDefault="00496175" w:rsidP="00496175">
            <w:pPr>
              <w:rPr>
                <w:rFonts w:eastAsia="Times New Roman" w:cs="Arial"/>
              </w:rPr>
            </w:pPr>
          </w:p>
          <w:p w14:paraId="111A6FBD" w14:textId="09483E61" w:rsidR="003C77FA" w:rsidRPr="001B1EFF" w:rsidRDefault="00C60DAF" w:rsidP="006454BD">
            <w:p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XRN5080:</w:t>
            </w:r>
            <w:r w:rsidR="003C77FA" w:rsidRPr="001B1EFF">
              <w:rPr>
                <w:rFonts w:eastAsia="Times New Roman" w:cs="Arial"/>
              </w:rPr>
              <w:t xml:space="preserve"> Failure</w:t>
            </w:r>
            <w:r w:rsidR="003C77FA" w:rsidRPr="001B1EFF">
              <w:rPr>
                <w:rFonts w:eastAsia="Times New Roman"/>
              </w:rPr>
              <w:t xml:space="preserve"> </w:t>
            </w:r>
            <w:r w:rsidR="003C77FA" w:rsidRPr="001B1EFF">
              <w:rPr>
                <w:rFonts w:eastAsia="Times New Roman" w:cs="Arial"/>
              </w:rPr>
              <w:t>to Supply Gas (FSG_GSOP1) - System Changes</w:t>
            </w:r>
          </w:p>
          <w:p w14:paraId="338DB7ED" w14:textId="5ED5CAC6" w:rsidR="00973D4E" w:rsidRPr="001B1EFF" w:rsidRDefault="00973D4E" w:rsidP="006454BD">
            <w:pPr>
              <w:rPr>
                <w:rFonts w:eastAsia="Times New Roman" w:cs="Arial"/>
              </w:rPr>
            </w:pPr>
          </w:p>
          <w:p w14:paraId="6ED88604" w14:textId="77777777" w:rsidR="00973D4E" w:rsidRPr="00973D4E" w:rsidRDefault="00973D4E" w:rsidP="00973D4E">
            <w:pPr>
              <w:textAlignment w:val="baseline"/>
              <w:rPr>
                <w:rFonts w:eastAsia="Times New Roman" w:cs="Arial"/>
              </w:rPr>
            </w:pPr>
            <w:r w:rsidRPr="00973D4E">
              <w:rPr>
                <w:rFonts w:eastAsia="Times New Roman" w:cs="Arial"/>
              </w:rPr>
              <w:t>Ofgem requires the DNs to operate GSOPs for certain services that are provided to end-consumers. </w:t>
            </w:r>
          </w:p>
          <w:p w14:paraId="039A45B6" w14:textId="77777777" w:rsidR="00973D4E" w:rsidRPr="00973D4E" w:rsidRDefault="00973D4E" w:rsidP="00973D4E">
            <w:pPr>
              <w:textAlignment w:val="baseline"/>
              <w:rPr>
                <w:rFonts w:eastAsia="Times New Roman" w:cs="Arial"/>
              </w:rPr>
            </w:pPr>
            <w:r w:rsidRPr="00973D4E">
              <w:rPr>
                <w:rFonts w:eastAsia="Times New Roman" w:cs="Arial"/>
              </w:rPr>
              <w:t> </w:t>
            </w:r>
          </w:p>
          <w:p w14:paraId="50710D24" w14:textId="77777777" w:rsidR="00973D4E" w:rsidRPr="00973D4E" w:rsidRDefault="00973D4E" w:rsidP="00973D4E">
            <w:pPr>
              <w:textAlignment w:val="baseline"/>
              <w:rPr>
                <w:rFonts w:eastAsia="Times New Roman" w:cs="Arial"/>
              </w:rPr>
            </w:pPr>
            <w:r w:rsidRPr="00973D4E">
              <w:rPr>
                <w:rFonts w:eastAsia="Times New Roman" w:cs="Arial"/>
              </w:rPr>
              <w:t>Where these service standards are not reached, the DN is required to make compensation payments within certain timescales. GSOP1 relates to the DN failing to supply gas to an end-consumer. Where the DN fails to make GSOP1 payments within the relevant timescale, further compensation is paid through GSOP12.   </w:t>
            </w:r>
          </w:p>
          <w:p w14:paraId="1C11F67F" w14:textId="77777777" w:rsidR="00973D4E" w:rsidRPr="00973D4E" w:rsidRDefault="00973D4E" w:rsidP="00973D4E">
            <w:pPr>
              <w:textAlignment w:val="baseline"/>
              <w:rPr>
                <w:rFonts w:eastAsia="Times New Roman" w:cs="Arial"/>
              </w:rPr>
            </w:pPr>
            <w:r w:rsidRPr="00973D4E">
              <w:rPr>
                <w:rFonts w:eastAsia="Times New Roman" w:cs="Arial"/>
              </w:rPr>
              <w:t> </w:t>
            </w:r>
          </w:p>
          <w:p w14:paraId="782A267F" w14:textId="77777777" w:rsidR="00973D4E" w:rsidRPr="00973D4E" w:rsidRDefault="00973D4E" w:rsidP="00973D4E">
            <w:pPr>
              <w:textAlignment w:val="baseline"/>
              <w:rPr>
                <w:rFonts w:eastAsia="Times New Roman" w:cs="Arial"/>
              </w:rPr>
            </w:pPr>
            <w:r w:rsidRPr="00973D4E">
              <w:rPr>
                <w:rFonts w:eastAsia="Times New Roman" w:cs="Arial"/>
              </w:rPr>
              <w:t>Xoserve provides process/application support to the DNs to ensure the GSOP1 (or, FSG) payments are invoiced according to the statutory timescales. </w:t>
            </w:r>
          </w:p>
          <w:p w14:paraId="0413D778" w14:textId="77777777" w:rsidR="00973D4E" w:rsidRPr="00973D4E" w:rsidRDefault="00973D4E" w:rsidP="00973D4E">
            <w:pPr>
              <w:textAlignment w:val="baseline"/>
              <w:rPr>
                <w:rFonts w:eastAsia="Times New Roman" w:cs="Arial"/>
              </w:rPr>
            </w:pPr>
            <w:r w:rsidRPr="00973D4E">
              <w:rPr>
                <w:rFonts w:eastAsia="Times New Roman" w:cs="Arial"/>
              </w:rPr>
              <w:t> </w:t>
            </w:r>
          </w:p>
          <w:p w14:paraId="4355EB23" w14:textId="0DC9C86B" w:rsidR="006454BD" w:rsidRPr="001B1EFF" w:rsidRDefault="006454BD" w:rsidP="006454BD">
            <w:p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We are providing a solution to enable DNs to comply with the new FSG Licence obligations;</w:t>
            </w:r>
          </w:p>
          <w:p w14:paraId="522A6A5E" w14:textId="77777777" w:rsidR="006454BD" w:rsidRPr="001B1EFF" w:rsidRDefault="006454BD" w:rsidP="006454BD">
            <w:p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 xml:space="preserve">GSOP1 Failure to Supply Gas (FSG): </w:t>
            </w:r>
          </w:p>
          <w:p w14:paraId="403F6B05" w14:textId="77777777" w:rsidR="00336522" w:rsidRPr="001B1EFF" w:rsidRDefault="007A2828" w:rsidP="006454BD">
            <w:pPr>
              <w:numPr>
                <w:ilvl w:val="0"/>
                <w:numId w:val="14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Payable after 24 Hours (as per current RIIO-GD1)</w:t>
            </w:r>
          </w:p>
          <w:p w14:paraId="5BF9749C" w14:textId="77777777" w:rsidR="00336522" w:rsidRPr="001B1EFF" w:rsidRDefault="007A2828" w:rsidP="006454BD">
            <w:pPr>
              <w:numPr>
                <w:ilvl w:val="0"/>
                <w:numId w:val="14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 xml:space="preserve">Domestic payment increased from £30 to £60 </w:t>
            </w:r>
          </w:p>
          <w:p w14:paraId="0BFB5DB1" w14:textId="77777777" w:rsidR="00336522" w:rsidRPr="001B1EFF" w:rsidRDefault="007A2828" w:rsidP="006454BD">
            <w:pPr>
              <w:numPr>
                <w:ilvl w:val="0"/>
                <w:numId w:val="14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Non-Domestic payment increased from £50 to £100  (MPRNs =&lt; 73,200 kWh, MSC ‘I’)</w:t>
            </w:r>
          </w:p>
          <w:p w14:paraId="4545FAAF" w14:textId="77777777" w:rsidR="00336522" w:rsidRPr="001B1EFF" w:rsidRDefault="007A2828" w:rsidP="006454BD">
            <w:pPr>
              <w:numPr>
                <w:ilvl w:val="0"/>
                <w:numId w:val="14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 xml:space="preserve">Payment cap of £1,000 to be removed </w:t>
            </w:r>
          </w:p>
          <w:p w14:paraId="28AEEBEF" w14:textId="77777777" w:rsidR="00336522" w:rsidRPr="001B1EFF" w:rsidRDefault="007A2828" w:rsidP="006454BD">
            <w:pPr>
              <w:numPr>
                <w:ilvl w:val="0"/>
                <w:numId w:val="14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 xml:space="preserve">Payable to customer (via Shipper / Supplier) reduced from 20 to 10 working days </w:t>
            </w:r>
          </w:p>
          <w:p w14:paraId="599DF9ED" w14:textId="77777777" w:rsidR="00336522" w:rsidRPr="001B1EFF" w:rsidRDefault="007A2828" w:rsidP="006454BD">
            <w:pPr>
              <w:numPr>
                <w:ilvl w:val="0"/>
                <w:numId w:val="14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Note: GSOP12 late liability incurred if GSOP1 is not paid within 10 working days from the ‘Gas On day’</w:t>
            </w:r>
          </w:p>
          <w:p w14:paraId="1C89EB97" w14:textId="77777777" w:rsidR="006454BD" w:rsidRPr="001B1EFF" w:rsidRDefault="006454BD" w:rsidP="006454BD">
            <w:p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 xml:space="preserve">GSOP12: Timely payment of GSOP customer payments: </w:t>
            </w:r>
          </w:p>
          <w:p w14:paraId="721FC84F" w14:textId="77777777" w:rsidR="00336522" w:rsidRPr="001B1EFF" w:rsidRDefault="007A2828" w:rsidP="006454BD">
            <w:pPr>
              <w:numPr>
                <w:ilvl w:val="0"/>
                <w:numId w:val="15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Late liability payment from 11th working day (see previous Note)</w:t>
            </w:r>
          </w:p>
          <w:p w14:paraId="48547157" w14:textId="77777777" w:rsidR="00336522" w:rsidRPr="001B1EFF" w:rsidRDefault="007A2828" w:rsidP="006454BD">
            <w:pPr>
              <w:numPr>
                <w:ilvl w:val="0"/>
                <w:numId w:val="15"/>
              </w:numPr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Payment increased from £20 to £40 – one-off payment</w:t>
            </w:r>
          </w:p>
          <w:p w14:paraId="39314315" w14:textId="77777777" w:rsidR="006454BD" w:rsidRPr="001B1EFF" w:rsidRDefault="006454BD" w:rsidP="00496175">
            <w:pPr>
              <w:rPr>
                <w:rFonts w:eastAsia="Times New Roman" w:cs="Arial"/>
              </w:rPr>
            </w:pPr>
          </w:p>
          <w:p w14:paraId="20FD6C9C" w14:textId="3CF88862" w:rsidR="00496175" w:rsidRPr="001B1EFF" w:rsidRDefault="00496175" w:rsidP="00496175">
            <w:pPr>
              <w:rPr>
                <w:rFonts w:eastAsia="Times New Roman" w:cs="Arial"/>
              </w:rPr>
            </w:pPr>
          </w:p>
          <w:p w14:paraId="2594E454" w14:textId="5C08445A" w:rsidR="00D32311" w:rsidRPr="001B1EFF" w:rsidRDefault="00D32311" w:rsidP="00496175">
            <w:pPr>
              <w:rPr>
                <w:rFonts w:eastAsia="Times New Roman" w:cs="Arial"/>
              </w:rPr>
            </w:pPr>
          </w:p>
          <w:p w14:paraId="443328BB" w14:textId="79AE6752" w:rsidR="00D32311" w:rsidRPr="001B1EFF" w:rsidRDefault="00D32311" w:rsidP="00496175">
            <w:pPr>
              <w:rPr>
                <w:rFonts w:eastAsia="Times New Roman" w:cs="Arial"/>
              </w:rPr>
            </w:pPr>
          </w:p>
          <w:p w14:paraId="32BEA961" w14:textId="5774B9FD" w:rsidR="00D32311" w:rsidRPr="001B1EFF" w:rsidRDefault="00D32311" w:rsidP="00496175">
            <w:pPr>
              <w:rPr>
                <w:rFonts w:eastAsia="Times New Roman" w:cs="Arial"/>
              </w:rPr>
            </w:pPr>
          </w:p>
          <w:p w14:paraId="34101140" w14:textId="6772A521" w:rsidR="00D32311" w:rsidRPr="001B1EFF" w:rsidRDefault="00D32311" w:rsidP="00496175">
            <w:pPr>
              <w:rPr>
                <w:rFonts w:eastAsia="Times New Roman" w:cs="Arial"/>
              </w:rPr>
            </w:pPr>
          </w:p>
          <w:p w14:paraId="3435DDDF" w14:textId="12A4A880" w:rsidR="00D32311" w:rsidRPr="001B1EFF" w:rsidRDefault="00D32311" w:rsidP="00496175">
            <w:pPr>
              <w:rPr>
                <w:rFonts w:eastAsia="Times New Roman" w:cs="Arial"/>
              </w:rPr>
            </w:pPr>
            <w:r w:rsidRPr="007A2828">
              <w:rPr>
                <w:rFonts w:eastAsia="Times New Roman" w:cs="Arial"/>
                <w:b/>
              </w:rPr>
              <w:t>Benefits</w:t>
            </w:r>
            <w:r w:rsidRPr="001B1EFF">
              <w:rPr>
                <w:rFonts w:eastAsia="Times New Roman" w:cs="Arial"/>
              </w:rPr>
              <w:t>:</w:t>
            </w:r>
          </w:p>
          <w:p w14:paraId="4E208F47" w14:textId="52258529" w:rsidR="004144AB" w:rsidRPr="001B1EFF" w:rsidRDefault="004144AB" w:rsidP="00496175">
            <w:pPr>
              <w:rPr>
                <w:rFonts w:eastAsia="Times New Roman" w:cs="Arial"/>
              </w:rPr>
            </w:pPr>
          </w:p>
          <w:p w14:paraId="04726518" w14:textId="339CEC1D" w:rsidR="004144AB" w:rsidRPr="001B1EFF" w:rsidRDefault="004144AB" w:rsidP="00496175">
            <w:pPr>
              <w:rPr>
                <w:rFonts w:eastAsia="Times New Roman" w:cs="Arial"/>
              </w:rPr>
            </w:pPr>
          </w:p>
          <w:p w14:paraId="7A20BA45" w14:textId="77777777" w:rsidR="00D32311" w:rsidRPr="00D32311" w:rsidRDefault="00D32311" w:rsidP="00D32311">
            <w:pPr>
              <w:textAlignment w:val="baseline"/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DNs will be able to identify and reconcile all the Mod0565 MPRs that have been transferred from the FSG process into the SOS Liabilities process ready for invoicing. </w:t>
            </w:r>
          </w:p>
          <w:p w14:paraId="5496EC6A" w14:textId="77777777" w:rsidR="00D32311" w:rsidRPr="00D32311" w:rsidRDefault="00D32311" w:rsidP="00D32311">
            <w:pPr>
              <w:textAlignment w:val="baseline"/>
              <w:rPr>
                <w:rFonts w:eastAsia="Times New Roman" w:cs="Arial"/>
              </w:rPr>
            </w:pPr>
            <w:r w:rsidRPr="00D32311">
              <w:rPr>
                <w:rFonts w:eastAsia="Times New Roman" w:cs="Arial"/>
              </w:rPr>
              <w:t> </w:t>
            </w:r>
          </w:p>
          <w:p w14:paraId="261AD653" w14:textId="77777777" w:rsidR="004144AB" w:rsidRPr="001B1EFF" w:rsidRDefault="004144AB" w:rsidP="00496175">
            <w:pPr>
              <w:rPr>
                <w:rFonts w:eastAsia="Times New Roman" w:cs="Arial"/>
              </w:rPr>
            </w:pPr>
          </w:p>
          <w:p w14:paraId="107C2FC1" w14:textId="0740C16E" w:rsidR="0010485C" w:rsidRPr="001B1EFF" w:rsidRDefault="0010485C" w:rsidP="00496175">
            <w:pPr>
              <w:rPr>
                <w:rFonts w:eastAsia="Times New Roman" w:cs="Arial"/>
              </w:rPr>
            </w:pPr>
          </w:p>
          <w:p w14:paraId="6379B651" w14:textId="24176CA3" w:rsidR="000C476D" w:rsidRPr="00E4494D" w:rsidRDefault="003C77FA" w:rsidP="001B1EFF">
            <w:pPr>
              <w:rPr>
                <w:rFonts w:eastAsia="Times New Roman" w:cs="Arial"/>
                <w:b/>
              </w:rPr>
            </w:pPr>
            <w:r w:rsidRPr="00E4494D">
              <w:rPr>
                <w:rFonts w:eastAsia="Times New Roman" w:cs="Arial"/>
                <w:b/>
              </w:rPr>
              <w:t>XRN5135:</w:t>
            </w:r>
            <w:r w:rsidR="00E4494D" w:rsidRPr="00E4494D">
              <w:rPr>
                <w:rFonts w:cs="Arial"/>
                <w:b/>
                <w:bCs/>
                <w:color w:val="3E5AA8"/>
                <w:sz w:val="42"/>
                <w:szCs w:val="42"/>
                <w:shd w:val="clear" w:color="auto" w:fill="FFFFFF"/>
              </w:rPr>
              <w:t xml:space="preserve"> </w:t>
            </w:r>
            <w:r w:rsidR="00E4494D" w:rsidRPr="00E4494D">
              <w:rPr>
                <w:rFonts w:eastAsia="Times New Roman"/>
                <w:b/>
              </w:rPr>
              <w:t>DNO and NTS Invoices to Shippers and DNs VAT compliance </w:t>
            </w:r>
          </w:p>
          <w:p w14:paraId="22F44759" w14:textId="1061EC6A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5C058630" w14:textId="77777777" w:rsidR="001B1EFF" w:rsidRPr="001B1EFF" w:rsidRDefault="00780442" w:rsidP="001B1E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1EFF">
              <w:rPr>
                <w:rFonts w:ascii="Arial" w:hAnsi="Arial" w:cs="Arial"/>
                <w:sz w:val="22"/>
                <w:szCs w:val="22"/>
              </w:rPr>
              <w:t xml:space="preserve">Invoices issued to DNs and the invoices issued to shippers on behalf of DNs are missing some of the details.  </w:t>
            </w:r>
            <w:r w:rsidR="001B1EFF" w:rsidRPr="001B1EFF">
              <w:rPr>
                <w:rFonts w:ascii="Arial" w:hAnsi="Arial" w:cs="Arial"/>
                <w:sz w:val="22"/>
                <w:szCs w:val="22"/>
              </w:rPr>
              <w:t>Specifically, customer name and address are not included and as such the invoices are not compliant with UK VAT legislation. </w:t>
            </w:r>
          </w:p>
          <w:p w14:paraId="5AF9B9CD" w14:textId="076D9E73" w:rsidR="001B1EFF" w:rsidRDefault="001B1EFF" w:rsidP="001B1EFF">
            <w:pPr>
              <w:textAlignment w:val="baseline"/>
              <w:rPr>
                <w:rFonts w:eastAsia="Times New Roman" w:cs="Arial"/>
              </w:rPr>
            </w:pPr>
            <w:r w:rsidRPr="001B1EFF">
              <w:rPr>
                <w:rFonts w:eastAsia="Times New Roman" w:cs="Arial"/>
              </w:rPr>
              <w:t> </w:t>
            </w:r>
          </w:p>
          <w:p w14:paraId="1364436C" w14:textId="087B4F12" w:rsidR="00355EA3" w:rsidRDefault="00355EA3" w:rsidP="001B1EFF">
            <w:pPr>
              <w:textAlignment w:val="baseline"/>
              <w:rPr>
                <w:rFonts w:eastAsia="Times New Roman" w:cs="Arial"/>
              </w:rPr>
            </w:pPr>
          </w:p>
          <w:p w14:paraId="53C21262" w14:textId="77777777" w:rsidR="00355EA3" w:rsidRDefault="00355EA3" w:rsidP="00355E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All invoices issued to DNs and to Shippers on behalf of Gas Transporters (including NTS) must be compliant with HMRC VAT regulations:</w:t>
            </w:r>
            <w:r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  <w:p w14:paraId="574814A3" w14:textId="77777777" w:rsidR="00355EA3" w:rsidRDefault="00355EA3" w:rsidP="00355EA3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The invoice documentation must include the full legal trading name of the recipient</w:t>
            </w:r>
            <w:r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  <w:p w14:paraId="034CA5A8" w14:textId="77777777" w:rsidR="00355EA3" w:rsidRDefault="00355EA3" w:rsidP="00355EA3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The invoice documentation must include the full legal registered trading address of the recipient</w:t>
            </w:r>
            <w:r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  <w:p w14:paraId="2E7BDBD9" w14:textId="77777777" w:rsidR="00355EA3" w:rsidRDefault="00355EA3" w:rsidP="00355EA3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Some invoices must be altered to include the Vendor/Supplier address (only applicable to those invoices where this information is currently missing)</w:t>
            </w:r>
            <w:r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  <w:p w14:paraId="60ADE80D" w14:textId="77777777" w:rsidR="00355EA3" w:rsidRDefault="00355EA3" w:rsidP="00355EA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  <w:p w14:paraId="31904529" w14:textId="06B9FA15" w:rsidR="00355EA3" w:rsidRDefault="00355EA3" w:rsidP="001B1EFF">
            <w:pPr>
              <w:textAlignment w:val="baseline"/>
              <w:rPr>
                <w:rFonts w:eastAsia="Times New Roman" w:cs="Arial"/>
              </w:rPr>
            </w:pPr>
          </w:p>
          <w:p w14:paraId="27BBB658" w14:textId="77777777" w:rsidR="00355EA3" w:rsidRPr="001B1EFF" w:rsidRDefault="00355EA3" w:rsidP="001B1EFF">
            <w:pPr>
              <w:textAlignment w:val="baseline"/>
              <w:rPr>
                <w:rFonts w:eastAsia="Times New Roman" w:cs="Arial"/>
              </w:rPr>
            </w:pPr>
          </w:p>
          <w:p w14:paraId="17B75223" w14:textId="6A9A171D" w:rsidR="00A96702" w:rsidRPr="007A2828" w:rsidRDefault="006542BF" w:rsidP="000C476D">
            <w:pPr>
              <w:shd w:val="clear" w:color="auto" w:fill="FFFFFF"/>
              <w:textAlignment w:val="baseline"/>
              <w:rPr>
                <w:rFonts w:eastAsia="Times New Roman" w:cs="Arial"/>
                <w:b/>
              </w:rPr>
            </w:pPr>
            <w:r w:rsidRPr="007A2828">
              <w:rPr>
                <w:rFonts w:eastAsia="Times New Roman" w:cs="Arial"/>
                <w:b/>
              </w:rPr>
              <w:t>Benefits:</w:t>
            </w:r>
          </w:p>
          <w:p w14:paraId="347593AB" w14:textId="4E164F82" w:rsidR="006542BF" w:rsidRDefault="006542BF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48F50511" w14:textId="5F5F018F" w:rsidR="006542BF" w:rsidRPr="001B1EFF" w:rsidRDefault="006542BF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Invoices </w:t>
            </w:r>
            <w:r w:rsidR="00A0277D">
              <w:rPr>
                <w:rFonts w:eastAsia="Times New Roman" w:cs="Arial"/>
              </w:rPr>
              <w:t xml:space="preserve">become Vat compliant, and also the existing workaround of a letter sent to DN’s and Shippers to cover </w:t>
            </w:r>
          </w:p>
          <w:p w14:paraId="3FDBCB84" w14:textId="6E1B5600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29BF300B" w14:textId="26A2DB28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50BE5A1B" w14:textId="3193B013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09D6A2D2" w14:textId="19F4DE3A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61FE072C" w14:textId="69661459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0C2793B8" w14:textId="655AB735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64336363" w14:textId="2278C5D4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0E4A08F8" w14:textId="4946D95A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3E0D2192" w14:textId="18CDA9A5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24F1DCFC" w14:textId="77777777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158903F2" w14:textId="44692984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116A7530" w14:textId="3C1E69CF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75CE0CF4" w14:textId="7CD3D5E9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65C253CA" w14:textId="6B1547DE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2A730789" w14:textId="77777777" w:rsidR="00A96702" w:rsidRPr="001B1EFF" w:rsidRDefault="00A96702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334D8CF1" w14:textId="4124D470" w:rsidR="00C4011B" w:rsidRPr="001B1EFF" w:rsidRDefault="00C4011B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3CF6B331" w14:textId="5F4524DB" w:rsidR="00C4011B" w:rsidRPr="001B1EFF" w:rsidRDefault="00C4011B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7AA3DF64" w14:textId="7BBDE680" w:rsidR="00C4011B" w:rsidRPr="001B1EFF" w:rsidRDefault="00C4011B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3F40C159" w14:textId="32464F1F" w:rsidR="00C4011B" w:rsidRPr="001B1EFF" w:rsidRDefault="00C4011B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4E561F4B" w14:textId="58FB6194" w:rsidR="00C4011B" w:rsidRPr="001B1EFF" w:rsidRDefault="00C4011B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3EDB42BB" w14:textId="77777777" w:rsidR="00C4011B" w:rsidRPr="001B1EFF" w:rsidRDefault="00C4011B" w:rsidP="000C476D">
            <w:pPr>
              <w:shd w:val="clear" w:color="auto" w:fill="FFFFFF"/>
              <w:textAlignment w:val="baseline"/>
              <w:rPr>
                <w:rFonts w:eastAsia="Times New Roman" w:cs="Arial"/>
              </w:rPr>
            </w:pPr>
          </w:p>
          <w:p w14:paraId="646B8C30" w14:textId="74CAE4AC" w:rsidR="004536F6" w:rsidRPr="001B1EFF" w:rsidRDefault="004536F6" w:rsidP="0A57A144">
            <w:pPr>
              <w:contextualSpacing/>
              <w:rPr>
                <w:rFonts w:eastAsia="Times New Roman" w:cs="Arial"/>
              </w:rPr>
            </w:pPr>
          </w:p>
        </w:tc>
      </w:tr>
      <w:tr w:rsidR="00EA73B3" w:rsidRPr="00EA73B3" w14:paraId="0C90DDA4" w14:textId="77777777" w:rsidTr="019714C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54E76E0E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19714C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19714CE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lastRenderedPageBreak/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19714CE">
              <w:trPr>
                <w:trHeight w:val="85"/>
              </w:trPr>
              <w:tc>
                <w:tcPr>
                  <w:tcW w:w="2547" w:type="dxa"/>
                </w:tcPr>
                <w:p w14:paraId="22D3A938" w14:textId="5C0A1E22" w:rsidR="00EA73B3" w:rsidRPr="00EA73B3" w:rsidRDefault="008975CA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0F9EFD" w14:textId="6C0A3201" w:rsidR="00195A39" w:rsidRPr="00EA73B3" w:rsidRDefault="008975CA" w:rsidP="000C476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292ADA6C" w:rsidR="00EA73B3" w:rsidRPr="00EA73B3" w:rsidRDefault="008975CA" w:rsidP="000C476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1534E466" w:rsidR="00EA73B3" w:rsidRPr="00EA73B3" w:rsidRDefault="008975CA" w:rsidP="000C476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039829" w14:textId="64B880DF" w:rsidR="00EA73B3" w:rsidRPr="00EA73B3" w:rsidRDefault="008975CA" w:rsidP="000C476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8975CA" w:rsidRPr="00EA73B3" w14:paraId="199F5DC6" w14:textId="77777777" w:rsidTr="019714CE">
              <w:tc>
                <w:tcPr>
                  <w:tcW w:w="2547" w:type="dxa"/>
                </w:tcPr>
                <w:p w14:paraId="133FE8C2" w14:textId="77777777" w:rsidR="008975CA" w:rsidRPr="00EA73B3" w:rsidRDefault="008975CA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</w:tcPr>
                <w:p w14:paraId="15D11F30" w14:textId="3870BC5E" w:rsidR="008975CA" w:rsidRPr="00EA73B3" w:rsidRDefault="008975CA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</w:tcPr>
                <w:p w14:paraId="12A63D92" w14:textId="57F726B5" w:rsidR="008975CA" w:rsidRPr="00EA73B3" w:rsidRDefault="008975CA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14:paraId="0E94C84F" w14:textId="3F94CF50" w:rsidR="008975CA" w:rsidRPr="00EA73B3" w:rsidRDefault="008975CA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</w:tcPr>
                <w:p w14:paraId="7CD53000" w14:textId="4AE1F692" w:rsidR="008975CA" w:rsidRPr="00EA73B3" w:rsidRDefault="008975CA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342540" w:rsidRPr="00EA73B3" w14:paraId="634F441F" w14:textId="77777777" w:rsidTr="019714CE">
              <w:tc>
                <w:tcPr>
                  <w:tcW w:w="2547" w:type="dxa"/>
                </w:tcPr>
                <w:p w14:paraId="11DD2C74" w14:textId="6EE67809" w:rsidR="00342540" w:rsidRPr="00EA73B3" w:rsidRDefault="00342540" w:rsidP="0034254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6CFF2878" w14:textId="4C95BE8B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</w:tcPr>
                <w:p w14:paraId="13C064A1" w14:textId="27BBADE5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14:paraId="56E130A8" w14:textId="660AE409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</w:tcPr>
                <w:p w14:paraId="18147167" w14:textId="4ADB0FCD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E06FD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342540" w:rsidRPr="00EA73B3" w14:paraId="66A0BF97" w14:textId="77777777" w:rsidTr="019714CE">
              <w:tc>
                <w:tcPr>
                  <w:tcW w:w="2547" w:type="dxa"/>
                </w:tcPr>
                <w:p w14:paraId="72F552F1" w14:textId="77777777" w:rsidR="00342540" w:rsidRPr="00EA73B3" w:rsidRDefault="00342540" w:rsidP="0034254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</w:tcPr>
                <w:p w14:paraId="487BE727" w14:textId="22B5B5A8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</w:tcPr>
                <w:p w14:paraId="545FA9E5" w14:textId="0BF86CAD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14:paraId="75059127" w14:textId="1400C0F8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</w:tcPr>
                <w:p w14:paraId="719E72A3" w14:textId="64BE0336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342540" w:rsidRPr="00EA73B3" w14:paraId="620BFD5F" w14:textId="77777777" w:rsidTr="019714CE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342540" w:rsidRPr="00EA73B3" w:rsidRDefault="00342540" w:rsidP="0034254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</w:tcPr>
                <w:p w14:paraId="7D880586" w14:textId="3006B271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</w:tcPr>
                <w:p w14:paraId="6648D219" w14:textId="546DD13C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14:paraId="12B102FE" w14:textId="7BF79938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</w:tcPr>
                <w:p w14:paraId="2BCC920E" w14:textId="688E10D9" w:rsidR="00342540" w:rsidRPr="00EA73B3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F5F20"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342540" w:rsidRPr="00EA73B3" w14:paraId="78900364" w14:textId="77777777" w:rsidTr="019714CE">
              <w:trPr>
                <w:trHeight w:val="53"/>
              </w:trPr>
              <w:tc>
                <w:tcPr>
                  <w:tcW w:w="2547" w:type="dxa"/>
                </w:tcPr>
                <w:p w14:paraId="6BF61458" w14:textId="6D115EF6" w:rsidR="00342540" w:rsidRPr="00EA73B3" w:rsidRDefault="00342540" w:rsidP="0034254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Total Cost</w:t>
                  </w:r>
                </w:p>
              </w:tc>
              <w:tc>
                <w:tcPr>
                  <w:tcW w:w="1417" w:type="dxa"/>
                </w:tcPr>
                <w:p w14:paraId="5A7751ED" w14:textId="77777777" w:rsidR="00342540" w:rsidRPr="00CF5F20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14:paraId="2E8EE8E9" w14:textId="77777777" w:rsidR="00342540" w:rsidRPr="00CF5F20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</w:tcPr>
                <w:p w14:paraId="3B89F721" w14:textId="77777777" w:rsidR="00342540" w:rsidRPr="00CF5F20" w:rsidRDefault="00342540" w:rsidP="0034254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36DA8794" w14:textId="74ADA773" w:rsidR="00342540" w:rsidRPr="007A2828" w:rsidRDefault="009136EA" w:rsidP="019714CE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19714CE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£</w:t>
                  </w:r>
                  <w:r w:rsidR="009C46F6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110,030.30</w:t>
                  </w:r>
                  <w:bookmarkStart w:id="0" w:name="_GoBack"/>
                  <w:bookmarkEnd w:id="0"/>
                </w:p>
              </w:tc>
            </w:tr>
          </w:tbl>
          <w:p w14:paraId="1672974D" w14:textId="77777777"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19714C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19714C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745B5BD1" w:rsidR="00B8637F" w:rsidRPr="00475403" w:rsidRDefault="00475403" w:rsidP="00475403">
            <w:pPr>
              <w:rPr>
                <w:rFonts w:eastAsia="Times New Roman" w:cs="Arial"/>
              </w:rPr>
            </w:pPr>
            <w:r w:rsidRPr="00EE3F6A">
              <w:rPr>
                <w:rFonts w:eastAsia="Times New Roman" w:cs="Arial"/>
              </w:rPr>
              <w:t xml:space="preserve">There were no scope changes for Minor Release Drop </w:t>
            </w:r>
            <w:r w:rsidR="00A9734B">
              <w:rPr>
                <w:rFonts w:eastAsia="Times New Roman" w:cs="Arial"/>
              </w:rPr>
              <w:t>9</w:t>
            </w:r>
          </w:p>
        </w:tc>
      </w:tr>
      <w:tr w:rsidR="00EA73B3" w:rsidRPr="00EA73B3" w14:paraId="44DCE113" w14:textId="77777777" w:rsidTr="019714CE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19714CE">
        <w:tc>
          <w:tcPr>
            <w:tcW w:w="5000" w:type="pct"/>
            <w:gridSpan w:val="2"/>
            <w:shd w:val="clear" w:color="auto" w:fill="auto"/>
          </w:tcPr>
          <w:p w14:paraId="46992048" w14:textId="550505C5" w:rsidR="00EA73B3" w:rsidRPr="00EE3F6A" w:rsidRDefault="00B800F5" w:rsidP="00EE3F6A">
            <w:pPr>
              <w:rPr>
                <w:rFonts w:eastAsia="Times New Roman" w:cs="Arial"/>
                <w:b/>
                <w:szCs w:val="16"/>
              </w:rPr>
            </w:pPr>
            <w:r w:rsidRPr="00EE3F6A">
              <w:rPr>
                <w:rFonts w:eastAsia="Times New Roman" w:cs="Arial"/>
              </w:rPr>
              <w:t>N/A</w:t>
            </w:r>
          </w:p>
        </w:tc>
      </w:tr>
      <w:tr w:rsidR="00EA73B3" w:rsidRPr="00EA73B3" w14:paraId="6EF7276F" w14:textId="77777777" w:rsidTr="019714CE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19714CE">
        <w:tc>
          <w:tcPr>
            <w:tcW w:w="5000" w:type="pct"/>
            <w:gridSpan w:val="2"/>
            <w:shd w:val="clear" w:color="auto" w:fill="auto"/>
          </w:tcPr>
          <w:p w14:paraId="1AB0B5C7" w14:textId="3CBB4B28" w:rsidR="00EA73B3" w:rsidRPr="00B800F5" w:rsidRDefault="00B800F5" w:rsidP="00B800F5">
            <w:pPr>
              <w:rPr>
                <w:rFonts w:eastAsia="Times New Roman" w:cs="Arial"/>
                <w:b/>
                <w:color w:val="FF0000"/>
                <w:szCs w:val="16"/>
              </w:rPr>
            </w:pPr>
            <w:r w:rsidRPr="00B800F5">
              <w:rPr>
                <w:rFonts w:eastAsia="Times New Roman" w:cs="Arial"/>
              </w:rPr>
              <w:t>There have been no changes to the UK Link Manual</w:t>
            </w:r>
          </w:p>
        </w:tc>
      </w:tr>
      <w:tr w:rsidR="00EA73B3" w:rsidRPr="00EA73B3" w14:paraId="7D853ABD" w14:textId="77777777" w:rsidTr="019714CE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9B23DE" w:rsidRDefault="00EA73B3" w:rsidP="00EA73B3">
            <w:pPr>
              <w:jc w:val="center"/>
              <w:rPr>
                <w:rFonts w:eastAsia="Times New Roman" w:cs="Arial"/>
                <w:b/>
              </w:rPr>
            </w:pPr>
            <w:r w:rsidRPr="00414722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19714CE">
        <w:tc>
          <w:tcPr>
            <w:tcW w:w="5000" w:type="pct"/>
            <w:gridSpan w:val="2"/>
            <w:shd w:val="clear" w:color="auto" w:fill="auto"/>
          </w:tcPr>
          <w:p w14:paraId="387E16E0" w14:textId="77777777" w:rsidR="002D519D" w:rsidRDefault="002D519D" w:rsidP="002D519D">
            <w:pPr>
              <w:spacing w:after="200" w:line="276" w:lineRule="auto"/>
              <w:rPr>
                <w:rFonts w:eastAsia="Times New Roman" w:cs="Arial"/>
              </w:rPr>
            </w:pPr>
            <w:r w:rsidRPr="000C476D">
              <w:rPr>
                <w:rFonts w:eastAsia="Times New Roman" w:cs="Arial"/>
              </w:rPr>
              <w:t>Scope updates to be provided within the agreed timescales from service provider.</w:t>
            </w:r>
          </w:p>
          <w:p w14:paraId="58405BF3" w14:textId="77777777" w:rsidR="002D519D" w:rsidRPr="000C476D" w:rsidRDefault="002D519D" w:rsidP="002D519D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Cross-platform engagement to be managed from the start to agree requirements and delivery approach for multiple changes.</w:t>
            </w:r>
          </w:p>
          <w:p w14:paraId="38146B8B" w14:textId="77777777" w:rsidR="002D519D" w:rsidRPr="000C476D" w:rsidRDefault="002D519D" w:rsidP="002D519D">
            <w:pPr>
              <w:spacing w:after="200" w:line="276" w:lineRule="auto"/>
              <w:rPr>
                <w:rFonts w:eastAsia="Times New Roman" w:cs="Arial"/>
              </w:rPr>
            </w:pPr>
            <w:r w:rsidRPr="000C476D">
              <w:rPr>
                <w:rFonts w:eastAsia="Times New Roman" w:cs="Arial"/>
              </w:rPr>
              <w:t>SME resource constraints to be managed from the start of the project by providing early sight of the plan to understand when resources are required for each phase.</w:t>
            </w:r>
          </w:p>
          <w:p w14:paraId="7B2B5B58" w14:textId="70814AA4" w:rsidR="00E449BD" w:rsidRPr="009B23DE" w:rsidRDefault="00E449BD" w:rsidP="002D519D">
            <w:pPr>
              <w:rPr>
                <w:rFonts w:eastAsia="Times New Roman" w:cs="Arial"/>
              </w:rPr>
            </w:pP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314410CF" w:rsidR="00EA73B3" w:rsidRPr="00EA73B3" w:rsidRDefault="00B36FFF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0021E9FB" w:rsidR="00EA73B3" w:rsidRPr="00EA73B3" w:rsidRDefault="0089091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0BB1E953" w14:textId="4E0BEBBB" w:rsidR="00EA73B3" w:rsidRPr="00EA73B3" w:rsidRDefault="00EE5FE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</w:t>
            </w:r>
            <w:r w:rsidR="00A96702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  <w:r w:rsidR="00A96702">
              <w:rPr>
                <w:rFonts w:eastAsia="Times New Roman" w:cs="Arial"/>
                <w:sz w:val="20"/>
                <w:szCs w:val="20"/>
              </w:rPr>
              <w:t>/2021</w:t>
            </w:r>
          </w:p>
        </w:tc>
        <w:tc>
          <w:tcPr>
            <w:tcW w:w="763" w:type="pct"/>
          </w:tcPr>
          <w:p w14:paraId="4350D9F9" w14:textId="00E0AF22" w:rsidR="00EA73B3" w:rsidRPr="00EA73B3" w:rsidRDefault="00A96702" w:rsidP="0089091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Bali Bahia</w:t>
            </w:r>
          </w:p>
        </w:tc>
        <w:tc>
          <w:tcPr>
            <w:tcW w:w="1944" w:type="pct"/>
          </w:tcPr>
          <w:p w14:paraId="0FC70C39" w14:textId="3CBCDC4F" w:rsidR="00EA73B3" w:rsidRPr="00EA73B3" w:rsidRDefault="008E728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2E2F18" w:rsidRPr="00EA73B3" w14:paraId="75BB497D" w14:textId="77777777" w:rsidTr="0A57A144">
        <w:tc>
          <w:tcPr>
            <w:tcW w:w="902" w:type="pct"/>
          </w:tcPr>
          <w:p w14:paraId="248495D8" w14:textId="6289E7B4" w:rsidR="002E2F18" w:rsidRPr="0A57A144" w:rsidRDefault="002E2F1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0D754920" w14:textId="6372BB91" w:rsidR="002E2F18" w:rsidRDefault="002E2F1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6783194E" w14:textId="3A5F3DA6" w:rsidR="002E2F18" w:rsidRDefault="002E2F1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B6EA685" w14:textId="071DF7E2" w:rsidR="002E2F18" w:rsidRDefault="00EE5FE9" w:rsidP="0089091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Tracy OConnor</w:t>
            </w:r>
          </w:p>
        </w:tc>
        <w:tc>
          <w:tcPr>
            <w:tcW w:w="1944" w:type="pct"/>
          </w:tcPr>
          <w:p w14:paraId="4EF70658" w14:textId="23BB4C81" w:rsidR="002E2F18" w:rsidRDefault="002E2F1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 xml:space="preserve">Template approved at </w:t>
            </w:r>
            <w:proofErr w:type="spellStart"/>
            <w:r w:rsidRPr="00EA73B3">
              <w:rPr>
                <w:rFonts w:eastAsia="Times New Roman" w:cs="Arial"/>
                <w:sz w:val="20"/>
              </w:rPr>
              <w:t>ChMC</w:t>
            </w:r>
            <w:proofErr w:type="spellEnd"/>
            <w:r w:rsidRPr="00EA73B3">
              <w:rPr>
                <w:rFonts w:eastAsia="Times New Roman" w:cs="Arial"/>
                <w:sz w:val="20"/>
              </w:rPr>
              <w:t xml:space="preserve">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Heather </w:t>
            </w:r>
            <w:proofErr w:type="spellStart"/>
            <w:r>
              <w:rPr>
                <w:rFonts w:eastAsia="Times New Roman" w:cs="Arial"/>
                <w:sz w:val="20"/>
              </w:rPr>
              <w:t>Spensley</w:t>
            </w:r>
            <w:proofErr w:type="spellEnd"/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Moved onto </w:t>
            </w:r>
            <w:proofErr w:type="spellStart"/>
            <w:r>
              <w:rPr>
                <w:rFonts w:eastAsia="Times New Roman" w:cs="Arial"/>
                <w:sz w:val="20"/>
              </w:rPr>
              <w:t>Xoserve’s</w:t>
            </w:r>
            <w:proofErr w:type="spellEnd"/>
            <w:r>
              <w:rPr>
                <w:rFonts w:eastAsia="Times New Roman" w:cs="Arial"/>
                <w:sz w:val="20"/>
              </w:rPr>
              <w:t xml:space="preserve">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3273" w14:textId="77777777" w:rsidR="00351071" w:rsidRDefault="00351071" w:rsidP="00324744">
      <w:pPr>
        <w:spacing w:after="0" w:line="240" w:lineRule="auto"/>
      </w:pPr>
      <w:r>
        <w:separator/>
      </w:r>
    </w:p>
  </w:endnote>
  <w:endnote w:type="continuationSeparator" w:id="0">
    <w:p w14:paraId="69599701" w14:textId="77777777" w:rsidR="00351071" w:rsidRDefault="00351071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5FCBA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B2E4" w14:textId="77777777" w:rsidR="00351071" w:rsidRDefault="00351071" w:rsidP="00324744">
      <w:pPr>
        <w:spacing w:after="0" w:line="240" w:lineRule="auto"/>
      </w:pPr>
      <w:r>
        <w:separator/>
      </w:r>
    </w:p>
  </w:footnote>
  <w:footnote w:type="continuationSeparator" w:id="0">
    <w:p w14:paraId="41636FDE" w14:textId="77777777" w:rsidR="00351071" w:rsidRDefault="00351071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373A4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C9D"/>
    <w:multiLevelType w:val="hybridMultilevel"/>
    <w:tmpl w:val="983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9A2"/>
    <w:multiLevelType w:val="hybridMultilevel"/>
    <w:tmpl w:val="DAD603AA"/>
    <w:lvl w:ilvl="0" w:tplc="E946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2F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23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4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AA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E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2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4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15B45"/>
    <w:multiLevelType w:val="hybridMultilevel"/>
    <w:tmpl w:val="512E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E8D"/>
    <w:multiLevelType w:val="hybridMultilevel"/>
    <w:tmpl w:val="54CA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2A02"/>
    <w:multiLevelType w:val="hybridMultilevel"/>
    <w:tmpl w:val="773E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AE4"/>
    <w:multiLevelType w:val="hybridMultilevel"/>
    <w:tmpl w:val="AE160D12"/>
    <w:lvl w:ilvl="0" w:tplc="B36E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C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2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A8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A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84D7D"/>
    <w:multiLevelType w:val="hybridMultilevel"/>
    <w:tmpl w:val="0EFC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10D5"/>
    <w:multiLevelType w:val="hybridMultilevel"/>
    <w:tmpl w:val="C30C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A3CD4"/>
    <w:multiLevelType w:val="multilevel"/>
    <w:tmpl w:val="80F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C96507"/>
    <w:multiLevelType w:val="hybridMultilevel"/>
    <w:tmpl w:val="ACD8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2B2D"/>
    <w:multiLevelType w:val="hybridMultilevel"/>
    <w:tmpl w:val="1FB84084"/>
    <w:lvl w:ilvl="0" w:tplc="B47690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5C98A7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5FD263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D2C67F5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7924D8EC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6B10D922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939C2AC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7E201D06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F640A7F8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51370"/>
    <w:multiLevelType w:val="hybridMultilevel"/>
    <w:tmpl w:val="CC76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A237C"/>
    <w:multiLevelType w:val="hybridMultilevel"/>
    <w:tmpl w:val="E66092E8"/>
    <w:lvl w:ilvl="0" w:tplc="75DE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C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6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C8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6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A9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E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A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C32781"/>
    <w:multiLevelType w:val="hybridMultilevel"/>
    <w:tmpl w:val="933E32D0"/>
    <w:lvl w:ilvl="0" w:tplc="C1021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C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05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6A3E6F"/>
    <w:multiLevelType w:val="hybridMultilevel"/>
    <w:tmpl w:val="C3D8AFBE"/>
    <w:lvl w:ilvl="0" w:tplc="7F2E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C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9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8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E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A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4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B64"/>
    <w:rsid w:val="00021FC8"/>
    <w:rsid w:val="00026EAD"/>
    <w:rsid w:val="000358D1"/>
    <w:rsid w:val="00037DF7"/>
    <w:rsid w:val="00060F81"/>
    <w:rsid w:val="00077FEA"/>
    <w:rsid w:val="00082F62"/>
    <w:rsid w:val="00087C34"/>
    <w:rsid w:val="000A1AD1"/>
    <w:rsid w:val="000C476D"/>
    <w:rsid w:val="0010485C"/>
    <w:rsid w:val="001149D1"/>
    <w:rsid w:val="00125B61"/>
    <w:rsid w:val="00144E00"/>
    <w:rsid w:val="001636BE"/>
    <w:rsid w:val="00195A39"/>
    <w:rsid w:val="001B0D60"/>
    <w:rsid w:val="001B1EFF"/>
    <w:rsid w:val="001C2268"/>
    <w:rsid w:val="001F0DD2"/>
    <w:rsid w:val="00215541"/>
    <w:rsid w:val="00226D34"/>
    <w:rsid w:val="0023214C"/>
    <w:rsid w:val="00252118"/>
    <w:rsid w:val="00255081"/>
    <w:rsid w:val="00256667"/>
    <w:rsid w:val="00264248"/>
    <w:rsid w:val="0027040F"/>
    <w:rsid w:val="00282E4E"/>
    <w:rsid w:val="002D519D"/>
    <w:rsid w:val="002E0858"/>
    <w:rsid w:val="002E2F18"/>
    <w:rsid w:val="00323148"/>
    <w:rsid w:val="00324744"/>
    <w:rsid w:val="00336522"/>
    <w:rsid w:val="003368C4"/>
    <w:rsid w:val="00342540"/>
    <w:rsid w:val="00351071"/>
    <w:rsid w:val="00355EA3"/>
    <w:rsid w:val="00365AFD"/>
    <w:rsid w:val="00395C3C"/>
    <w:rsid w:val="00396D86"/>
    <w:rsid w:val="003C47EE"/>
    <w:rsid w:val="003C6ED9"/>
    <w:rsid w:val="003C77FA"/>
    <w:rsid w:val="004040AC"/>
    <w:rsid w:val="004144AB"/>
    <w:rsid w:val="00414722"/>
    <w:rsid w:val="00426807"/>
    <w:rsid w:val="004536F6"/>
    <w:rsid w:val="00461461"/>
    <w:rsid w:val="00474A30"/>
    <w:rsid w:val="00475403"/>
    <w:rsid w:val="00494EB6"/>
    <w:rsid w:val="00496175"/>
    <w:rsid w:val="004E0875"/>
    <w:rsid w:val="004F3362"/>
    <w:rsid w:val="00500545"/>
    <w:rsid w:val="0050385D"/>
    <w:rsid w:val="00517F6F"/>
    <w:rsid w:val="00520EAD"/>
    <w:rsid w:val="0053712C"/>
    <w:rsid w:val="00542317"/>
    <w:rsid w:val="0055298E"/>
    <w:rsid w:val="00590206"/>
    <w:rsid w:val="00597F36"/>
    <w:rsid w:val="005A46F4"/>
    <w:rsid w:val="00613AEC"/>
    <w:rsid w:val="00615855"/>
    <w:rsid w:val="006253CA"/>
    <w:rsid w:val="006454BD"/>
    <w:rsid w:val="006542BF"/>
    <w:rsid w:val="00671829"/>
    <w:rsid w:val="006C3ECE"/>
    <w:rsid w:val="006E6B81"/>
    <w:rsid w:val="006F6016"/>
    <w:rsid w:val="0072363E"/>
    <w:rsid w:val="007243D3"/>
    <w:rsid w:val="00777705"/>
    <w:rsid w:val="00780442"/>
    <w:rsid w:val="00797023"/>
    <w:rsid w:val="007A2828"/>
    <w:rsid w:val="007A56DB"/>
    <w:rsid w:val="007C6D9C"/>
    <w:rsid w:val="007D4F26"/>
    <w:rsid w:val="007E7C5B"/>
    <w:rsid w:val="007F620B"/>
    <w:rsid w:val="00817A62"/>
    <w:rsid w:val="0082748A"/>
    <w:rsid w:val="00845EE0"/>
    <w:rsid w:val="00851E94"/>
    <w:rsid w:val="00877491"/>
    <w:rsid w:val="00886290"/>
    <w:rsid w:val="00890918"/>
    <w:rsid w:val="008971FF"/>
    <w:rsid w:val="008975CA"/>
    <w:rsid w:val="008B00B4"/>
    <w:rsid w:val="008C1895"/>
    <w:rsid w:val="008E7286"/>
    <w:rsid w:val="008F1F14"/>
    <w:rsid w:val="008F4C5D"/>
    <w:rsid w:val="009136EA"/>
    <w:rsid w:val="00914637"/>
    <w:rsid w:val="00916C47"/>
    <w:rsid w:val="00922102"/>
    <w:rsid w:val="009348E4"/>
    <w:rsid w:val="00973D4E"/>
    <w:rsid w:val="0097735D"/>
    <w:rsid w:val="009B23DE"/>
    <w:rsid w:val="009B3857"/>
    <w:rsid w:val="009B4FCC"/>
    <w:rsid w:val="009B7FF2"/>
    <w:rsid w:val="009C46F6"/>
    <w:rsid w:val="009D7D31"/>
    <w:rsid w:val="00A0277D"/>
    <w:rsid w:val="00A062F5"/>
    <w:rsid w:val="00A06D4E"/>
    <w:rsid w:val="00A65897"/>
    <w:rsid w:val="00A810E2"/>
    <w:rsid w:val="00A96702"/>
    <w:rsid w:val="00A9734B"/>
    <w:rsid w:val="00AB1308"/>
    <w:rsid w:val="00AB5B54"/>
    <w:rsid w:val="00AB63DE"/>
    <w:rsid w:val="00AC1FCD"/>
    <w:rsid w:val="00AE1D34"/>
    <w:rsid w:val="00AE5678"/>
    <w:rsid w:val="00B03CEE"/>
    <w:rsid w:val="00B22C9E"/>
    <w:rsid w:val="00B27FB3"/>
    <w:rsid w:val="00B31AB8"/>
    <w:rsid w:val="00B36FFF"/>
    <w:rsid w:val="00B41E73"/>
    <w:rsid w:val="00B63A64"/>
    <w:rsid w:val="00B75D40"/>
    <w:rsid w:val="00B77640"/>
    <w:rsid w:val="00B800F5"/>
    <w:rsid w:val="00B8637F"/>
    <w:rsid w:val="00B8770C"/>
    <w:rsid w:val="00BB0D39"/>
    <w:rsid w:val="00BD0A45"/>
    <w:rsid w:val="00BE5158"/>
    <w:rsid w:val="00BE5F8E"/>
    <w:rsid w:val="00BF5172"/>
    <w:rsid w:val="00BF58F1"/>
    <w:rsid w:val="00C13A0B"/>
    <w:rsid w:val="00C1654C"/>
    <w:rsid w:val="00C4011B"/>
    <w:rsid w:val="00C60DAF"/>
    <w:rsid w:val="00CA5AB3"/>
    <w:rsid w:val="00CB7FE6"/>
    <w:rsid w:val="00CC0003"/>
    <w:rsid w:val="00CD7EAB"/>
    <w:rsid w:val="00D32311"/>
    <w:rsid w:val="00D40BF7"/>
    <w:rsid w:val="00D66C7E"/>
    <w:rsid w:val="00D8286E"/>
    <w:rsid w:val="00DD6A3A"/>
    <w:rsid w:val="00E3607E"/>
    <w:rsid w:val="00E4494D"/>
    <w:rsid w:val="00E449BD"/>
    <w:rsid w:val="00E46041"/>
    <w:rsid w:val="00E665DF"/>
    <w:rsid w:val="00E95168"/>
    <w:rsid w:val="00EA73B3"/>
    <w:rsid w:val="00ED0A5B"/>
    <w:rsid w:val="00EE3F6A"/>
    <w:rsid w:val="00EE5FE9"/>
    <w:rsid w:val="00F11D89"/>
    <w:rsid w:val="00F14F74"/>
    <w:rsid w:val="00F234E0"/>
    <w:rsid w:val="00F24934"/>
    <w:rsid w:val="00F74E1B"/>
    <w:rsid w:val="00F95876"/>
    <w:rsid w:val="00FA242B"/>
    <w:rsid w:val="00FB6C9F"/>
    <w:rsid w:val="00FF2C5D"/>
    <w:rsid w:val="019714CE"/>
    <w:rsid w:val="0A57A144"/>
    <w:rsid w:val="11552395"/>
    <w:rsid w:val="32D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63CB3EE7-C17F-4E72-8F1E-D8A053A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34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paragraph">
    <w:name w:val="paragraph"/>
    <w:basedOn w:val="Normal"/>
    <w:rsid w:val="0049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5897"/>
  </w:style>
  <w:style w:type="character" w:customStyle="1" w:styleId="eop">
    <w:name w:val="eop"/>
    <w:basedOn w:val="DefaultParagraphFont"/>
    <w:rsid w:val="00A6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8BCC-329C-486B-AB33-293B9548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1cc19-a6a2-4477-822b-8358f9edc374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103fba77-31dd-4780-83f9-c54f26c3a26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f1cc19-a6a2-4477-822b-8358f9edc37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208F2-8790-4F3F-9846-1E24DE41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>National Grid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Bali Bahia</cp:lastModifiedBy>
  <cp:revision>22</cp:revision>
  <dcterms:created xsi:type="dcterms:W3CDTF">2021-04-26T13:11:00Z</dcterms:created>
  <dcterms:modified xsi:type="dcterms:W3CDTF">2021-04-28T14:58:00Z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