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35069" w14:textId="77777777" w:rsidR="006A724E" w:rsidRDefault="009C2FA4" w:rsidP="006A724E">
      <w:r w:rsidRPr="002C756F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 wp14:anchorId="6FC350E3" wp14:editId="6FC350E4">
            <wp:simplePos x="0" y="0"/>
            <wp:positionH relativeFrom="column">
              <wp:posOffset>1255395</wp:posOffset>
            </wp:positionH>
            <wp:positionV relativeFrom="paragraph">
              <wp:posOffset>635</wp:posOffset>
            </wp:positionV>
            <wp:extent cx="3288665" cy="517525"/>
            <wp:effectExtent l="0" t="0" r="6985" b="0"/>
            <wp:wrapTight wrapText="bothSides">
              <wp:wrapPolygon edited="0">
                <wp:start x="0" y="0"/>
                <wp:lineTo x="0" y="1590"/>
                <wp:lineTo x="626" y="12721"/>
                <wp:lineTo x="0" y="19082"/>
                <wp:lineTo x="0" y="20672"/>
                <wp:lineTo x="21020" y="20672"/>
                <wp:lineTo x="21521" y="17492"/>
                <wp:lineTo x="21521" y="3975"/>
                <wp:lineTo x="208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turvey\Desktop\XoserveLogoAppsMediu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3506A" w14:textId="77777777" w:rsidR="009C2FA4" w:rsidRDefault="009C2FA4" w:rsidP="00146769">
      <w:pPr>
        <w:spacing w:after="0" w:line="240" w:lineRule="auto"/>
        <w:jc w:val="center"/>
        <w:rPr>
          <w:rFonts w:asciiTheme="majorHAnsi" w:hAnsiTheme="majorHAnsi" w:cstheme="majorHAnsi"/>
          <w:b/>
          <w:color w:val="3E5AA8"/>
          <w:sz w:val="60"/>
          <w:szCs w:val="60"/>
        </w:rPr>
      </w:pPr>
    </w:p>
    <w:p w14:paraId="6FC3506B" w14:textId="33FB8B33" w:rsidR="007B4360" w:rsidRDefault="00BB5A00" w:rsidP="001A6BF4">
      <w:pPr>
        <w:spacing w:after="0" w:line="240" w:lineRule="auto"/>
        <w:jc w:val="center"/>
        <w:rPr>
          <w:rFonts w:cs="Arial"/>
        </w:rPr>
      </w:pPr>
      <w:r w:rsidRPr="00146769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DSC </w:t>
      </w:r>
      <w:r w:rsidR="00727F20">
        <w:rPr>
          <w:rFonts w:asciiTheme="majorHAnsi" w:hAnsiTheme="majorHAnsi" w:cstheme="majorHAnsi"/>
          <w:b/>
          <w:color w:val="3E5AA8"/>
          <w:sz w:val="60"/>
          <w:szCs w:val="60"/>
        </w:rPr>
        <w:t>Business Evaluation Report</w:t>
      </w:r>
      <w:r w:rsidR="00AF37F5">
        <w:rPr>
          <w:rFonts w:asciiTheme="majorHAnsi" w:hAnsiTheme="majorHAnsi" w:cstheme="majorHAnsi"/>
          <w:b/>
          <w:color w:val="3E5AA8"/>
          <w:sz w:val="60"/>
          <w:szCs w:val="60"/>
        </w:rPr>
        <w:t xml:space="preserve"> (</w:t>
      </w:r>
      <w:r w:rsidR="00727F20">
        <w:rPr>
          <w:rFonts w:asciiTheme="majorHAnsi" w:hAnsiTheme="majorHAnsi" w:cstheme="majorHAnsi"/>
          <w:b/>
          <w:color w:val="3E5AA8"/>
          <w:sz w:val="60"/>
          <w:szCs w:val="60"/>
        </w:rPr>
        <w:t>BE</w:t>
      </w:r>
      <w:r w:rsidR="00E50847">
        <w:rPr>
          <w:rFonts w:asciiTheme="majorHAnsi" w:hAnsiTheme="majorHAnsi" w:cstheme="majorHAnsi"/>
          <w:b/>
          <w:color w:val="3E5AA8"/>
          <w:sz w:val="60"/>
          <w:szCs w:val="60"/>
        </w:rPr>
        <w:t>R)</w:t>
      </w:r>
      <w:r w:rsidR="00192B0D" w:rsidRPr="00A9117A">
        <w:rPr>
          <w:rFonts w:cs="Arial"/>
        </w:rPr>
        <w:t xml:space="preserve"> </w:t>
      </w:r>
    </w:p>
    <w:p w14:paraId="5417EEAE" w14:textId="352C6A2B" w:rsidR="001454C2" w:rsidRDefault="001454C2" w:rsidP="001A6BF4">
      <w:pPr>
        <w:spacing w:after="0" w:line="240" w:lineRule="auto"/>
        <w:jc w:val="center"/>
        <w:rPr>
          <w:rFonts w:cs="Arial"/>
        </w:rPr>
      </w:pPr>
    </w:p>
    <w:p w14:paraId="03F1CF1D" w14:textId="77777777" w:rsidR="001454C2" w:rsidRPr="00A9117A" w:rsidRDefault="001454C2" w:rsidP="001A6BF4">
      <w:pPr>
        <w:spacing w:after="0" w:line="240" w:lineRule="auto"/>
        <w:jc w:val="center"/>
        <w:rPr>
          <w:rFonts w:cs="Arial"/>
        </w:rPr>
      </w:pPr>
    </w:p>
    <w:tbl>
      <w:tblPr>
        <w:tblStyle w:val="TableGrid"/>
        <w:tblW w:w="550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41"/>
        <w:gridCol w:w="5084"/>
      </w:tblGrid>
      <w:tr w:rsidR="003F287F" w:rsidRPr="00A9117A" w14:paraId="6FC3506E" w14:textId="77777777" w:rsidTr="00CD007F">
        <w:tc>
          <w:tcPr>
            <w:tcW w:w="2439" w:type="pct"/>
            <w:shd w:val="clear" w:color="auto" w:fill="FFFFFF" w:themeFill="background1"/>
            <w:vAlign w:val="center"/>
          </w:tcPr>
          <w:p w14:paraId="6FC3506C" w14:textId="77777777" w:rsidR="003F287F" w:rsidRPr="005F5F70" w:rsidRDefault="003F287F" w:rsidP="003F287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F5F70">
              <w:rPr>
                <w:rFonts w:ascii="Arial" w:hAnsi="Arial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561" w:type="pct"/>
          </w:tcPr>
          <w:p w14:paraId="6FC3506D" w14:textId="6C9A7A2C" w:rsidR="003F287F" w:rsidRPr="00CE0F42" w:rsidRDefault="001454C2" w:rsidP="003F28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Mod745 Mandatory Setting of Auction Bid Parameters and Mod728B </w:t>
            </w:r>
            <w:r w:rsidR="00AC1489">
              <w:rPr>
                <w:rFonts w:ascii="Arial" w:hAnsi="Arial" w:cs="Arial"/>
                <w:sz w:val="20"/>
                <w:szCs w:val="20"/>
                <w:lang w:val="en-US"/>
              </w:rPr>
              <w:t>Introduction of Conditional Discount for Avoiding Inefficient Bypass of the NTS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</w:p>
        </w:tc>
      </w:tr>
      <w:tr w:rsidR="003F287F" w:rsidRPr="00A9117A" w14:paraId="6FC35071" w14:textId="77777777" w:rsidTr="00CD007F">
        <w:tc>
          <w:tcPr>
            <w:tcW w:w="2439" w:type="pct"/>
            <w:shd w:val="clear" w:color="auto" w:fill="FFFFFF" w:themeFill="background1"/>
            <w:vAlign w:val="center"/>
          </w:tcPr>
          <w:p w14:paraId="6FC3506F" w14:textId="77777777" w:rsidR="003F287F" w:rsidRPr="005F5F70" w:rsidRDefault="003F287F" w:rsidP="003F287F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Xoserve reference n</w:t>
            </w:r>
            <w:r w:rsidRPr="005F5F70">
              <w:rPr>
                <w:rFonts w:ascii="Arial" w:hAnsi="Arial" w:cs="Arial"/>
                <w:b/>
                <w:sz w:val="20"/>
                <w:szCs w:val="16"/>
              </w:rPr>
              <w:t>umber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(XRN)</w:t>
            </w:r>
          </w:p>
        </w:tc>
        <w:tc>
          <w:tcPr>
            <w:tcW w:w="2561" w:type="pct"/>
          </w:tcPr>
          <w:p w14:paraId="6FC35070" w14:textId="3A53CC49" w:rsidR="003F287F" w:rsidRPr="00CE0F42" w:rsidRDefault="003F287F" w:rsidP="003F28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eastAsia="Times New Roman" w:cs="Arial"/>
                <w:sz w:val="20"/>
                <w:szCs w:val="20"/>
              </w:rPr>
              <w:t>XRN</w:t>
            </w:r>
            <w:r w:rsidR="00B80C82">
              <w:rPr>
                <w:rFonts w:eastAsia="Times New Roman" w:cs="Arial"/>
                <w:sz w:val="20"/>
                <w:szCs w:val="20"/>
              </w:rPr>
              <w:t>5341</w:t>
            </w:r>
          </w:p>
        </w:tc>
      </w:tr>
      <w:tr w:rsidR="003F287F" w:rsidRPr="00A9117A" w14:paraId="6FC35074" w14:textId="77777777" w:rsidTr="00CD007F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35072" w14:textId="683BC159" w:rsidR="003F287F" w:rsidRPr="005F5F70" w:rsidRDefault="00713EB3" w:rsidP="003F287F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16"/>
              </w:rPr>
              <w:t>Correla</w:t>
            </w:r>
            <w:proofErr w:type="spellEnd"/>
            <w:r w:rsidR="003F287F" w:rsidRPr="005F5F70">
              <w:rPr>
                <w:rFonts w:ascii="Arial" w:hAnsi="Arial" w:cs="Arial"/>
                <w:b/>
                <w:sz w:val="20"/>
                <w:szCs w:val="16"/>
              </w:rPr>
              <w:t xml:space="preserve"> Project Manager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6FC35073" w14:textId="2D1AFCD0" w:rsidR="003F287F" w:rsidRPr="00CE0F42" w:rsidRDefault="00713EB3" w:rsidP="003F287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Matt Rider / Rachel Addison</w:t>
            </w:r>
          </w:p>
        </w:tc>
      </w:tr>
      <w:tr w:rsidR="00347247" w:rsidRPr="00A9117A" w14:paraId="6FC35077" w14:textId="77777777" w:rsidTr="00CD007F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35075" w14:textId="77777777" w:rsidR="00347247" w:rsidRPr="005F5F70" w:rsidRDefault="00347247" w:rsidP="0034724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F5F70">
              <w:rPr>
                <w:rFonts w:ascii="Arial" w:hAnsi="Arial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6FC35076" w14:textId="22E24CD6" w:rsidR="00347247" w:rsidRPr="00CE0F42" w:rsidRDefault="009450A8" w:rsidP="00347247">
            <w:pPr>
              <w:rPr>
                <w:rFonts w:ascii="Arial" w:hAnsi="Arial" w:cs="Arial"/>
                <w:sz w:val="20"/>
                <w:szCs w:val="16"/>
              </w:rPr>
            </w:pPr>
            <w:hyperlink r:id="rId12" w:history="1">
              <w:r w:rsidR="00713EB3" w:rsidRPr="00DA4ACE">
                <w:rPr>
                  <w:rStyle w:val="Hyperlink"/>
                  <w:rFonts w:cs="Arial"/>
                  <w:szCs w:val="16"/>
                </w:rPr>
                <w:t>Matt.rider@correla.com</w:t>
              </w:r>
            </w:hyperlink>
            <w:r w:rsidR="00713EB3">
              <w:rPr>
                <w:rFonts w:ascii="Arial" w:hAnsi="Arial" w:cs="Arial"/>
                <w:sz w:val="20"/>
                <w:szCs w:val="16"/>
              </w:rPr>
              <w:t xml:space="preserve"> </w:t>
            </w:r>
            <w:hyperlink r:id="rId13" w:history="1">
              <w:r w:rsidR="006C532A" w:rsidRPr="00DA4ACE">
                <w:rPr>
                  <w:rStyle w:val="Hyperlink"/>
                  <w:rFonts w:cs="Arial"/>
                  <w:szCs w:val="16"/>
                </w:rPr>
                <w:t>Rachel.addison@correla.com</w:t>
              </w:r>
            </w:hyperlink>
            <w:r w:rsidR="006C532A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</w:tr>
      <w:tr w:rsidR="00347247" w:rsidRPr="00A9117A" w14:paraId="6FC3507A" w14:textId="77777777" w:rsidTr="00CE0F42">
        <w:trPr>
          <w:trHeight w:val="53"/>
        </w:trPr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35078" w14:textId="77777777" w:rsidR="00347247" w:rsidRPr="00D82754" w:rsidRDefault="00347247" w:rsidP="0034724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82754">
              <w:rPr>
                <w:rFonts w:ascii="Arial" w:hAnsi="Arial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6FC35079" w14:textId="78EAF61E" w:rsidR="00347247" w:rsidRPr="00CE0F42" w:rsidRDefault="00EF5673" w:rsidP="0034724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 xml:space="preserve">0121 229 </w:t>
            </w:r>
            <w:r w:rsidR="00D5251C">
              <w:rPr>
                <w:rFonts w:ascii="Arial" w:hAnsi="Arial" w:cs="Arial"/>
                <w:szCs w:val="16"/>
              </w:rPr>
              <w:t>2413 / 0121 229 2528</w:t>
            </w:r>
          </w:p>
        </w:tc>
      </w:tr>
      <w:tr w:rsidR="00347247" w:rsidRPr="00A9117A" w14:paraId="6FC3507D" w14:textId="77777777" w:rsidTr="00CD007F">
        <w:tc>
          <w:tcPr>
            <w:tcW w:w="243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C3507B" w14:textId="77777777" w:rsidR="00347247" w:rsidRPr="00D82754" w:rsidRDefault="00347247" w:rsidP="00347247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D82754">
              <w:rPr>
                <w:rFonts w:ascii="Arial" w:hAnsi="Arial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561" w:type="pct"/>
            <w:tcBorders>
              <w:bottom w:val="single" w:sz="4" w:space="0" w:color="auto"/>
            </w:tcBorders>
          </w:tcPr>
          <w:p w14:paraId="6FC3507C" w14:textId="1CE9DD91" w:rsidR="00347247" w:rsidRPr="00CE0F42" w:rsidRDefault="00563BFB" w:rsidP="00347247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09/06/21</w:t>
            </w:r>
          </w:p>
        </w:tc>
      </w:tr>
      <w:tr w:rsidR="00347247" w:rsidRPr="00683A0C" w14:paraId="6FC3507F" w14:textId="77777777" w:rsidTr="00CD00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FC3507E" w14:textId="77777777" w:rsidR="00347247" w:rsidRPr="003C52B2" w:rsidRDefault="00347247" w:rsidP="00347247">
            <w:pPr>
              <w:jc w:val="center"/>
              <w:rPr>
                <w:rFonts w:cs="Arial"/>
                <w:b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</w:rPr>
              <w:t>Section 1: In Scope</w:t>
            </w:r>
          </w:p>
        </w:tc>
      </w:tr>
      <w:tr w:rsidR="00347247" w:rsidRPr="00683A0C" w14:paraId="6FC35081" w14:textId="77777777" w:rsidTr="00CD00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CFBA18" w14:textId="77777777" w:rsidR="008E3C5F" w:rsidRDefault="00B864E2" w:rsidP="00F82688">
            <w:pPr>
              <w:rPr>
                <w:rFonts w:eastAsia="Times New Roman" w:cs="Arial"/>
                <w:color w:val="000000" w:themeColor="text1"/>
                <w:sz w:val="20"/>
              </w:rPr>
            </w:pPr>
            <w:r w:rsidRPr="008D2970">
              <w:rPr>
                <w:rFonts w:eastAsia="Times New Roman" w:cs="Arial"/>
                <w:color w:val="000000" w:themeColor="text1"/>
                <w:sz w:val="20"/>
              </w:rPr>
              <w:t xml:space="preserve">To deliver </w:t>
            </w:r>
            <w:r w:rsidR="00D5251C">
              <w:rPr>
                <w:rFonts w:eastAsia="Times New Roman" w:cs="Arial"/>
                <w:color w:val="000000" w:themeColor="text1"/>
                <w:sz w:val="20"/>
              </w:rPr>
              <w:t>the requirements as defined in UNC Modifications 745</w:t>
            </w:r>
            <w:r w:rsidR="009A7C29">
              <w:rPr>
                <w:rFonts w:eastAsia="Times New Roman" w:cs="Arial"/>
                <w:color w:val="000000" w:themeColor="text1"/>
                <w:sz w:val="20"/>
              </w:rPr>
              <w:t xml:space="preserve">, </w:t>
            </w:r>
            <w:r w:rsidR="009A7C29">
              <w:rPr>
                <w:rFonts w:ascii="Arial" w:hAnsi="Arial" w:cs="Arial"/>
                <w:sz w:val="20"/>
                <w:szCs w:val="16"/>
              </w:rPr>
              <w:t>Mandatory Setting of Auction Bid Parameters;</w:t>
            </w:r>
            <w:r w:rsidR="00D5251C">
              <w:rPr>
                <w:rFonts w:eastAsia="Times New Roman" w:cs="Arial"/>
                <w:color w:val="000000" w:themeColor="text1"/>
                <w:sz w:val="20"/>
              </w:rPr>
              <w:t xml:space="preserve"> and 728B</w:t>
            </w:r>
            <w:r w:rsidR="009A7C29">
              <w:rPr>
                <w:rFonts w:eastAsia="Times New Roman" w:cs="Arial"/>
                <w:color w:val="000000" w:themeColor="text1"/>
                <w:sz w:val="20"/>
              </w:rPr>
              <w:t xml:space="preserve">, </w:t>
            </w:r>
            <w:r w:rsidR="009A7C29">
              <w:rPr>
                <w:rFonts w:ascii="Arial" w:hAnsi="Arial" w:cs="Arial"/>
                <w:sz w:val="20"/>
                <w:szCs w:val="20"/>
                <w:lang w:val="en-US"/>
              </w:rPr>
              <w:t>Introduction of Conditional Discount for Avoiding Inefficient Bypass of the NTS with 28km distance cap</w:t>
            </w:r>
            <w:r w:rsidR="00D5251C">
              <w:rPr>
                <w:rFonts w:eastAsia="Times New Roman" w:cs="Arial"/>
                <w:color w:val="000000" w:themeColor="text1"/>
                <w:sz w:val="20"/>
              </w:rPr>
              <w:t xml:space="preserve">. </w:t>
            </w:r>
          </w:p>
          <w:p w14:paraId="679382C4" w14:textId="77777777" w:rsidR="008E3C5F" w:rsidRDefault="008E3C5F" w:rsidP="00F82688">
            <w:pPr>
              <w:rPr>
                <w:rFonts w:cstheme="minorHAnsi"/>
                <w:sz w:val="20"/>
                <w:szCs w:val="20"/>
              </w:rPr>
            </w:pPr>
          </w:p>
          <w:p w14:paraId="4368ADFF" w14:textId="2422D6B4" w:rsidR="00F82688" w:rsidRPr="00F82688" w:rsidRDefault="00F82688" w:rsidP="00F82688">
            <w:pPr>
              <w:rPr>
                <w:rFonts w:cstheme="minorHAnsi"/>
                <w:sz w:val="20"/>
                <w:szCs w:val="20"/>
              </w:rPr>
            </w:pPr>
            <w:r w:rsidRPr="00F82688">
              <w:rPr>
                <w:rFonts w:cstheme="minorHAnsi"/>
                <w:sz w:val="20"/>
                <w:szCs w:val="20"/>
              </w:rPr>
              <w:t xml:space="preserve">The delivery of the requirements will follow the waterfall project management methodology. Where possible, activities will be undertaken in parallel to allow for synergies on resource usage for both </w:t>
            </w:r>
            <w:proofErr w:type="spellStart"/>
            <w:r w:rsidRPr="00F82688">
              <w:rPr>
                <w:rFonts w:cstheme="minorHAnsi"/>
                <w:sz w:val="20"/>
                <w:szCs w:val="20"/>
              </w:rPr>
              <w:t>Correla</w:t>
            </w:r>
            <w:proofErr w:type="spellEnd"/>
            <w:r w:rsidRPr="00F82688">
              <w:rPr>
                <w:rFonts w:cstheme="minorHAnsi"/>
                <w:sz w:val="20"/>
                <w:szCs w:val="20"/>
              </w:rPr>
              <w:t xml:space="preserve"> and 3</w:t>
            </w:r>
            <w:r w:rsidRPr="00F82688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Pr="00F82688">
              <w:rPr>
                <w:rFonts w:cstheme="minorHAnsi"/>
                <w:sz w:val="20"/>
                <w:szCs w:val="20"/>
              </w:rPr>
              <w:t xml:space="preserve"> party suppliers. </w:t>
            </w:r>
          </w:p>
          <w:p w14:paraId="225EA5F2" w14:textId="77777777" w:rsidR="00BE7CCF" w:rsidRDefault="00BE7CCF" w:rsidP="00347247">
            <w:pPr>
              <w:rPr>
                <w:rFonts w:eastAsia="Times New Roman" w:cs="Arial"/>
                <w:color w:val="000000" w:themeColor="text1"/>
                <w:sz w:val="20"/>
              </w:rPr>
            </w:pPr>
          </w:p>
          <w:p w14:paraId="6FC35080" w14:textId="562E94D1" w:rsidR="00877501" w:rsidRPr="00F57E04" w:rsidRDefault="00022BF0" w:rsidP="00347247">
            <w:pPr>
              <w:rPr>
                <w:rFonts w:eastAsia="Times New Roman" w:cs="Arial"/>
                <w:color w:val="000000" w:themeColor="text1"/>
                <w:sz w:val="20"/>
              </w:rPr>
            </w:pPr>
            <w:r>
              <w:rPr>
                <w:rFonts w:eastAsia="Times New Roman" w:cs="Arial"/>
                <w:color w:val="000000" w:themeColor="text1"/>
                <w:sz w:val="20"/>
              </w:rPr>
              <w:t xml:space="preserve">The delivery phase (Analysis through to and including Post Implementation) will be </w:t>
            </w:r>
            <w:r w:rsidR="00D72A68">
              <w:rPr>
                <w:rFonts w:eastAsia="Times New Roman" w:cs="Arial"/>
                <w:color w:val="000000" w:themeColor="text1"/>
                <w:sz w:val="20"/>
              </w:rPr>
              <w:t>27</w:t>
            </w:r>
            <w:r>
              <w:rPr>
                <w:rFonts w:eastAsia="Times New Roman" w:cs="Arial"/>
                <w:color w:val="000000" w:themeColor="text1"/>
                <w:sz w:val="20"/>
              </w:rPr>
              <w:t xml:space="preserve"> weeks. Implementation into Production is proposed as Sunday</w:t>
            </w:r>
            <w:r w:rsidR="00D5251C">
              <w:rPr>
                <w:rFonts w:eastAsia="Times New Roman" w:cs="Arial"/>
                <w:color w:val="000000" w:themeColor="text1"/>
                <w:sz w:val="20"/>
              </w:rPr>
              <w:t xml:space="preserve"> 19</w:t>
            </w:r>
            <w:r w:rsidR="00D5251C" w:rsidRPr="00D5251C">
              <w:rPr>
                <w:rFonts w:eastAsia="Times New Roman" w:cs="Arial"/>
                <w:color w:val="000000" w:themeColor="text1"/>
                <w:sz w:val="20"/>
                <w:vertAlign w:val="superscript"/>
              </w:rPr>
              <w:t>th</w:t>
            </w:r>
            <w:r w:rsidR="00D5251C">
              <w:rPr>
                <w:rFonts w:eastAsia="Times New Roman" w:cs="Arial"/>
                <w:color w:val="000000" w:themeColor="text1"/>
                <w:sz w:val="20"/>
              </w:rPr>
              <w:t xml:space="preserve"> September </w:t>
            </w:r>
            <w:r w:rsidR="005A5F84">
              <w:rPr>
                <w:rFonts w:eastAsia="Times New Roman" w:cs="Arial"/>
                <w:color w:val="000000" w:themeColor="text1"/>
                <w:sz w:val="20"/>
              </w:rPr>
              <w:t>2021</w:t>
            </w:r>
            <w:r w:rsidR="007C566B">
              <w:rPr>
                <w:rFonts w:eastAsia="Times New Roman" w:cs="Arial"/>
                <w:color w:val="000000" w:themeColor="text1"/>
                <w:sz w:val="20"/>
              </w:rPr>
              <w:t xml:space="preserve"> in readiness for the regime start dates for both UNC Modifications of 01/10/21</w:t>
            </w:r>
            <w:r>
              <w:rPr>
                <w:rFonts w:eastAsia="Times New Roman" w:cs="Arial"/>
                <w:color w:val="000000" w:themeColor="text1"/>
                <w:sz w:val="20"/>
              </w:rPr>
              <w:t>.</w:t>
            </w:r>
          </w:p>
        </w:tc>
      </w:tr>
      <w:tr w:rsidR="00347247" w:rsidRPr="00683A0C" w14:paraId="6FC35083" w14:textId="77777777" w:rsidTr="00CD007F">
        <w:trPr>
          <w:trHeight w:val="8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6FC35082" w14:textId="77777777" w:rsidR="00347247" w:rsidRPr="00731ACB" w:rsidRDefault="00347247" w:rsidP="0034724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</w:rPr>
              <w:t>Section 2: Out of Scope</w:t>
            </w:r>
          </w:p>
        </w:tc>
      </w:tr>
      <w:tr w:rsidR="00347247" w:rsidRPr="00683A0C" w14:paraId="6FC35085" w14:textId="77777777" w:rsidTr="00CD007F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85CD030" w14:textId="3B8FD1F4" w:rsidR="00EA2884" w:rsidRPr="00EA2884" w:rsidRDefault="00EA2884" w:rsidP="00EA2884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EA2884">
              <w:rPr>
                <w:rFonts w:cstheme="minorHAnsi"/>
                <w:sz w:val="20"/>
                <w:szCs w:val="20"/>
              </w:rPr>
              <w:t xml:space="preserve">Any Production defect identified </w:t>
            </w:r>
            <w:r w:rsidR="00E75376" w:rsidRPr="00EA2884">
              <w:rPr>
                <w:rFonts w:cstheme="minorHAnsi"/>
                <w:sz w:val="20"/>
                <w:szCs w:val="20"/>
              </w:rPr>
              <w:t>during</w:t>
            </w:r>
            <w:r w:rsidRPr="00EA2884">
              <w:rPr>
                <w:rFonts w:cstheme="minorHAnsi"/>
                <w:sz w:val="20"/>
                <w:szCs w:val="20"/>
              </w:rPr>
              <w:t xml:space="preserve"> project delivery unless it is pertinent to the success of this change. </w:t>
            </w:r>
          </w:p>
          <w:p w14:paraId="43657CD5" w14:textId="3CDED49D" w:rsidR="00F57E04" w:rsidRPr="00EA2884" w:rsidRDefault="00EA2884" w:rsidP="00EA2884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rPr>
                <w:rFonts w:cstheme="minorHAnsi"/>
              </w:rPr>
            </w:pPr>
            <w:r w:rsidRPr="00EA2884">
              <w:rPr>
                <w:rFonts w:cstheme="minorHAnsi"/>
                <w:sz w:val="20"/>
                <w:szCs w:val="20"/>
              </w:rPr>
              <w:t>Any defects raised that are not part of Mod</w:t>
            </w:r>
            <w:r w:rsidR="00F05BA8">
              <w:rPr>
                <w:rFonts w:cstheme="minorHAnsi"/>
                <w:sz w:val="20"/>
                <w:szCs w:val="20"/>
              </w:rPr>
              <w:t>0</w:t>
            </w:r>
            <w:r w:rsidRPr="00EA2884">
              <w:rPr>
                <w:rFonts w:cstheme="minorHAnsi"/>
                <w:sz w:val="20"/>
                <w:szCs w:val="20"/>
              </w:rPr>
              <w:t>745 or Mod</w:t>
            </w:r>
            <w:r w:rsidR="00F05BA8">
              <w:rPr>
                <w:rFonts w:cstheme="minorHAnsi"/>
                <w:sz w:val="20"/>
                <w:szCs w:val="20"/>
              </w:rPr>
              <w:t>0</w:t>
            </w:r>
            <w:r w:rsidRPr="00EA2884">
              <w:rPr>
                <w:rFonts w:cstheme="minorHAnsi"/>
                <w:sz w:val="20"/>
                <w:szCs w:val="20"/>
              </w:rPr>
              <w:t xml:space="preserve">728B. </w:t>
            </w:r>
          </w:p>
          <w:p w14:paraId="6FC35084" w14:textId="0EA706EA" w:rsidR="00347247" w:rsidRPr="00731ACB" w:rsidRDefault="00347247" w:rsidP="00347247">
            <w:pPr>
              <w:pStyle w:val="ListParagraph"/>
              <w:ind w:left="0"/>
              <w:rPr>
                <w:rFonts w:cs="Arial"/>
                <w:i/>
                <w:color w:val="000000" w:themeColor="text1"/>
                <w:sz w:val="20"/>
              </w:rPr>
            </w:pPr>
          </w:p>
        </w:tc>
      </w:tr>
      <w:tr w:rsidR="00347247" w:rsidRPr="00683A0C" w14:paraId="6FC35087" w14:textId="77777777" w:rsidTr="00CD007F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FC35086" w14:textId="77777777" w:rsidR="00347247" w:rsidRDefault="00347247" w:rsidP="00347247">
            <w:pPr>
              <w:jc w:val="center"/>
              <w:rPr>
                <w:rFonts w:cs="Arial"/>
                <w:b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Section 3: </w:t>
            </w:r>
            <w:r>
              <w:rPr>
                <w:rFonts w:cs="Arial"/>
                <w:b/>
                <w:color w:val="FFFFFF" w:themeColor="background1"/>
                <w:sz w:val="20"/>
                <w:szCs w:val="16"/>
              </w:rPr>
              <w:t>Funding required</w:t>
            </w: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 xml:space="preserve"> to deliver the change</w:t>
            </w:r>
          </w:p>
        </w:tc>
      </w:tr>
      <w:tr w:rsidR="00347247" w:rsidRPr="00683A0C" w14:paraId="6FC350A5" w14:textId="77777777" w:rsidTr="00CD007F">
        <w:tc>
          <w:tcPr>
            <w:tcW w:w="5000" w:type="pct"/>
            <w:gridSpan w:val="2"/>
            <w:shd w:val="clear" w:color="auto" w:fill="auto"/>
          </w:tcPr>
          <w:tbl>
            <w:tblPr>
              <w:tblStyle w:val="TableGrid"/>
              <w:tblW w:w="10093" w:type="dxa"/>
              <w:tblLayout w:type="fixed"/>
              <w:tblLook w:val="04A0" w:firstRow="1" w:lastRow="0" w:firstColumn="1" w:lastColumn="0" w:noHBand="0" w:noVBand="1"/>
            </w:tblPr>
            <w:tblGrid>
              <w:gridCol w:w="3161"/>
              <w:gridCol w:w="3672"/>
              <w:gridCol w:w="3260"/>
            </w:tblGrid>
            <w:tr w:rsidR="00347247" w14:paraId="6FC3508B" w14:textId="77777777" w:rsidTr="00410E09">
              <w:tc>
                <w:tcPr>
                  <w:tcW w:w="3161" w:type="dxa"/>
                </w:tcPr>
                <w:p w14:paraId="6FC35088" w14:textId="77777777" w:rsidR="00347247" w:rsidRPr="001A2319" w:rsidRDefault="00347247" w:rsidP="00347247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Gas Industry Participant</w:t>
                  </w:r>
                </w:p>
              </w:tc>
              <w:tc>
                <w:tcPr>
                  <w:tcW w:w="3672" w:type="dxa"/>
                </w:tcPr>
                <w:p w14:paraId="6FC35089" w14:textId="77777777" w:rsidR="00347247" w:rsidRPr="001A2319" w:rsidRDefault="00347247" w:rsidP="00347247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% Share of Cost</w:t>
                  </w:r>
                </w:p>
              </w:tc>
              <w:tc>
                <w:tcPr>
                  <w:tcW w:w="3260" w:type="dxa"/>
                </w:tcPr>
                <w:p w14:paraId="6FC3508A" w14:textId="77777777" w:rsidR="00347247" w:rsidRPr="001A2319" w:rsidRDefault="00347247" w:rsidP="00347247">
                  <w:pPr>
                    <w:jc w:val="center"/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Cost Value</w:t>
                  </w:r>
                </w:p>
              </w:tc>
            </w:tr>
            <w:tr w:rsidR="00347247" w14:paraId="6FC3508F" w14:textId="77777777" w:rsidTr="00410E09">
              <w:tc>
                <w:tcPr>
                  <w:tcW w:w="3161" w:type="dxa"/>
                </w:tcPr>
                <w:p w14:paraId="6FC3508C" w14:textId="77777777" w:rsidR="00347247" w:rsidRPr="001A2319" w:rsidRDefault="00347247" w:rsidP="00347247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Shippers</w:t>
                  </w:r>
                </w:p>
              </w:tc>
              <w:tc>
                <w:tcPr>
                  <w:tcW w:w="3672" w:type="dxa"/>
                  <w:vAlign w:val="center"/>
                </w:tcPr>
                <w:p w14:paraId="6FC3508D" w14:textId="77777777" w:rsidR="00347247" w:rsidRPr="00CE0F42" w:rsidRDefault="00347247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FC3508E" w14:textId="77777777" w:rsidR="00347247" w:rsidRPr="00CE0F42" w:rsidRDefault="00347247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</w:tr>
            <w:tr w:rsidR="00347247" w14:paraId="6FC35093" w14:textId="77777777" w:rsidTr="00410E09">
              <w:tc>
                <w:tcPr>
                  <w:tcW w:w="3161" w:type="dxa"/>
                </w:tcPr>
                <w:p w14:paraId="6FC35090" w14:textId="77777777" w:rsidR="00347247" w:rsidRPr="001A2319" w:rsidRDefault="00347247" w:rsidP="00347247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IGT</w:t>
                  </w: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6FC35091" w14:textId="77777777" w:rsidR="00347247" w:rsidRPr="00CE0F42" w:rsidRDefault="00347247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FC35092" w14:textId="77777777" w:rsidR="00347247" w:rsidRPr="00CE0F42" w:rsidRDefault="00347247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</w:tr>
            <w:tr w:rsidR="00347247" w14:paraId="6FC35097" w14:textId="77777777" w:rsidTr="00410E09">
              <w:tc>
                <w:tcPr>
                  <w:tcW w:w="3161" w:type="dxa"/>
                </w:tcPr>
                <w:p w14:paraId="6FC35094" w14:textId="77777777" w:rsidR="00347247" w:rsidRPr="001A2319" w:rsidRDefault="00347247" w:rsidP="00347247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DNO’s</w:t>
                  </w:r>
                </w:p>
              </w:tc>
              <w:tc>
                <w:tcPr>
                  <w:tcW w:w="3672" w:type="dxa"/>
                  <w:vAlign w:val="center"/>
                </w:tcPr>
                <w:p w14:paraId="6FC35095" w14:textId="77777777" w:rsidR="00347247" w:rsidRPr="00CE0F42" w:rsidRDefault="00347247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FC35096" w14:textId="77777777" w:rsidR="00347247" w:rsidRPr="00CE0F42" w:rsidRDefault="00347247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</w:tr>
            <w:tr w:rsidR="00347247" w14:paraId="6FC3509B" w14:textId="77777777" w:rsidTr="00410E09">
              <w:tc>
                <w:tcPr>
                  <w:tcW w:w="3161" w:type="dxa"/>
                </w:tcPr>
                <w:p w14:paraId="6FC35098" w14:textId="53FAF8EC" w:rsidR="00347247" w:rsidRPr="001A2319" w:rsidRDefault="00347247" w:rsidP="00347247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Transmission</w:t>
                  </w:r>
                  <w:r w:rsidR="00F05BA8">
                    <w:rPr>
                      <w:rFonts w:cs="Arial"/>
                      <w:b/>
                      <w:sz w:val="20"/>
                      <w:szCs w:val="16"/>
                    </w:rPr>
                    <w:t xml:space="preserve"> (Project Cost)</w:t>
                  </w:r>
                </w:p>
              </w:tc>
              <w:tc>
                <w:tcPr>
                  <w:tcW w:w="3672" w:type="dxa"/>
                  <w:vAlign w:val="center"/>
                </w:tcPr>
                <w:p w14:paraId="6FC35099" w14:textId="4312212C" w:rsidR="00347247" w:rsidRPr="00CE0F42" w:rsidRDefault="00877501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100</w:t>
                  </w:r>
                </w:p>
              </w:tc>
              <w:tc>
                <w:tcPr>
                  <w:tcW w:w="3260" w:type="dxa"/>
                  <w:vAlign w:val="center"/>
                </w:tcPr>
                <w:p w14:paraId="6FC3509A" w14:textId="4737475E" w:rsidR="00347247" w:rsidRPr="00CE0F42" w:rsidRDefault="001108EA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£</w:t>
                  </w:r>
                  <w:r w:rsidR="00AA1CD8">
                    <w:rPr>
                      <w:rFonts w:cs="Arial"/>
                      <w:sz w:val="20"/>
                      <w:szCs w:val="16"/>
                    </w:rPr>
                    <w:t>6</w:t>
                  </w:r>
                  <w:r w:rsidR="00F05BA8">
                    <w:rPr>
                      <w:rFonts w:cs="Arial"/>
                      <w:sz w:val="20"/>
                      <w:szCs w:val="16"/>
                    </w:rPr>
                    <w:t>15,000</w:t>
                  </w:r>
                </w:p>
              </w:tc>
            </w:tr>
            <w:tr w:rsidR="00F05BA8" w14:paraId="087F0624" w14:textId="77777777" w:rsidTr="00410E09">
              <w:tc>
                <w:tcPr>
                  <w:tcW w:w="3161" w:type="dxa"/>
                </w:tcPr>
                <w:p w14:paraId="1E20208F" w14:textId="3AE4EB67" w:rsidR="00F05BA8" w:rsidRPr="00F05BA8" w:rsidRDefault="00F05BA8" w:rsidP="00347247">
                  <w:pPr>
                    <w:rPr>
                      <w:rFonts w:cs="Arial"/>
                      <w:b/>
                      <w:sz w:val="20"/>
                      <w:szCs w:val="20"/>
                    </w:rPr>
                  </w:pPr>
                  <w:r w:rsidRPr="00F05BA8">
                    <w:rPr>
                      <w:rFonts w:cs="Arial"/>
                      <w:b/>
                      <w:sz w:val="20"/>
                      <w:szCs w:val="20"/>
                    </w:rPr>
                    <w:t>Transmission (MTB Cost)</w:t>
                  </w:r>
                </w:p>
              </w:tc>
              <w:tc>
                <w:tcPr>
                  <w:tcW w:w="3672" w:type="dxa"/>
                  <w:vAlign w:val="center"/>
                </w:tcPr>
                <w:p w14:paraId="518DD4D5" w14:textId="294D3CFE" w:rsidR="00F05BA8" w:rsidRPr="00F05BA8" w:rsidRDefault="00F05BA8" w:rsidP="0034724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05BA8">
                    <w:rPr>
                      <w:rFonts w:cs="Arial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3260" w:type="dxa"/>
                  <w:vAlign w:val="center"/>
                </w:tcPr>
                <w:p w14:paraId="492AC2C6" w14:textId="7022FEC9" w:rsidR="00F05BA8" w:rsidRPr="00F05BA8" w:rsidRDefault="00F05BA8" w:rsidP="00347247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05BA8">
                    <w:rPr>
                      <w:rFonts w:cs="Arial"/>
                      <w:sz w:val="20"/>
                      <w:szCs w:val="20"/>
                    </w:rPr>
                    <w:t>£42,000</w:t>
                  </w:r>
                </w:p>
              </w:tc>
            </w:tr>
            <w:tr w:rsidR="00347247" w14:paraId="6FC3509F" w14:textId="77777777" w:rsidTr="00410E09">
              <w:tc>
                <w:tcPr>
                  <w:tcW w:w="3161" w:type="dxa"/>
                </w:tcPr>
                <w:p w14:paraId="6FC3509C" w14:textId="77777777" w:rsidR="00347247" w:rsidRPr="001A2319" w:rsidRDefault="00347247" w:rsidP="00347247">
                  <w:pPr>
                    <w:rPr>
                      <w:rFonts w:cs="Arial"/>
                      <w:b/>
                      <w:sz w:val="20"/>
                      <w:szCs w:val="16"/>
                    </w:rPr>
                  </w:pP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 xml:space="preserve">DN &amp; </w:t>
                  </w:r>
                  <w:r>
                    <w:rPr>
                      <w:rFonts w:cs="Arial"/>
                      <w:b/>
                      <w:sz w:val="20"/>
                      <w:szCs w:val="16"/>
                    </w:rPr>
                    <w:t>IGT</w:t>
                  </w:r>
                </w:p>
              </w:tc>
              <w:tc>
                <w:tcPr>
                  <w:tcW w:w="3672" w:type="dxa"/>
                  <w:vAlign w:val="center"/>
                </w:tcPr>
                <w:p w14:paraId="6FC3509D" w14:textId="77777777" w:rsidR="00347247" w:rsidRPr="00CE0F42" w:rsidRDefault="00347247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3260" w:type="dxa"/>
                  <w:vAlign w:val="center"/>
                </w:tcPr>
                <w:p w14:paraId="6FC3509E" w14:textId="77777777" w:rsidR="00347247" w:rsidRPr="00CE0F42" w:rsidRDefault="00347247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</w:p>
              </w:tc>
            </w:tr>
            <w:tr w:rsidR="00347247" w14:paraId="6FC350A3" w14:textId="77777777" w:rsidTr="00410E09">
              <w:tc>
                <w:tcPr>
                  <w:tcW w:w="3161" w:type="dxa"/>
                </w:tcPr>
                <w:p w14:paraId="6FC350A0" w14:textId="77777777" w:rsidR="00347247" w:rsidRPr="001A2319" w:rsidRDefault="00347247" w:rsidP="00347247">
                  <w:pPr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b/>
                      <w:sz w:val="20"/>
                      <w:szCs w:val="16"/>
                    </w:rPr>
                    <w:t>Total C</w:t>
                  </w:r>
                  <w:r w:rsidRPr="001A2319">
                    <w:rPr>
                      <w:rFonts w:cs="Arial"/>
                      <w:b/>
                      <w:sz w:val="20"/>
                      <w:szCs w:val="16"/>
                    </w:rPr>
                    <w:t>ost</w:t>
                  </w:r>
                </w:p>
              </w:tc>
              <w:tc>
                <w:tcPr>
                  <w:tcW w:w="3672" w:type="dxa"/>
                  <w:vAlign w:val="center"/>
                </w:tcPr>
                <w:p w14:paraId="6FC350A1" w14:textId="25EAD56D" w:rsidR="00347247" w:rsidRPr="00CE0F42" w:rsidRDefault="00506E63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100</w:t>
                  </w:r>
                </w:p>
              </w:tc>
              <w:tc>
                <w:tcPr>
                  <w:tcW w:w="3260" w:type="dxa"/>
                  <w:vAlign w:val="center"/>
                </w:tcPr>
                <w:p w14:paraId="6FC350A2" w14:textId="735DF8AF" w:rsidR="00347247" w:rsidRPr="00CE0F42" w:rsidRDefault="001108EA" w:rsidP="00347247">
                  <w:pPr>
                    <w:jc w:val="center"/>
                    <w:rPr>
                      <w:rFonts w:cs="Arial"/>
                      <w:sz w:val="20"/>
                      <w:szCs w:val="16"/>
                    </w:rPr>
                  </w:pPr>
                  <w:r>
                    <w:rPr>
                      <w:rFonts w:cs="Arial"/>
                      <w:sz w:val="20"/>
                      <w:szCs w:val="16"/>
                    </w:rPr>
                    <w:t>£</w:t>
                  </w:r>
                  <w:r w:rsidR="00AA1CD8">
                    <w:rPr>
                      <w:rFonts w:cs="Arial"/>
                      <w:sz w:val="20"/>
                      <w:szCs w:val="16"/>
                    </w:rPr>
                    <w:t>6</w:t>
                  </w:r>
                  <w:r w:rsidR="009E60B9">
                    <w:rPr>
                      <w:rFonts w:cs="Arial"/>
                      <w:sz w:val="20"/>
                      <w:szCs w:val="16"/>
                    </w:rPr>
                    <w:t>57</w:t>
                  </w:r>
                  <w:r w:rsidR="0058098F">
                    <w:rPr>
                      <w:rFonts w:cs="Arial"/>
                      <w:sz w:val="20"/>
                      <w:szCs w:val="16"/>
                    </w:rPr>
                    <w:t>,000</w:t>
                  </w:r>
                </w:p>
              </w:tc>
            </w:tr>
          </w:tbl>
          <w:p w14:paraId="6FC350A4" w14:textId="77777777" w:rsidR="00347247" w:rsidRDefault="00347247" w:rsidP="00347247">
            <w:pPr>
              <w:rPr>
                <w:rFonts w:cs="Arial"/>
                <w:b/>
                <w:szCs w:val="16"/>
              </w:rPr>
            </w:pPr>
          </w:p>
        </w:tc>
      </w:tr>
      <w:tr w:rsidR="00347247" w:rsidRPr="00683A0C" w14:paraId="6FC350A7" w14:textId="77777777" w:rsidTr="00CD007F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FC350A6" w14:textId="77777777" w:rsidR="00347247" w:rsidRDefault="00347247" w:rsidP="00347247">
            <w:pPr>
              <w:jc w:val="center"/>
              <w:rPr>
                <w:rFonts w:cs="Arial"/>
                <w:b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Section 4: Estimated impact of the service change on service charges</w:t>
            </w:r>
          </w:p>
        </w:tc>
      </w:tr>
      <w:tr w:rsidR="00347247" w:rsidRPr="00683A0C" w14:paraId="6FC350B3" w14:textId="77777777" w:rsidTr="00CD007F">
        <w:tc>
          <w:tcPr>
            <w:tcW w:w="5000" w:type="pct"/>
            <w:gridSpan w:val="2"/>
            <w:shd w:val="clear" w:color="auto" w:fill="auto"/>
          </w:tcPr>
          <w:p w14:paraId="6F15042B" w14:textId="24080CF4" w:rsidR="00CE10FE" w:rsidRDefault="00F05BA8" w:rsidP="0034724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 the overall total cost of this change can be further broken down into a Project delivery cost of £615,000 and a further £42,000 for Year 1 Maintain the Business costs.</w:t>
            </w:r>
          </w:p>
          <w:p w14:paraId="63E5AF7A" w14:textId="77777777" w:rsidR="009450A8" w:rsidRDefault="009450A8" w:rsidP="00347247">
            <w:pPr>
              <w:pStyle w:val="ListParagraph"/>
              <w:ind w:left="0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547D154F" w14:textId="14949AEC" w:rsidR="00F05BA8" w:rsidRDefault="00F05BA8" w:rsidP="0034724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costs will be funded via the Gemini Enhancements funding line from BP21. National Grid will allocate the Project and MTB charges to the appropriate </w:t>
            </w:r>
            <w:r w:rsidR="009450A8">
              <w:rPr>
                <w:sz w:val="20"/>
                <w:szCs w:val="20"/>
              </w:rPr>
              <w:t>funding area.</w:t>
            </w:r>
          </w:p>
          <w:p w14:paraId="0C511793" w14:textId="77777777" w:rsidR="00CE10FE" w:rsidRDefault="00CE10FE" w:rsidP="00347247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BB7519E" w14:textId="144DEB85" w:rsidR="004472B5" w:rsidRPr="004472B5" w:rsidRDefault="004472B5" w:rsidP="00347247">
            <w:pPr>
              <w:pStyle w:val="ListParagraph"/>
              <w:ind w:left="0"/>
              <w:rPr>
                <w:rFonts w:cs="Arial"/>
                <w:i/>
                <w:color w:val="0070C0"/>
                <w:sz w:val="20"/>
                <w:szCs w:val="20"/>
              </w:rPr>
            </w:pPr>
            <w:r w:rsidRPr="004472B5">
              <w:rPr>
                <w:sz w:val="20"/>
                <w:szCs w:val="20"/>
              </w:rPr>
              <w:t xml:space="preserve">The delivery of the system changes </w:t>
            </w:r>
            <w:r w:rsidR="00DA0737">
              <w:rPr>
                <w:sz w:val="20"/>
                <w:szCs w:val="20"/>
              </w:rPr>
              <w:t>may</w:t>
            </w:r>
            <w:r w:rsidRPr="004472B5">
              <w:rPr>
                <w:sz w:val="20"/>
                <w:szCs w:val="20"/>
              </w:rPr>
              <w:t xml:space="preserve"> have an impact on service charges however the scale of this impact will not be known until the Analysis </w:t>
            </w:r>
            <w:r w:rsidR="00F803F3">
              <w:rPr>
                <w:sz w:val="20"/>
                <w:szCs w:val="20"/>
              </w:rPr>
              <w:t xml:space="preserve">and Design </w:t>
            </w:r>
            <w:r w:rsidRPr="004472B5">
              <w:rPr>
                <w:sz w:val="20"/>
                <w:szCs w:val="20"/>
              </w:rPr>
              <w:t>stage</w:t>
            </w:r>
            <w:r w:rsidR="00F803F3">
              <w:rPr>
                <w:sz w:val="20"/>
                <w:szCs w:val="20"/>
              </w:rPr>
              <w:t>s</w:t>
            </w:r>
            <w:r w:rsidRPr="004472B5">
              <w:rPr>
                <w:sz w:val="20"/>
                <w:szCs w:val="20"/>
              </w:rPr>
              <w:t xml:space="preserve"> </w:t>
            </w:r>
            <w:r w:rsidR="002C29F9">
              <w:rPr>
                <w:sz w:val="20"/>
                <w:szCs w:val="20"/>
              </w:rPr>
              <w:t>ha</w:t>
            </w:r>
            <w:r w:rsidR="00F803F3">
              <w:rPr>
                <w:sz w:val="20"/>
                <w:szCs w:val="20"/>
              </w:rPr>
              <w:t>ve</w:t>
            </w:r>
            <w:r w:rsidR="002C29F9">
              <w:rPr>
                <w:sz w:val="20"/>
                <w:szCs w:val="20"/>
              </w:rPr>
              <w:t xml:space="preserve"> completed.</w:t>
            </w:r>
          </w:p>
          <w:p w14:paraId="3F6E6DAF" w14:textId="77777777" w:rsidR="00347247" w:rsidRDefault="00347247" w:rsidP="00347247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</w:p>
          <w:p w14:paraId="6ABAC248" w14:textId="77777777" w:rsidR="0081400D" w:rsidRDefault="0081400D" w:rsidP="00347247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</w:p>
          <w:p w14:paraId="66BF8D48" w14:textId="77777777" w:rsidR="0081400D" w:rsidRDefault="0081400D" w:rsidP="00347247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</w:p>
          <w:p w14:paraId="4242D43C" w14:textId="77777777" w:rsidR="0081400D" w:rsidRDefault="0081400D" w:rsidP="00347247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</w:p>
          <w:p w14:paraId="3AFA76DE" w14:textId="77777777" w:rsidR="0081400D" w:rsidRDefault="0081400D" w:rsidP="00347247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</w:p>
          <w:p w14:paraId="1455A1E1" w14:textId="77777777" w:rsidR="0081400D" w:rsidRDefault="0081400D" w:rsidP="00347247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</w:p>
          <w:p w14:paraId="2E9B8441" w14:textId="77777777" w:rsidR="0081400D" w:rsidRDefault="0081400D" w:rsidP="00347247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</w:p>
          <w:p w14:paraId="6FC350B2" w14:textId="342FF374" w:rsidR="0081400D" w:rsidRPr="00727F20" w:rsidRDefault="0081400D" w:rsidP="00347247">
            <w:pPr>
              <w:pStyle w:val="ListParagraph"/>
              <w:ind w:left="0"/>
              <w:rPr>
                <w:rFonts w:cs="Arial"/>
                <w:b/>
                <w:szCs w:val="16"/>
              </w:rPr>
            </w:pPr>
          </w:p>
        </w:tc>
      </w:tr>
      <w:tr w:rsidR="00347247" w:rsidRPr="00683A0C" w14:paraId="6FC350B5" w14:textId="77777777" w:rsidTr="00A5099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FC350B4" w14:textId="77777777" w:rsidR="00347247" w:rsidRPr="00076FF3" w:rsidRDefault="00347247" w:rsidP="00347247">
            <w:pPr>
              <w:jc w:val="center"/>
              <w:rPr>
                <w:rFonts w:cs="Arial"/>
                <w:b/>
                <w:color w:val="FFFFFF" w:themeColor="background1"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lastRenderedPageBreak/>
              <w:t>Section 5: Project plan for delivery of the change</w:t>
            </w:r>
          </w:p>
        </w:tc>
      </w:tr>
      <w:tr w:rsidR="00347247" w:rsidRPr="00683A0C" w14:paraId="6FC350B7" w14:textId="77777777" w:rsidTr="00CD007F">
        <w:tc>
          <w:tcPr>
            <w:tcW w:w="5000" w:type="pct"/>
            <w:gridSpan w:val="2"/>
            <w:shd w:val="clear" w:color="auto" w:fill="auto"/>
          </w:tcPr>
          <w:p w14:paraId="282F1D40" w14:textId="77777777" w:rsidR="002E1F89" w:rsidRDefault="002E1F89" w:rsidP="002E1F89">
            <w:pPr>
              <w:rPr>
                <w:rFonts w:eastAsia="Times New Roman"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92"/>
              <w:gridCol w:w="1559"/>
              <w:gridCol w:w="1417"/>
            </w:tblGrid>
            <w:tr w:rsidR="002E1F89" w14:paraId="6F921463" w14:textId="77777777" w:rsidTr="009570F7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81EDA7" w14:textId="77777777" w:rsidR="002E1F89" w:rsidRDefault="002E1F89" w:rsidP="002E1F89">
                  <w:pPr>
                    <w:rPr>
                      <w:rFonts w:eastAsia="Times New Roman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86EB7F" w14:textId="77777777" w:rsidR="002E1F89" w:rsidRDefault="002E1F89" w:rsidP="002E1F89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>START DATE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053A14" w14:textId="77777777" w:rsidR="002E1F89" w:rsidRDefault="002E1F89" w:rsidP="002E1F89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  <w:sz w:val="20"/>
                    </w:rPr>
                    <w:t>END DATE</w:t>
                  </w:r>
                </w:p>
              </w:tc>
            </w:tr>
            <w:tr w:rsidR="002E1F89" w14:paraId="1DFBB381" w14:textId="77777777" w:rsidTr="009570F7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225155F" w14:textId="6A2694DE" w:rsidR="002E1F89" w:rsidRPr="00DF50A6" w:rsidRDefault="002E1F89" w:rsidP="002E1F89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F50A6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  <w:t>Analysi</w:t>
                  </w:r>
                  <w:r w:rsidR="00C16F7C" w:rsidRPr="00DF50A6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  <w:r w:rsidR="00FE051F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  <w:t xml:space="preserve"> &amp; Design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1BDA4" w14:textId="12B29E24" w:rsidR="002E1F89" w:rsidRPr="00DF50A6" w:rsidRDefault="00AA1CD8" w:rsidP="002E1F89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28/06/21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3E82" w14:textId="2C1CB7CE" w:rsidR="002E1F89" w:rsidRPr="00DF50A6" w:rsidRDefault="00FE051F" w:rsidP="002E1F89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09/06/21</w:t>
                  </w:r>
                </w:p>
              </w:tc>
            </w:tr>
            <w:tr w:rsidR="00C16F7C" w14:paraId="691544B9" w14:textId="77777777" w:rsidTr="009570F7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56A2FF" w14:textId="70113227" w:rsidR="00C16F7C" w:rsidRPr="00DF50A6" w:rsidRDefault="00C16F7C" w:rsidP="00C16F7C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F50A6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  <w:t>CUT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7F291" w14:textId="17579755" w:rsidR="00C16F7C" w:rsidRPr="00DF50A6" w:rsidRDefault="00BC7EE9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12/07/21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18E19" w14:textId="6F25FAC3" w:rsidR="00C16F7C" w:rsidRPr="00DF50A6" w:rsidRDefault="00BC7EE9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30/07/21</w:t>
                  </w:r>
                </w:p>
              </w:tc>
            </w:tr>
            <w:tr w:rsidR="00C16F7C" w14:paraId="7373C1F7" w14:textId="77777777" w:rsidTr="009570F7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A5FEB" w14:textId="5EBDE2AD" w:rsidR="00C16F7C" w:rsidRPr="00DF50A6" w:rsidRDefault="00C16F7C" w:rsidP="00C16F7C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F50A6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  <w:t>System Testing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EBE18" w14:textId="3508EE48" w:rsidR="00C16F7C" w:rsidRPr="00DF50A6" w:rsidRDefault="00F14B73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02/08/21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F8525" w14:textId="5DA304A0" w:rsidR="00C16F7C" w:rsidRPr="00DF50A6" w:rsidRDefault="00F14B73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13/08/21</w:t>
                  </w:r>
                </w:p>
              </w:tc>
            </w:tr>
            <w:tr w:rsidR="00B64FB1" w14:paraId="4D068DB8" w14:textId="77777777" w:rsidTr="009570F7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6FFDF" w14:textId="562660AD" w:rsidR="00B64FB1" w:rsidRPr="00DF50A6" w:rsidRDefault="00B64FB1" w:rsidP="00C16F7C">
                  <w:pPr>
                    <w:rPr>
                      <w:rFonts w:eastAsia="Times New Roman" w:cs="Arial"/>
                      <w:b/>
                      <w:color w:val="000000" w:themeColor="text1"/>
                    </w:rPr>
                  </w:pPr>
                  <w:r>
                    <w:rPr>
                      <w:rFonts w:eastAsia="Times New Roman" w:cs="Arial"/>
                      <w:b/>
                      <w:color w:val="000000" w:themeColor="text1"/>
                    </w:rPr>
                    <w:t>UAT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02DF29" w14:textId="2DE82F4E" w:rsidR="00B64FB1" w:rsidRPr="008C203E" w:rsidRDefault="002847FA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 w:rsidRPr="008C203E"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16/08/21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37F6DF" w14:textId="1BB205AA" w:rsidR="00B64FB1" w:rsidRPr="008C203E" w:rsidRDefault="002847FA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 w:rsidRPr="008C203E"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27/08/21</w:t>
                  </w:r>
                </w:p>
              </w:tc>
            </w:tr>
            <w:tr w:rsidR="00C16F7C" w14:paraId="3987D454" w14:textId="77777777" w:rsidTr="009570F7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109D8" w14:textId="52750981" w:rsidR="00C16F7C" w:rsidRPr="00DF50A6" w:rsidRDefault="00C16F7C" w:rsidP="00C16F7C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F50A6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  <w:t>IDR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85EC" w14:textId="79815BFF" w:rsidR="00C16F7C" w:rsidRPr="00DF50A6" w:rsidRDefault="002847FA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30/08/21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5A27F" w14:textId="438634E1" w:rsidR="00C16F7C" w:rsidRPr="00DF50A6" w:rsidRDefault="002847FA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17/08/21</w:t>
                  </w:r>
                </w:p>
              </w:tc>
            </w:tr>
            <w:tr w:rsidR="00C16F7C" w14:paraId="0B37C6BA" w14:textId="77777777" w:rsidTr="009570F7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96D76" w14:textId="2E433620" w:rsidR="00C16F7C" w:rsidRPr="00DF50A6" w:rsidRDefault="00C16F7C" w:rsidP="00C16F7C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F50A6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  <w:t>Implementation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24A1" w14:textId="65F6271C" w:rsidR="00C16F7C" w:rsidRPr="00DF50A6" w:rsidRDefault="0025525A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19/09/21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F0962" w14:textId="7BC99BD2" w:rsidR="00C16F7C" w:rsidRPr="00DF50A6" w:rsidRDefault="0025525A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19/09/21</w:t>
                  </w:r>
                </w:p>
              </w:tc>
            </w:tr>
            <w:tr w:rsidR="00C16F7C" w14:paraId="30E268B0" w14:textId="77777777" w:rsidTr="009570F7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F840A" w14:textId="4C5AF16A" w:rsidR="00C16F7C" w:rsidRPr="00DF50A6" w:rsidRDefault="00C16F7C" w:rsidP="00C16F7C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DF50A6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  <w:t>PIS</w:t>
                  </w:r>
                  <w:r w:rsidR="0025525A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  <w:t xml:space="preserve"> for Mod745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975DC" w14:textId="64A535DA" w:rsidR="00C16F7C" w:rsidRPr="00DF50A6" w:rsidRDefault="00B85DA9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20/09/21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B4712" w14:textId="420C8473" w:rsidR="00C16F7C" w:rsidRPr="00DF50A6" w:rsidRDefault="00B85DA9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01/10/21</w:t>
                  </w:r>
                </w:p>
              </w:tc>
            </w:tr>
            <w:tr w:rsidR="0025525A" w14:paraId="57FA7141" w14:textId="77777777" w:rsidTr="009570F7">
              <w:tc>
                <w:tcPr>
                  <w:tcW w:w="2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15C70" w14:textId="7FA481F1" w:rsidR="0025525A" w:rsidRPr="0025525A" w:rsidRDefault="0025525A" w:rsidP="00C16F7C">
                  <w:pPr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</w:pPr>
                  <w:r w:rsidRPr="0025525A">
                    <w:rPr>
                      <w:rFonts w:eastAsia="Times New Roman" w:cs="Arial"/>
                      <w:b/>
                      <w:color w:val="000000" w:themeColor="text1"/>
                      <w:sz w:val="20"/>
                      <w:szCs w:val="20"/>
                    </w:rPr>
                    <w:t>PIS for Mod 728B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42381" w14:textId="2E6CDAD3" w:rsidR="0025525A" w:rsidRPr="00E75376" w:rsidRDefault="00897C2D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 w:rsidRPr="00E75376"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20/09/21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2FE81" w14:textId="08CF6635" w:rsidR="0025525A" w:rsidRPr="00E75376" w:rsidRDefault="00897C2D" w:rsidP="00C16F7C">
                  <w:pPr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</w:pPr>
                  <w:r w:rsidRPr="00E75376"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2</w:t>
                  </w:r>
                  <w:r w:rsidR="00C80901"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4</w:t>
                  </w:r>
                  <w:r w:rsidRPr="00E75376">
                    <w:rPr>
                      <w:rFonts w:eastAsia="Times New Roman" w:cs="Arial"/>
                      <w:color w:val="000000" w:themeColor="text1"/>
                      <w:sz w:val="20"/>
                      <w:szCs w:val="20"/>
                    </w:rPr>
                    <w:t>/12/21</w:t>
                  </w:r>
                </w:p>
              </w:tc>
            </w:tr>
          </w:tbl>
          <w:p w14:paraId="5A843BA6" w14:textId="77777777" w:rsidR="002E1F89" w:rsidRDefault="002E1F89" w:rsidP="002E1F89">
            <w:pPr>
              <w:rPr>
                <w:rFonts w:eastAsia="Times New Roman" w:cs="Arial"/>
                <w:color w:val="000000" w:themeColor="text1"/>
                <w:sz w:val="20"/>
              </w:rPr>
            </w:pPr>
          </w:p>
          <w:p w14:paraId="6FC350B6" w14:textId="6BD22AE5" w:rsidR="002E1F89" w:rsidRPr="004B36CC" w:rsidRDefault="002E1F89" w:rsidP="00131C22">
            <w:pPr>
              <w:rPr>
                <w:rFonts w:cs="Arial"/>
                <w:b/>
                <w:sz w:val="20"/>
                <w:szCs w:val="16"/>
              </w:rPr>
            </w:pPr>
          </w:p>
        </w:tc>
      </w:tr>
      <w:tr w:rsidR="00347247" w:rsidRPr="00683A0C" w14:paraId="6FC350B9" w14:textId="77777777" w:rsidTr="00A50990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6FC350B8" w14:textId="77777777" w:rsidR="00347247" w:rsidRPr="008E640D" w:rsidRDefault="00347247" w:rsidP="00347247">
            <w:pPr>
              <w:jc w:val="center"/>
              <w:rPr>
                <w:rFonts w:cs="Arial"/>
                <w:b/>
                <w:color w:val="FF0000"/>
                <w:szCs w:val="16"/>
              </w:rPr>
            </w:pPr>
            <w:r w:rsidRPr="00076FF3">
              <w:rPr>
                <w:rFonts w:cs="Arial"/>
                <w:b/>
                <w:color w:val="FFFFFF" w:themeColor="background1"/>
                <w:sz w:val="20"/>
                <w:szCs w:val="16"/>
              </w:rPr>
              <w:t>Section 6: Additional information relevant to the proposed service change</w:t>
            </w:r>
          </w:p>
        </w:tc>
      </w:tr>
      <w:tr w:rsidR="00347247" w:rsidRPr="00683A0C" w14:paraId="6FC350C4" w14:textId="77777777" w:rsidTr="00CD007F">
        <w:tc>
          <w:tcPr>
            <w:tcW w:w="5000" w:type="pct"/>
            <w:gridSpan w:val="2"/>
            <w:shd w:val="clear" w:color="auto" w:fill="auto"/>
          </w:tcPr>
          <w:p w14:paraId="6E832E1A" w14:textId="289F575C" w:rsidR="00C52262" w:rsidRDefault="00897C2D" w:rsidP="00C76607">
            <w:pPr>
              <w:pStyle w:val="Normal2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PIS phase to support Mod728B </w:t>
            </w:r>
            <w:r w:rsidR="00156AFF">
              <w:rPr>
                <w:rFonts w:asciiTheme="majorHAnsi" w:hAnsiTheme="majorHAnsi" w:cstheme="majorHAnsi"/>
                <w:sz w:val="20"/>
                <w:szCs w:val="20"/>
              </w:rPr>
              <w:t xml:space="preserve">extends to December to ensure that sufficient support is in place to cover first usage of requirements. </w:t>
            </w:r>
          </w:p>
          <w:p w14:paraId="15E464D4" w14:textId="1C8531F1" w:rsidR="00C76607" w:rsidRPr="00095925" w:rsidRDefault="00C76607" w:rsidP="00C76607">
            <w:pPr>
              <w:pStyle w:val="Normal2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95925">
              <w:rPr>
                <w:rFonts w:asciiTheme="majorHAnsi" w:hAnsiTheme="majorHAnsi" w:cstheme="majorHAnsi"/>
                <w:sz w:val="20"/>
                <w:szCs w:val="20"/>
              </w:rPr>
              <w:t xml:space="preserve">Availability of sufficient </w:t>
            </w:r>
            <w:r w:rsidR="006400F2">
              <w:rPr>
                <w:rFonts w:asciiTheme="majorHAnsi" w:hAnsiTheme="majorHAnsi" w:cstheme="majorHAnsi"/>
                <w:sz w:val="20"/>
                <w:szCs w:val="20"/>
              </w:rPr>
              <w:t xml:space="preserve">and </w:t>
            </w:r>
            <w:r w:rsidRPr="00095925">
              <w:rPr>
                <w:rFonts w:asciiTheme="majorHAnsi" w:hAnsiTheme="majorHAnsi" w:cstheme="majorHAnsi"/>
                <w:sz w:val="20"/>
                <w:szCs w:val="20"/>
              </w:rPr>
              <w:t>suitably skilled National Grid resources to provide support throughout the project lifecycle</w:t>
            </w:r>
            <w:r w:rsidR="006400F2">
              <w:rPr>
                <w:rFonts w:asciiTheme="majorHAnsi" w:hAnsiTheme="majorHAnsi" w:cstheme="majorHAnsi"/>
                <w:sz w:val="20"/>
                <w:szCs w:val="20"/>
              </w:rPr>
              <w:t xml:space="preserve"> is essential to ensure successful delivery. </w:t>
            </w:r>
          </w:p>
          <w:p w14:paraId="157F4C09" w14:textId="1378C209" w:rsidR="00C34B92" w:rsidRPr="00095925" w:rsidRDefault="00C76607" w:rsidP="00C34B92">
            <w:pPr>
              <w:pStyle w:val="Normal2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95925">
              <w:rPr>
                <w:rFonts w:asciiTheme="majorHAnsi" w:hAnsiTheme="majorHAnsi" w:cstheme="majorHAnsi"/>
                <w:sz w:val="20"/>
                <w:szCs w:val="20"/>
              </w:rPr>
              <w:t>Availability of sufficient</w:t>
            </w:r>
            <w:r w:rsidR="00CD34CE">
              <w:rPr>
                <w:rFonts w:asciiTheme="majorHAnsi" w:hAnsiTheme="majorHAnsi" w:cstheme="majorHAnsi"/>
                <w:sz w:val="20"/>
                <w:szCs w:val="20"/>
              </w:rPr>
              <w:t xml:space="preserve"> and</w:t>
            </w:r>
            <w:r w:rsidRPr="00095925">
              <w:rPr>
                <w:rFonts w:asciiTheme="majorHAnsi" w:hAnsiTheme="majorHAnsi" w:cstheme="majorHAnsi"/>
                <w:sz w:val="20"/>
                <w:szCs w:val="20"/>
              </w:rPr>
              <w:t xml:space="preserve"> suitably scaled development and testing environments</w:t>
            </w:r>
            <w:r w:rsidR="00CD34CE">
              <w:rPr>
                <w:rFonts w:asciiTheme="majorHAnsi" w:hAnsiTheme="majorHAnsi" w:cstheme="majorHAnsi"/>
                <w:sz w:val="20"/>
                <w:szCs w:val="20"/>
              </w:rPr>
              <w:t xml:space="preserve"> is required throughout the delivery phases</w:t>
            </w:r>
            <w:r w:rsidRPr="00095925">
              <w:rPr>
                <w:rFonts w:asciiTheme="majorHAnsi" w:hAnsiTheme="majorHAnsi" w:cstheme="majorHAnsi"/>
                <w:sz w:val="20"/>
                <w:szCs w:val="20"/>
              </w:rPr>
              <w:t>. Relative priorities will need to be agreed with other projects if and when there are areas of conflict.</w:t>
            </w:r>
          </w:p>
          <w:p w14:paraId="6FC350C3" w14:textId="35A86AEB" w:rsidR="00347247" w:rsidRPr="00BD43B5" w:rsidRDefault="00F21303" w:rsidP="00BD43B5">
            <w:pPr>
              <w:pStyle w:val="Normal2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It is anticipated that an extended system outage on the planned implementation date will not be required. </w:t>
            </w:r>
          </w:p>
        </w:tc>
      </w:tr>
    </w:tbl>
    <w:p w14:paraId="6FC350C5" w14:textId="77777777" w:rsidR="001A6BF4" w:rsidRDefault="001A6BF4" w:rsidP="004C7637">
      <w:pPr>
        <w:pStyle w:val="XoParagraph"/>
        <w:rPr>
          <w:rFonts w:cs="Arial"/>
          <w:b/>
          <w:sz w:val="22"/>
          <w:szCs w:val="22"/>
        </w:rPr>
      </w:pPr>
    </w:p>
    <w:p w14:paraId="6FC350C6" w14:textId="77777777" w:rsidR="001A6BF4" w:rsidRPr="001A6BF4" w:rsidRDefault="004C7637" w:rsidP="004C7637">
      <w:pPr>
        <w:pStyle w:val="XoParagraph"/>
        <w:rPr>
          <w:rFonts w:cs="Arial"/>
          <w:b/>
          <w:sz w:val="22"/>
          <w:szCs w:val="22"/>
        </w:rPr>
      </w:pPr>
      <w:r w:rsidRPr="00066121">
        <w:rPr>
          <w:rFonts w:cs="Arial"/>
          <w:b/>
          <w:sz w:val="22"/>
          <w:szCs w:val="22"/>
        </w:rPr>
        <w:t xml:space="preserve">Please send </w:t>
      </w:r>
      <w:r w:rsidR="00AA0387">
        <w:rPr>
          <w:rFonts w:cs="Arial"/>
          <w:b/>
          <w:sz w:val="22"/>
          <w:szCs w:val="22"/>
        </w:rPr>
        <w:t>completed form</w:t>
      </w:r>
      <w:r>
        <w:rPr>
          <w:rFonts w:cs="Arial"/>
          <w:b/>
          <w:sz w:val="22"/>
          <w:szCs w:val="22"/>
        </w:rPr>
        <w:t xml:space="preserve"> </w:t>
      </w:r>
      <w:r w:rsidRPr="00066121">
        <w:rPr>
          <w:rFonts w:cs="Arial"/>
          <w:b/>
          <w:sz w:val="22"/>
          <w:szCs w:val="22"/>
        </w:rPr>
        <w:t>to:</w:t>
      </w:r>
      <w:r>
        <w:rPr>
          <w:rFonts w:cs="Arial"/>
          <w:b/>
          <w:sz w:val="22"/>
          <w:szCs w:val="22"/>
        </w:rPr>
        <w:t xml:space="preserve"> </w:t>
      </w:r>
      <w:hyperlink r:id="rId14" w:history="1">
        <w:r w:rsidR="002C4795" w:rsidRPr="006A2A48">
          <w:rPr>
            <w:rStyle w:val="Hyperlink"/>
            <w:rFonts w:cs="Arial"/>
            <w:b/>
            <w:sz w:val="22"/>
            <w:szCs w:val="22"/>
          </w:rPr>
          <w:t>box.xoserve.portfoliooffice@xoserve.com</w:t>
        </w:r>
      </w:hyperlink>
    </w:p>
    <w:p w14:paraId="6FC350C7" w14:textId="77777777" w:rsidR="004C7637" w:rsidRPr="00CD007F" w:rsidRDefault="005F5F70" w:rsidP="004C7637">
      <w:pPr>
        <w:pStyle w:val="XoParagraph"/>
        <w:rPr>
          <w:b/>
        </w:rPr>
      </w:pPr>
      <w:r w:rsidRPr="00CD007F">
        <w:rPr>
          <w:b/>
        </w:rPr>
        <w:t>Document</w:t>
      </w:r>
      <w:r w:rsidR="006D11D3" w:rsidRPr="00CD007F">
        <w:rPr>
          <w:b/>
        </w:rPr>
        <w:t xml:space="preserve"> </w:t>
      </w:r>
      <w:r w:rsidR="004C7637" w:rsidRPr="00CD007F">
        <w:rPr>
          <w:b/>
        </w:rPr>
        <w:t>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4C7637" w:rsidRPr="00762849" w14:paraId="6FC350CD" w14:textId="77777777" w:rsidTr="00940D3C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6FC350C8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6FC350C9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6FC350CA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FC350CB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6FC350CC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4C7637" w:rsidRPr="007B4360" w14:paraId="6FC350D3" w14:textId="77777777" w:rsidTr="00940D3C">
        <w:tc>
          <w:tcPr>
            <w:tcW w:w="902" w:type="pct"/>
          </w:tcPr>
          <w:p w14:paraId="6FC350CE" w14:textId="5C6B232D" w:rsidR="004C7637" w:rsidRPr="007B4360" w:rsidRDefault="00F21303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6FC350CF" w14:textId="4C28AC11" w:rsidR="004C7637" w:rsidRPr="007B4360" w:rsidRDefault="00F21303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</w:t>
            </w:r>
          </w:p>
        </w:tc>
        <w:tc>
          <w:tcPr>
            <w:tcW w:w="556" w:type="pct"/>
          </w:tcPr>
          <w:p w14:paraId="6FC350D0" w14:textId="375C26A6" w:rsidR="004C7637" w:rsidRPr="007B4360" w:rsidRDefault="00F21303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27/05/21</w:t>
            </w:r>
          </w:p>
        </w:tc>
        <w:tc>
          <w:tcPr>
            <w:tcW w:w="763" w:type="pct"/>
          </w:tcPr>
          <w:p w14:paraId="6FC350D1" w14:textId="5B7EEBC1" w:rsidR="004C7637" w:rsidRPr="007B4360" w:rsidRDefault="00F21303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Addison</w:t>
            </w:r>
          </w:p>
        </w:tc>
        <w:tc>
          <w:tcPr>
            <w:tcW w:w="1944" w:type="pct"/>
          </w:tcPr>
          <w:p w14:paraId="6FC350D2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0901" w:rsidRPr="00C80901" w14:paraId="43E59104" w14:textId="77777777" w:rsidTr="00940D3C">
        <w:tc>
          <w:tcPr>
            <w:tcW w:w="902" w:type="pct"/>
          </w:tcPr>
          <w:p w14:paraId="272270E5" w14:textId="50511BA8" w:rsidR="00C80901" w:rsidRPr="00C80901" w:rsidRDefault="00C80901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C80901">
              <w:rPr>
                <w:rFonts w:cs="Arial"/>
                <w:sz w:val="20"/>
                <w:szCs w:val="20"/>
              </w:rPr>
              <w:t>0.2</w:t>
            </w:r>
          </w:p>
        </w:tc>
        <w:tc>
          <w:tcPr>
            <w:tcW w:w="835" w:type="pct"/>
          </w:tcPr>
          <w:p w14:paraId="6F51D482" w14:textId="621DC90D" w:rsidR="00C80901" w:rsidRPr="00C80901" w:rsidRDefault="00C80901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C80901">
              <w:rPr>
                <w:rFonts w:cs="Arial"/>
                <w:sz w:val="20"/>
                <w:szCs w:val="20"/>
              </w:rPr>
              <w:t>Draft</w:t>
            </w:r>
          </w:p>
        </w:tc>
        <w:tc>
          <w:tcPr>
            <w:tcW w:w="556" w:type="pct"/>
          </w:tcPr>
          <w:p w14:paraId="31527ED5" w14:textId="4E3FB9C8" w:rsidR="00C80901" w:rsidRPr="00C80901" w:rsidRDefault="00C80901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C80901">
              <w:rPr>
                <w:rFonts w:cs="Arial"/>
                <w:sz w:val="20"/>
                <w:szCs w:val="20"/>
              </w:rPr>
              <w:t>24/06/21</w:t>
            </w:r>
          </w:p>
        </w:tc>
        <w:tc>
          <w:tcPr>
            <w:tcW w:w="763" w:type="pct"/>
          </w:tcPr>
          <w:p w14:paraId="44D871BE" w14:textId="6746FBAF" w:rsidR="00C80901" w:rsidRPr="00C80901" w:rsidRDefault="00C80901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C80901">
              <w:rPr>
                <w:rFonts w:cs="Arial"/>
                <w:sz w:val="20"/>
                <w:szCs w:val="20"/>
              </w:rPr>
              <w:t>Rachel Addison</w:t>
            </w:r>
          </w:p>
        </w:tc>
        <w:tc>
          <w:tcPr>
            <w:tcW w:w="1944" w:type="pct"/>
          </w:tcPr>
          <w:p w14:paraId="3E9060FD" w14:textId="77777777" w:rsidR="00C80901" w:rsidRPr="00C80901" w:rsidRDefault="00C80901" w:rsidP="00940D3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FC350D4" w14:textId="77777777" w:rsidR="004C7637" w:rsidRPr="00883321" w:rsidRDefault="004C7637" w:rsidP="004C7637">
      <w:pPr>
        <w:pStyle w:val="XoParagraph"/>
      </w:pPr>
    </w:p>
    <w:p w14:paraId="6FC350D5" w14:textId="77777777" w:rsidR="004C7637" w:rsidRPr="00CD007F" w:rsidRDefault="004C7637" w:rsidP="004C7637">
      <w:pPr>
        <w:pStyle w:val="XoParagraph"/>
        <w:rPr>
          <w:b/>
        </w:rPr>
      </w:pPr>
      <w:r w:rsidRPr="00CD007F">
        <w:rPr>
          <w:b/>
        </w:rPr>
        <w:t>Template Version History</w:t>
      </w:r>
    </w:p>
    <w:tbl>
      <w:tblPr>
        <w:tblStyle w:val="TableGrid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4C7637" w:rsidRPr="00762849" w14:paraId="6FC350DB" w14:textId="77777777" w:rsidTr="001A2319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FC350D6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FC350D7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FC350D8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FC350D9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FC350DA" w14:textId="77777777" w:rsidR="004C7637" w:rsidRPr="007B4360" w:rsidRDefault="004C7637" w:rsidP="00940D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360">
              <w:rPr>
                <w:rFonts w:ascii="Arial" w:hAnsi="Arial" w:cs="Arial"/>
                <w:b/>
                <w:sz w:val="20"/>
                <w:szCs w:val="20"/>
              </w:rPr>
              <w:t>Summary of Changes</w:t>
            </w:r>
          </w:p>
        </w:tc>
      </w:tr>
      <w:tr w:rsidR="001A2319" w:rsidRPr="00762849" w14:paraId="6FC350E1" w14:textId="77777777" w:rsidTr="001A2319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6FC350DC" w14:textId="77777777" w:rsidR="001A2319" w:rsidRPr="007F6BEA" w:rsidRDefault="00E367FA" w:rsidP="00940D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6FC350DD" w14:textId="77777777" w:rsidR="001A2319" w:rsidRPr="007F6BEA" w:rsidRDefault="00E367FA" w:rsidP="0025469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6FC350DE" w14:textId="77777777" w:rsidR="001A2319" w:rsidRPr="007F6BEA" w:rsidRDefault="00E367FA" w:rsidP="00940D3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6FC350DF" w14:textId="77777777" w:rsidR="001A2319" w:rsidRPr="007F6BEA" w:rsidRDefault="007F6BEA" w:rsidP="00940D3C">
            <w:pPr>
              <w:jc w:val="center"/>
              <w:rPr>
                <w:rFonts w:cs="Arial"/>
                <w:sz w:val="20"/>
                <w:szCs w:val="20"/>
              </w:rPr>
            </w:pPr>
            <w:r w:rsidRPr="007F6BEA">
              <w:rPr>
                <w:rFonts w:cs="Arial"/>
                <w:sz w:val="20"/>
                <w:szCs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FC350E0" w14:textId="77777777" w:rsidR="001A2319" w:rsidRPr="007F6BEA" w:rsidRDefault="00E367FA" w:rsidP="00CD007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Template approved at ChMC on 11</w:t>
            </w:r>
            <w:r w:rsidRPr="00E367FA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July</w:t>
            </w:r>
          </w:p>
        </w:tc>
      </w:tr>
    </w:tbl>
    <w:p w14:paraId="6FC350E2" w14:textId="77777777" w:rsidR="005353CC" w:rsidRDefault="005353CC" w:rsidP="00562856">
      <w:pPr>
        <w:pStyle w:val="XoParagraph"/>
      </w:pPr>
    </w:p>
    <w:sectPr w:rsidR="005353CC" w:rsidSect="00883321">
      <w:headerReference w:type="even" r:id="rId15"/>
      <w:head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0DB10" w14:textId="77777777" w:rsidR="00C52E4F" w:rsidRDefault="00C52E4F" w:rsidP="00913EF2">
      <w:pPr>
        <w:spacing w:after="0" w:line="240" w:lineRule="auto"/>
      </w:pPr>
      <w:r>
        <w:separator/>
      </w:r>
    </w:p>
  </w:endnote>
  <w:endnote w:type="continuationSeparator" w:id="0">
    <w:p w14:paraId="0D117333" w14:textId="77777777" w:rsidR="00C52E4F" w:rsidRDefault="00C52E4F" w:rsidP="0091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50EC" w14:textId="77777777" w:rsidR="007A6EEB" w:rsidRDefault="00E367FA">
    <w:pPr>
      <w:pStyle w:val="Footer"/>
    </w:pPr>
    <w:r>
      <w:t>Approvedv2.0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4A4F1" w14:textId="77777777" w:rsidR="00C52E4F" w:rsidRDefault="00C52E4F" w:rsidP="00913EF2">
      <w:pPr>
        <w:spacing w:after="0" w:line="240" w:lineRule="auto"/>
      </w:pPr>
      <w:r>
        <w:separator/>
      </w:r>
    </w:p>
  </w:footnote>
  <w:footnote w:type="continuationSeparator" w:id="0">
    <w:p w14:paraId="75375EA4" w14:textId="77777777" w:rsidR="00C52E4F" w:rsidRDefault="00C52E4F" w:rsidP="0091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50E9" w14:textId="77777777" w:rsidR="003C63DC" w:rsidRDefault="009450A8">
    <w:pPr>
      <w:pStyle w:val="Header"/>
    </w:pPr>
    <w:r>
      <w:rPr>
        <w:noProof/>
        <w:lang w:eastAsia="en-GB"/>
      </w:rPr>
      <w:pict w14:anchorId="6FC350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0" o:spid="_x0000_s2051" type="#_x0000_t75" alt="wordtemplatebg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50EA" w14:textId="77777777" w:rsidR="003C63DC" w:rsidRDefault="009450A8">
    <w:pPr>
      <w:pStyle w:val="Header"/>
    </w:pPr>
    <w:r>
      <w:rPr>
        <w:noProof/>
        <w:lang w:eastAsia="en-GB"/>
      </w:rPr>
      <w:pict w14:anchorId="6FC350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91" o:spid="_x0000_s2050" type="#_x0000_t75" alt="wordtemplateb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350EB" w14:textId="77777777" w:rsidR="003C63DC" w:rsidRDefault="009450A8">
    <w:pPr>
      <w:pStyle w:val="Header"/>
    </w:pPr>
    <w:r>
      <w:rPr>
        <w:noProof/>
        <w:lang w:eastAsia="en-GB"/>
      </w:rPr>
      <w:pict w14:anchorId="6FC35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13089" o:spid="_x0000_s2049" type="#_x0000_t75" alt="wordtemplatebg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template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71B4"/>
    <w:multiLevelType w:val="hybridMultilevel"/>
    <w:tmpl w:val="CB2AA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187E"/>
    <w:multiLevelType w:val="hybridMultilevel"/>
    <w:tmpl w:val="9D5A0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04AD2"/>
    <w:multiLevelType w:val="hybridMultilevel"/>
    <w:tmpl w:val="4474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7EF1"/>
    <w:multiLevelType w:val="hybridMultilevel"/>
    <w:tmpl w:val="7C84326A"/>
    <w:lvl w:ilvl="0" w:tplc="735C2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215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DC48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666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AAE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E2B5D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9475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E4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3052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F587BDC"/>
    <w:multiLevelType w:val="hybridMultilevel"/>
    <w:tmpl w:val="5B6C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F05AB"/>
    <w:multiLevelType w:val="hybridMultilevel"/>
    <w:tmpl w:val="20249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63969"/>
    <w:multiLevelType w:val="hybridMultilevel"/>
    <w:tmpl w:val="DA78C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C72B9"/>
    <w:multiLevelType w:val="hybridMultilevel"/>
    <w:tmpl w:val="0A62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A4939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F071B"/>
    <w:multiLevelType w:val="hybridMultilevel"/>
    <w:tmpl w:val="A77A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130E"/>
    <w:multiLevelType w:val="hybridMultilevel"/>
    <w:tmpl w:val="1B7C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86465"/>
    <w:multiLevelType w:val="hybridMultilevel"/>
    <w:tmpl w:val="845AE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A78B2"/>
    <w:multiLevelType w:val="hybridMultilevel"/>
    <w:tmpl w:val="0AE2B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95901"/>
    <w:multiLevelType w:val="hybridMultilevel"/>
    <w:tmpl w:val="89D4F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2345E"/>
    <w:multiLevelType w:val="hybridMultilevel"/>
    <w:tmpl w:val="67E42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A13AA0"/>
    <w:multiLevelType w:val="hybridMultilevel"/>
    <w:tmpl w:val="7506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5"/>
  </w:num>
  <w:num w:numId="8">
    <w:abstractNumId w:val="12"/>
  </w:num>
  <w:num w:numId="9">
    <w:abstractNumId w:val="13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1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EF2"/>
    <w:rsid w:val="00007329"/>
    <w:rsid w:val="00010467"/>
    <w:rsid w:val="00022BF0"/>
    <w:rsid w:val="00041C2D"/>
    <w:rsid w:val="000615F3"/>
    <w:rsid w:val="000639D9"/>
    <w:rsid w:val="00066BCA"/>
    <w:rsid w:val="0007393C"/>
    <w:rsid w:val="00076FF3"/>
    <w:rsid w:val="00084757"/>
    <w:rsid w:val="00093D9D"/>
    <w:rsid w:val="00095925"/>
    <w:rsid w:val="000A2BDC"/>
    <w:rsid w:val="000B0E12"/>
    <w:rsid w:val="000B6CA7"/>
    <w:rsid w:val="000C79EE"/>
    <w:rsid w:val="000D61D5"/>
    <w:rsid w:val="000D66D3"/>
    <w:rsid w:val="000E3D49"/>
    <w:rsid w:val="00103242"/>
    <w:rsid w:val="001108EA"/>
    <w:rsid w:val="001153D0"/>
    <w:rsid w:val="001232E4"/>
    <w:rsid w:val="00130D81"/>
    <w:rsid w:val="00131C22"/>
    <w:rsid w:val="001428A1"/>
    <w:rsid w:val="001454C2"/>
    <w:rsid w:val="00145992"/>
    <w:rsid w:val="00146769"/>
    <w:rsid w:val="00156AFF"/>
    <w:rsid w:val="00160739"/>
    <w:rsid w:val="00163A82"/>
    <w:rsid w:val="0017365C"/>
    <w:rsid w:val="00177285"/>
    <w:rsid w:val="00186FB8"/>
    <w:rsid w:val="00192B0D"/>
    <w:rsid w:val="00196390"/>
    <w:rsid w:val="001A2319"/>
    <w:rsid w:val="001A6BF4"/>
    <w:rsid w:val="001B6200"/>
    <w:rsid w:val="001F2D7D"/>
    <w:rsid w:val="001F565C"/>
    <w:rsid w:val="00203626"/>
    <w:rsid w:val="00211E96"/>
    <w:rsid w:val="00214089"/>
    <w:rsid w:val="00220242"/>
    <w:rsid w:val="002260EF"/>
    <w:rsid w:val="002421A6"/>
    <w:rsid w:val="002427E0"/>
    <w:rsid w:val="00254699"/>
    <w:rsid w:val="0025525A"/>
    <w:rsid w:val="00283970"/>
    <w:rsid w:val="002847FA"/>
    <w:rsid w:val="00291006"/>
    <w:rsid w:val="00296068"/>
    <w:rsid w:val="002A0DCD"/>
    <w:rsid w:val="002B5CD2"/>
    <w:rsid w:val="002C29F9"/>
    <w:rsid w:val="002C4795"/>
    <w:rsid w:val="002D23D5"/>
    <w:rsid w:val="002D3E4A"/>
    <w:rsid w:val="002E1F89"/>
    <w:rsid w:val="002E2C40"/>
    <w:rsid w:val="003008B1"/>
    <w:rsid w:val="00301982"/>
    <w:rsid w:val="003160F7"/>
    <w:rsid w:val="00347247"/>
    <w:rsid w:val="003612A8"/>
    <w:rsid w:val="00371129"/>
    <w:rsid w:val="003754AC"/>
    <w:rsid w:val="00375DD3"/>
    <w:rsid w:val="003B40D3"/>
    <w:rsid w:val="003C2945"/>
    <w:rsid w:val="003C3FD8"/>
    <w:rsid w:val="003C52B2"/>
    <w:rsid w:val="003C63DC"/>
    <w:rsid w:val="003D0C73"/>
    <w:rsid w:val="003D4B81"/>
    <w:rsid w:val="003F287F"/>
    <w:rsid w:val="003F3AC1"/>
    <w:rsid w:val="00401C51"/>
    <w:rsid w:val="00403557"/>
    <w:rsid w:val="00410E09"/>
    <w:rsid w:val="00427622"/>
    <w:rsid w:val="004472B5"/>
    <w:rsid w:val="00456196"/>
    <w:rsid w:val="00487297"/>
    <w:rsid w:val="004935D2"/>
    <w:rsid w:val="004A270D"/>
    <w:rsid w:val="004B2B81"/>
    <w:rsid w:val="004B36CC"/>
    <w:rsid w:val="004B4E3A"/>
    <w:rsid w:val="004C7637"/>
    <w:rsid w:val="004E7EC9"/>
    <w:rsid w:val="004F2636"/>
    <w:rsid w:val="004F5B68"/>
    <w:rsid w:val="00501234"/>
    <w:rsid w:val="00506E63"/>
    <w:rsid w:val="00523C15"/>
    <w:rsid w:val="00527E16"/>
    <w:rsid w:val="00530351"/>
    <w:rsid w:val="005305EA"/>
    <w:rsid w:val="005353CC"/>
    <w:rsid w:val="005433F6"/>
    <w:rsid w:val="005448E9"/>
    <w:rsid w:val="00562856"/>
    <w:rsid w:val="00563BFB"/>
    <w:rsid w:val="0056593D"/>
    <w:rsid w:val="00567794"/>
    <w:rsid w:val="005718CB"/>
    <w:rsid w:val="0058098F"/>
    <w:rsid w:val="00590A4B"/>
    <w:rsid w:val="00593746"/>
    <w:rsid w:val="00596ACB"/>
    <w:rsid w:val="005A3259"/>
    <w:rsid w:val="005A5F84"/>
    <w:rsid w:val="005C41C0"/>
    <w:rsid w:val="005D1539"/>
    <w:rsid w:val="005D3A53"/>
    <w:rsid w:val="005D6962"/>
    <w:rsid w:val="005E045C"/>
    <w:rsid w:val="005E1096"/>
    <w:rsid w:val="005E2131"/>
    <w:rsid w:val="005F0151"/>
    <w:rsid w:val="005F0DDF"/>
    <w:rsid w:val="005F2879"/>
    <w:rsid w:val="005F2C1E"/>
    <w:rsid w:val="005F5F70"/>
    <w:rsid w:val="00611C25"/>
    <w:rsid w:val="00620349"/>
    <w:rsid w:val="006400F2"/>
    <w:rsid w:val="006523DE"/>
    <w:rsid w:val="006550CC"/>
    <w:rsid w:val="00660DF3"/>
    <w:rsid w:val="00671608"/>
    <w:rsid w:val="00694E1F"/>
    <w:rsid w:val="006A16CB"/>
    <w:rsid w:val="006A724E"/>
    <w:rsid w:val="006C532A"/>
    <w:rsid w:val="006D11D3"/>
    <w:rsid w:val="006D61E0"/>
    <w:rsid w:val="006E4337"/>
    <w:rsid w:val="006F6DC7"/>
    <w:rsid w:val="00703D81"/>
    <w:rsid w:val="00703E45"/>
    <w:rsid w:val="00713EB3"/>
    <w:rsid w:val="00727F20"/>
    <w:rsid w:val="00731ACB"/>
    <w:rsid w:val="0074372D"/>
    <w:rsid w:val="007540E3"/>
    <w:rsid w:val="00762D35"/>
    <w:rsid w:val="00763AA0"/>
    <w:rsid w:val="007A6EEB"/>
    <w:rsid w:val="007B4360"/>
    <w:rsid w:val="007C566B"/>
    <w:rsid w:val="007C5A34"/>
    <w:rsid w:val="007D7EAF"/>
    <w:rsid w:val="007E3C6E"/>
    <w:rsid w:val="007F0246"/>
    <w:rsid w:val="007F2ACD"/>
    <w:rsid w:val="007F6BEA"/>
    <w:rsid w:val="007F7EAD"/>
    <w:rsid w:val="00806563"/>
    <w:rsid w:val="00810F55"/>
    <w:rsid w:val="0081400D"/>
    <w:rsid w:val="0081575C"/>
    <w:rsid w:val="00816C17"/>
    <w:rsid w:val="00834C17"/>
    <w:rsid w:val="0087725D"/>
    <w:rsid w:val="00877501"/>
    <w:rsid w:val="00883321"/>
    <w:rsid w:val="0088627E"/>
    <w:rsid w:val="00897C2D"/>
    <w:rsid w:val="008A123A"/>
    <w:rsid w:val="008C203E"/>
    <w:rsid w:val="008D217D"/>
    <w:rsid w:val="008E3A3A"/>
    <w:rsid w:val="008E3C5F"/>
    <w:rsid w:val="008E3FB0"/>
    <w:rsid w:val="008E59E9"/>
    <w:rsid w:val="008E640D"/>
    <w:rsid w:val="00913EF2"/>
    <w:rsid w:val="009450A8"/>
    <w:rsid w:val="00961FB0"/>
    <w:rsid w:val="00987281"/>
    <w:rsid w:val="00994BB9"/>
    <w:rsid w:val="009A5E31"/>
    <w:rsid w:val="009A7C29"/>
    <w:rsid w:val="009B0C30"/>
    <w:rsid w:val="009B5657"/>
    <w:rsid w:val="009C272A"/>
    <w:rsid w:val="009C2FA4"/>
    <w:rsid w:val="009D0DF1"/>
    <w:rsid w:val="009E60B9"/>
    <w:rsid w:val="009F5FCD"/>
    <w:rsid w:val="009F7B93"/>
    <w:rsid w:val="00A066D0"/>
    <w:rsid w:val="00A1080B"/>
    <w:rsid w:val="00A11240"/>
    <w:rsid w:val="00A20C75"/>
    <w:rsid w:val="00A302F8"/>
    <w:rsid w:val="00A35756"/>
    <w:rsid w:val="00A43C49"/>
    <w:rsid w:val="00A50990"/>
    <w:rsid w:val="00A74C4A"/>
    <w:rsid w:val="00A872C0"/>
    <w:rsid w:val="00A9117A"/>
    <w:rsid w:val="00A92E78"/>
    <w:rsid w:val="00A95022"/>
    <w:rsid w:val="00AA0387"/>
    <w:rsid w:val="00AA1CD8"/>
    <w:rsid w:val="00AA7058"/>
    <w:rsid w:val="00AB5E43"/>
    <w:rsid w:val="00AC1489"/>
    <w:rsid w:val="00AC1AA5"/>
    <w:rsid w:val="00AC2008"/>
    <w:rsid w:val="00AC5A48"/>
    <w:rsid w:val="00AC6F36"/>
    <w:rsid w:val="00AD6B73"/>
    <w:rsid w:val="00AF2238"/>
    <w:rsid w:val="00AF37F5"/>
    <w:rsid w:val="00B00403"/>
    <w:rsid w:val="00B0601D"/>
    <w:rsid w:val="00B10D89"/>
    <w:rsid w:val="00B11A47"/>
    <w:rsid w:val="00B26519"/>
    <w:rsid w:val="00B55807"/>
    <w:rsid w:val="00B56B1A"/>
    <w:rsid w:val="00B64FB1"/>
    <w:rsid w:val="00B72A9D"/>
    <w:rsid w:val="00B80C82"/>
    <w:rsid w:val="00B85DA9"/>
    <w:rsid w:val="00B864E2"/>
    <w:rsid w:val="00BB5A00"/>
    <w:rsid w:val="00BC0814"/>
    <w:rsid w:val="00BC637F"/>
    <w:rsid w:val="00BC7EE9"/>
    <w:rsid w:val="00BD43B5"/>
    <w:rsid w:val="00BD541D"/>
    <w:rsid w:val="00BD6B6E"/>
    <w:rsid w:val="00BE7CAE"/>
    <w:rsid w:val="00BE7CCF"/>
    <w:rsid w:val="00C07FCB"/>
    <w:rsid w:val="00C15E8B"/>
    <w:rsid w:val="00C16F7C"/>
    <w:rsid w:val="00C20F86"/>
    <w:rsid w:val="00C263C7"/>
    <w:rsid w:val="00C27A17"/>
    <w:rsid w:val="00C34B92"/>
    <w:rsid w:val="00C34C4F"/>
    <w:rsid w:val="00C51D0F"/>
    <w:rsid w:val="00C52262"/>
    <w:rsid w:val="00C52E4F"/>
    <w:rsid w:val="00C54F00"/>
    <w:rsid w:val="00C76607"/>
    <w:rsid w:val="00C80901"/>
    <w:rsid w:val="00C83168"/>
    <w:rsid w:val="00C90516"/>
    <w:rsid w:val="00CA564E"/>
    <w:rsid w:val="00CC0633"/>
    <w:rsid w:val="00CC7B4E"/>
    <w:rsid w:val="00CD007F"/>
    <w:rsid w:val="00CD34CE"/>
    <w:rsid w:val="00CD60CF"/>
    <w:rsid w:val="00CE0F42"/>
    <w:rsid w:val="00CE10FE"/>
    <w:rsid w:val="00CE55B4"/>
    <w:rsid w:val="00CE69A7"/>
    <w:rsid w:val="00CF07AD"/>
    <w:rsid w:val="00D0145E"/>
    <w:rsid w:val="00D22D52"/>
    <w:rsid w:val="00D44409"/>
    <w:rsid w:val="00D50E9A"/>
    <w:rsid w:val="00D5251C"/>
    <w:rsid w:val="00D5333F"/>
    <w:rsid w:val="00D63ED6"/>
    <w:rsid w:val="00D72A68"/>
    <w:rsid w:val="00D82754"/>
    <w:rsid w:val="00DA0737"/>
    <w:rsid w:val="00DC6912"/>
    <w:rsid w:val="00DD59C5"/>
    <w:rsid w:val="00DF50A6"/>
    <w:rsid w:val="00E05E5C"/>
    <w:rsid w:val="00E367FA"/>
    <w:rsid w:val="00E45364"/>
    <w:rsid w:val="00E469E0"/>
    <w:rsid w:val="00E50847"/>
    <w:rsid w:val="00E51D46"/>
    <w:rsid w:val="00E56B16"/>
    <w:rsid w:val="00E636BC"/>
    <w:rsid w:val="00E66DEA"/>
    <w:rsid w:val="00E71A4E"/>
    <w:rsid w:val="00E75376"/>
    <w:rsid w:val="00E97DE2"/>
    <w:rsid w:val="00EA2884"/>
    <w:rsid w:val="00EA3B18"/>
    <w:rsid w:val="00EB321C"/>
    <w:rsid w:val="00ED63F4"/>
    <w:rsid w:val="00EF5673"/>
    <w:rsid w:val="00EF5FD7"/>
    <w:rsid w:val="00F04F9E"/>
    <w:rsid w:val="00F05BA8"/>
    <w:rsid w:val="00F105D9"/>
    <w:rsid w:val="00F13926"/>
    <w:rsid w:val="00F14B73"/>
    <w:rsid w:val="00F17027"/>
    <w:rsid w:val="00F21303"/>
    <w:rsid w:val="00F374BC"/>
    <w:rsid w:val="00F42CA2"/>
    <w:rsid w:val="00F52A52"/>
    <w:rsid w:val="00F57E04"/>
    <w:rsid w:val="00F803F3"/>
    <w:rsid w:val="00F82688"/>
    <w:rsid w:val="00FC3EB7"/>
    <w:rsid w:val="00FD0737"/>
    <w:rsid w:val="00FD26AB"/>
    <w:rsid w:val="00FD5324"/>
    <w:rsid w:val="00FE051F"/>
    <w:rsid w:val="00FF3CF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C35069"/>
  <w15:docId w15:val="{87C25AB4-C085-4C0F-BF0C-9E218D4B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3">
    <w:name w:val="heading 3"/>
    <w:basedOn w:val="Normal"/>
    <w:link w:val="Heading3Char"/>
    <w:uiPriority w:val="9"/>
    <w:rsid w:val="00ED6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F2"/>
  </w:style>
  <w:style w:type="paragraph" w:styleId="Footer">
    <w:name w:val="footer"/>
    <w:basedOn w:val="Normal"/>
    <w:link w:val="FooterChar"/>
    <w:uiPriority w:val="99"/>
    <w:unhideWhenUsed/>
    <w:rsid w:val="00913E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F2"/>
  </w:style>
  <w:style w:type="paragraph" w:styleId="BalloonText">
    <w:name w:val="Balloon Text"/>
    <w:basedOn w:val="Normal"/>
    <w:link w:val="BalloonTextChar"/>
    <w:uiPriority w:val="99"/>
    <w:semiHidden/>
    <w:unhideWhenUsed/>
    <w:rsid w:val="00913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EF2"/>
    <w:rPr>
      <w:rFonts w:ascii="Tahoma" w:hAnsi="Tahoma" w:cs="Tahoma"/>
      <w:sz w:val="16"/>
      <w:szCs w:val="16"/>
    </w:rPr>
  </w:style>
  <w:style w:type="paragraph" w:customStyle="1" w:styleId="XoHeading">
    <w:name w:val="Xo Heading"/>
    <w:basedOn w:val="Normal"/>
    <w:link w:val="XoHeadingChar"/>
    <w:qFormat/>
    <w:rsid w:val="00ED63F4"/>
    <w:rPr>
      <w:b/>
      <w:color w:val="3E5AA8" w:themeColor="accent1"/>
      <w:sz w:val="32"/>
      <w:u w:val="single"/>
    </w:rPr>
  </w:style>
  <w:style w:type="paragraph" w:customStyle="1" w:styleId="XoSubHeading">
    <w:name w:val="Xo Sub Heading"/>
    <w:basedOn w:val="Normal"/>
    <w:link w:val="XoSubHeadingChar"/>
    <w:qFormat/>
    <w:rsid w:val="00ED63F4"/>
    <w:rPr>
      <w:b/>
      <w:i/>
      <w:color w:val="3E5AA8" w:themeColor="accent1"/>
      <w:sz w:val="24"/>
      <w:lang w:eastAsia="en-GB"/>
    </w:rPr>
  </w:style>
  <w:style w:type="character" w:customStyle="1" w:styleId="XoHeadingChar">
    <w:name w:val="Xo Heading Char"/>
    <w:basedOn w:val="DefaultParagraphFont"/>
    <w:link w:val="XoHeading"/>
    <w:rsid w:val="00ED63F4"/>
    <w:rPr>
      <w:b/>
      <w:color w:val="3E5AA8" w:themeColor="accent1"/>
      <w:sz w:val="32"/>
      <w:u w:val="single"/>
    </w:rPr>
  </w:style>
  <w:style w:type="paragraph" w:customStyle="1" w:styleId="XoParagraph">
    <w:name w:val="Xo Paragraph"/>
    <w:basedOn w:val="Normal"/>
    <w:link w:val="XoParagraphChar"/>
    <w:qFormat/>
    <w:rsid w:val="00ED63F4"/>
    <w:rPr>
      <w:lang w:eastAsia="en-GB"/>
    </w:rPr>
  </w:style>
  <w:style w:type="character" w:customStyle="1" w:styleId="XoSubHeadingChar">
    <w:name w:val="Xo Sub Heading Char"/>
    <w:basedOn w:val="DefaultParagraphFont"/>
    <w:link w:val="XoSubHeading"/>
    <w:rsid w:val="00ED63F4"/>
    <w:rPr>
      <w:b/>
      <w:i/>
      <w:color w:val="3E5AA8" w:themeColor="accent1"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63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XoParagraphChar">
    <w:name w:val="Xo Paragraph Char"/>
    <w:basedOn w:val="DefaultParagraphFont"/>
    <w:link w:val="XoParagraph"/>
    <w:rsid w:val="00ED63F4"/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6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aliases w:val="Xo Intense Emphasis"/>
    <w:basedOn w:val="DefaultParagraphFont"/>
    <w:uiPriority w:val="21"/>
    <w:qFormat/>
    <w:rsid w:val="00C07FCB"/>
    <w:rPr>
      <w:b/>
      <w:bCs/>
      <w:i/>
      <w:iCs/>
      <w:color w:val="3E5AA8" w:themeColor="accent1"/>
    </w:rPr>
  </w:style>
  <w:style w:type="table" w:styleId="TableGrid">
    <w:name w:val="Table Grid"/>
    <w:basedOn w:val="TableNormal"/>
    <w:uiPriority w:val="59"/>
    <w:rsid w:val="006A724E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3A53"/>
    <w:rPr>
      <w:color w:val="D2232A" w:themeColor="hyperlink"/>
      <w:u w:val="single"/>
    </w:rPr>
  </w:style>
  <w:style w:type="paragraph" w:styleId="NoSpacing">
    <w:name w:val="No Spacing"/>
    <w:basedOn w:val="Normal"/>
    <w:uiPriority w:val="1"/>
    <w:qFormat/>
    <w:rsid w:val="005D3A53"/>
    <w:pPr>
      <w:spacing w:after="0" w:line="240" w:lineRule="auto"/>
    </w:pPr>
    <w:rPr>
      <w:rFonts w:asciiTheme="minorHAnsi" w:eastAsiaTheme="minorEastAsia" w:hAnsi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AC1A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F02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24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2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2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246"/>
    <w:rPr>
      <w:b/>
      <w:bCs/>
    </w:rPr>
  </w:style>
  <w:style w:type="paragraph" w:styleId="Revision">
    <w:name w:val="Revision"/>
    <w:hidden/>
    <w:uiPriority w:val="99"/>
    <w:semiHidden/>
    <w:rsid w:val="00F105D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13926"/>
    <w:rPr>
      <w:color w:val="9CCB3B" w:themeColor="followedHyperlink"/>
      <w:u w:val="single"/>
    </w:rPr>
  </w:style>
  <w:style w:type="paragraph" w:styleId="ListParagraph">
    <w:name w:val="List Paragraph"/>
    <w:aliases w:val="Figure_name,Equipment,Bullet list,List Paragraph1,Numbered Indented Text,Bullet 1,List Paragraph Char Char Char,List Paragraph Char Char,RFP SUB Points,Use Case List Paragraph,b1,Bullet for no #'s,Body Bullet,Alpha List Paragraph,List_TIS"/>
    <w:basedOn w:val="Normal"/>
    <w:link w:val="ListParagraphChar"/>
    <w:uiPriority w:val="34"/>
    <w:qFormat/>
    <w:rsid w:val="003160F7"/>
    <w:pPr>
      <w:ind w:left="720"/>
      <w:contextualSpacing/>
    </w:pPr>
  </w:style>
  <w:style w:type="character" w:customStyle="1" w:styleId="ilfuvd">
    <w:name w:val="ilfuvd"/>
    <w:basedOn w:val="DefaultParagraphFont"/>
    <w:rsid w:val="007F2ACD"/>
  </w:style>
  <w:style w:type="character" w:customStyle="1" w:styleId="Normal2Char">
    <w:name w:val="Normal 2 Char"/>
    <w:basedOn w:val="DefaultParagraphFont"/>
    <w:link w:val="Normal2"/>
    <w:locked/>
    <w:rsid w:val="00C76607"/>
    <w:rPr>
      <w:rFonts w:ascii="Tahoma" w:hAnsi="Tahoma" w:cs="Tahoma"/>
      <w:sz w:val="22"/>
    </w:rPr>
  </w:style>
  <w:style w:type="paragraph" w:customStyle="1" w:styleId="Normal2">
    <w:name w:val="Normal 2"/>
    <w:basedOn w:val="Normal"/>
    <w:link w:val="Normal2Char"/>
    <w:rsid w:val="00C76607"/>
    <w:pPr>
      <w:widowControl w:val="0"/>
      <w:spacing w:after="120" w:line="240" w:lineRule="auto"/>
      <w:ind w:left="454"/>
      <w:jc w:val="both"/>
    </w:pPr>
    <w:rPr>
      <w:rFonts w:ascii="Tahoma" w:hAnsi="Tahoma" w:cs="Tahoma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13EB3"/>
    <w:rPr>
      <w:color w:val="605E5C"/>
      <w:shd w:val="clear" w:color="auto" w:fill="E1DFDD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1454C2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1454C2"/>
    <w:rPr>
      <w:rFonts w:eastAsiaTheme="majorEastAsia" w:cstheme="majorBidi"/>
      <w:b/>
      <w:color w:val="1D3E61"/>
      <w:spacing w:val="5"/>
      <w:kern w:val="28"/>
      <w:sz w:val="52"/>
      <w:szCs w:val="52"/>
      <w:lang w:eastAsia="en-GB"/>
    </w:rPr>
  </w:style>
  <w:style w:type="character" w:customStyle="1" w:styleId="ListParagraphChar">
    <w:name w:val="List Paragraph Char"/>
    <w:aliases w:val="Figure_name Char,Equipment Char,Bullet list Char,List Paragraph1 Char,Numbered Indented Text Char,Bullet 1 Char,List Paragraph Char Char Char Char,List Paragraph Char Char Char1,RFP SUB Points Char,Use Case List Paragraph Char"/>
    <w:link w:val="ListParagraph"/>
    <w:uiPriority w:val="34"/>
    <w:qFormat/>
    <w:locked/>
    <w:rsid w:val="00EA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946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chel.addison@correla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tt.rider@correla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ox.xoserve.portfoliooffice@xoserv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Xoserve Colour Scheme">
      <a:dk1>
        <a:srgbClr val="000000"/>
      </a:dk1>
      <a:lt1>
        <a:srgbClr val="FFFFFF"/>
      </a:lt1>
      <a:dk2>
        <a:srgbClr val="1D3E61"/>
      </a:dk2>
      <a:lt2>
        <a:srgbClr val="DCDDDE"/>
      </a:lt2>
      <a:accent1>
        <a:srgbClr val="3E5AA8"/>
      </a:accent1>
      <a:accent2>
        <a:srgbClr val="84B8DA"/>
      </a:accent2>
      <a:accent3>
        <a:srgbClr val="56CF9E"/>
      </a:accent3>
      <a:accent4>
        <a:srgbClr val="F5835D"/>
      </a:accent4>
      <a:accent5>
        <a:srgbClr val="B1D6E8"/>
      </a:accent5>
      <a:accent6>
        <a:srgbClr val="2B80B1"/>
      </a:accent6>
      <a:hlink>
        <a:srgbClr val="D2232A"/>
      </a:hlink>
      <a:folHlink>
        <a:srgbClr val="9CCB3B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103fba77-31dd-4780-83f9-c54f26c3a260">
      <UserInfo>
        <DisplayName>nandhini.rajendran1@wipro.com</DisplayName>
        <AccountId>256</AccountId>
        <AccountType/>
      </UserInfo>
      <UserInfo>
        <DisplayName>Manisha Bhardwaj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050E-F41D-4814-9D61-0D7E18A61E92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213930e-d389-4fcc-a8c2-6200ba704a64"/>
    <ds:schemaRef ds:uri="92739de9-cde3-4b52-807e-16b9b526eac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15946E-9216-44CE-9266-3E4FF510B5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1A7160-9EE4-45B7-AD9C-9175F1603CE5}"/>
</file>

<file path=customXml/itemProps4.xml><?xml version="1.0" encoding="utf-8"?>
<ds:datastoreItem xmlns:ds="http://schemas.openxmlformats.org/officeDocument/2006/customXml" ds:itemID="{E7E928C7-5520-45BE-A706-80506B66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National Grid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National Grid</dc:creator>
  <cp:lastModifiedBy>Matthew Rider</cp:lastModifiedBy>
  <cp:revision>2</cp:revision>
  <cp:lastPrinted>2018-05-09T12:24:00Z</cp:lastPrinted>
  <dcterms:created xsi:type="dcterms:W3CDTF">2021-06-24T13:44:00Z</dcterms:created>
  <dcterms:modified xsi:type="dcterms:W3CDTF">2021-06-24T13:44:00Z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  <property fmtid="{D5CDD505-2E9C-101B-9397-08002B2CF9AE}" pid="4" name="Order">
    <vt:r8>263700</vt:r8>
  </property>
  <property fmtid="{D5CDD505-2E9C-101B-9397-08002B2CF9AE}" pid="5" name="xd_Signature">
    <vt:bool>false</vt:bool>
  </property>
  <property fmtid="{D5CDD505-2E9C-101B-9397-08002B2CF9AE}" pid="6" name="SharedWithUsers">
    <vt:lpwstr>256;#Gemma Whitehouse</vt:lpwstr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Owner">
    <vt:lpwstr>Unknown</vt:lpwstr>
  </property>
</Properties>
</file>