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B0FC" w14:textId="77777777" w:rsidR="002B2E87" w:rsidRDefault="002B2E87" w:rsidP="00D66C7E">
      <w:r>
        <w:rPr>
          <w:noProof/>
        </w:rPr>
        <w:drawing>
          <wp:anchor distT="0" distB="0" distL="114300" distR="114300" simplePos="0" relativeHeight="251658240" behindDoc="0" locked="0" layoutInCell="1" allowOverlap="1" wp14:anchorId="72D82D6E" wp14:editId="6A53D649">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4A005E8E" w14:textId="77777777" w:rsidR="002B2E87" w:rsidRDefault="002B2E87" w:rsidP="00D66C7E"/>
    <w:p w14:paraId="0B385179" w14:textId="77777777" w:rsidR="002B2E87" w:rsidRDefault="002B2E87" w:rsidP="00D66C7E"/>
    <w:p w14:paraId="0A9A37F2" w14:textId="77777777" w:rsidR="000C1358" w:rsidRDefault="000C1358" w:rsidP="000C1358">
      <w:pPr>
        <w:pStyle w:val="Heading2"/>
      </w:pPr>
      <w:r>
        <w:t>DSC Business Evaluation Report (BER)</w:t>
      </w:r>
    </w:p>
    <w:p w14:paraId="5961001A" w14:textId="77777777" w:rsidR="000C1358" w:rsidRDefault="000C1358" w:rsidP="00D66C7E"/>
    <w:tbl>
      <w:tblPr>
        <w:tblStyle w:val="TableGrid1"/>
        <w:tblW w:w="5510" w:type="pct"/>
        <w:tblInd w:w="-459" w:type="dxa"/>
        <w:tblLook w:val="04A0" w:firstRow="1" w:lastRow="0" w:firstColumn="1" w:lastColumn="0" w:noHBand="0" w:noVBand="1"/>
      </w:tblPr>
      <w:tblGrid>
        <w:gridCol w:w="4847"/>
        <w:gridCol w:w="5089"/>
      </w:tblGrid>
      <w:tr w:rsidR="00CA58D2" w:rsidRPr="002B2E87" w14:paraId="26696CA9" w14:textId="77777777" w:rsidTr="00CA58D2">
        <w:tc>
          <w:tcPr>
            <w:tcW w:w="2439" w:type="pct"/>
            <w:shd w:val="clear" w:color="auto" w:fill="FFFFFF" w:themeFill="background1"/>
            <w:vAlign w:val="center"/>
          </w:tcPr>
          <w:p w14:paraId="794DC055" w14:textId="77777777" w:rsidR="00CA58D2" w:rsidRPr="002B2E87" w:rsidRDefault="00CA58D2" w:rsidP="00CA58D2">
            <w:pPr>
              <w:rPr>
                <w:rFonts w:eastAsia="Times New Roman" w:cs="Arial"/>
                <w:b/>
                <w:sz w:val="20"/>
                <w:szCs w:val="16"/>
              </w:rPr>
            </w:pPr>
            <w:r w:rsidRPr="002B2E87">
              <w:rPr>
                <w:rFonts w:eastAsia="Times New Roman" w:cs="Arial"/>
                <w:b/>
                <w:sz w:val="20"/>
                <w:szCs w:val="16"/>
              </w:rPr>
              <w:t>Change Title</w:t>
            </w:r>
          </w:p>
        </w:tc>
        <w:tc>
          <w:tcPr>
            <w:tcW w:w="2561" w:type="pct"/>
          </w:tcPr>
          <w:p w14:paraId="36D86362" w14:textId="77777777" w:rsidR="00CA58D2" w:rsidRPr="002B2E87" w:rsidRDefault="00CA58D2" w:rsidP="00CA58D2">
            <w:pPr>
              <w:rPr>
                <w:rFonts w:eastAsia="Times New Roman" w:cs="Arial"/>
                <w:sz w:val="20"/>
                <w:szCs w:val="16"/>
              </w:rPr>
            </w:pPr>
            <w:r>
              <w:rPr>
                <w:rFonts w:eastAsia="Times New Roman" w:cs="Arial"/>
                <w:sz w:val="20"/>
                <w:szCs w:val="16"/>
              </w:rPr>
              <w:t xml:space="preserve">PAC DDP delivery </w:t>
            </w:r>
          </w:p>
        </w:tc>
      </w:tr>
      <w:tr w:rsidR="00CA58D2" w:rsidRPr="002B2E87" w14:paraId="45055047" w14:textId="77777777" w:rsidTr="00CA58D2">
        <w:tc>
          <w:tcPr>
            <w:tcW w:w="2439" w:type="pct"/>
            <w:shd w:val="clear" w:color="auto" w:fill="FFFFFF" w:themeFill="background1"/>
            <w:vAlign w:val="center"/>
          </w:tcPr>
          <w:p w14:paraId="357A62DE" w14:textId="77777777" w:rsidR="00CA58D2" w:rsidRPr="002B2E87" w:rsidRDefault="00CA58D2" w:rsidP="00CA58D2">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332F9F76" w14:textId="77777777" w:rsidR="00CA58D2" w:rsidRPr="002B2E87" w:rsidRDefault="00CA58D2" w:rsidP="00CA58D2">
            <w:pPr>
              <w:rPr>
                <w:rFonts w:eastAsia="Times New Roman" w:cs="Arial"/>
                <w:sz w:val="20"/>
                <w:szCs w:val="16"/>
              </w:rPr>
            </w:pPr>
            <w:r>
              <w:rPr>
                <w:rFonts w:eastAsia="Times New Roman" w:cs="Arial"/>
                <w:sz w:val="20"/>
                <w:szCs w:val="16"/>
              </w:rPr>
              <w:t>XRN5321</w:t>
            </w:r>
          </w:p>
        </w:tc>
      </w:tr>
      <w:tr w:rsidR="00CA58D2" w:rsidRPr="002B2E87" w14:paraId="7DCB3AA7" w14:textId="77777777" w:rsidTr="00CA58D2">
        <w:tc>
          <w:tcPr>
            <w:tcW w:w="2439" w:type="pct"/>
            <w:tcBorders>
              <w:bottom w:val="single" w:sz="4" w:space="0" w:color="auto"/>
            </w:tcBorders>
            <w:shd w:val="clear" w:color="auto" w:fill="FFFFFF" w:themeFill="background1"/>
            <w:vAlign w:val="center"/>
          </w:tcPr>
          <w:p w14:paraId="77E58889" w14:textId="77777777" w:rsidR="00CA58D2" w:rsidRPr="002B2E87" w:rsidRDefault="00CA58D2" w:rsidP="00CA58D2">
            <w:pPr>
              <w:rPr>
                <w:rFonts w:eastAsia="Times New Roman" w:cs="Arial"/>
                <w:b/>
                <w:bCs/>
                <w:sz w:val="20"/>
                <w:szCs w:val="20"/>
              </w:rPr>
            </w:pPr>
            <w:r w:rsidRPr="6EEFDFBD">
              <w:rPr>
                <w:rFonts w:eastAsia="Times New Roman" w:cs="Arial"/>
                <w:b/>
                <w:bCs/>
                <w:sz w:val="20"/>
                <w:szCs w:val="20"/>
              </w:rPr>
              <w:t>Correla Project Manager</w:t>
            </w:r>
          </w:p>
        </w:tc>
        <w:tc>
          <w:tcPr>
            <w:tcW w:w="2561" w:type="pct"/>
            <w:tcBorders>
              <w:bottom w:val="single" w:sz="4" w:space="0" w:color="auto"/>
            </w:tcBorders>
          </w:tcPr>
          <w:p w14:paraId="3BB3DA51" w14:textId="3F2FD36A" w:rsidR="00CA58D2" w:rsidRPr="002B2E87" w:rsidRDefault="00E77122" w:rsidP="00CA58D2">
            <w:pPr>
              <w:rPr>
                <w:rFonts w:eastAsia="Times New Roman" w:cs="Arial"/>
                <w:sz w:val="20"/>
                <w:szCs w:val="16"/>
              </w:rPr>
            </w:pPr>
            <w:r>
              <w:rPr>
                <w:rFonts w:eastAsia="Times New Roman" w:cs="Arial"/>
                <w:sz w:val="20"/>
                <w:szCs w:val="16"/>
              </w:rPr>
              <w:t>Charlie Haley</w:t>
            </w:r>
          </w:p>
        </w:tc>
      </w:tr>
      <w:tr w:rsidR="00CA58D2" w:rsidRPr="002B2E87" w14:paraId="2273A691" w14:textId="77777777" w:rsidTr="00CA58D2">
        <w:tc>
          <w:tcPr>
            <w:tcW w:w="2439" w:type="pct"/>
            <w:tcBorders>
              <w:bottom w:val="single" w:sz="4" w:space="0" w:color="auto"/>
            </w:tcBorders>
            <w:shd w:val="clear" w:color="auto" w:fill="FFFFFF" w:themeFill="background1"/>
            <w:vAlign w:val="center"/>
          </w:tcPr>
          <w:p w14:paraId="789601B7" w14:textId="77777777" w:rsidR="00CA58D2" w:rsidRPr="002B2E87" w:rsidRDefault="00CA58D2" w:rsidP="00CA58D2">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2DCCBCCC" w14:textId="1A42F400" w:rsidR="00CA58D2" w:rsidRPr="002B2E87" w:rsidRDefault="00E57C3A" w:rsidP="00CA58D2">
            <w:pPr>
              <w:rPr>
                <w:rFonts w:eastAsia="Times New Roman" w:cs="Arial"/>
                <w:sz w:val="20"/>
                <w:szCs w:val="16"/>
              </w:rPr>
            </w:pPr>
            <w:hyperlink r:id="rId12" w:history="1">
              <w:r w:rsidR="00ED5D6A" w:rsidRPr="002C3AA3">
                <w:rPr>
                  <w:rStyle w:val="Hyperlink"/>
                </w:rPr>
                <w:t>Charlie.Haley@correla.com</w:t>
              </w:r>
            </w:hyperlink>
            <w:r w:rsidR="00ED5D6A">
              <w:t xml:space="preserve"> </w:t>
            </w:r>
            <w:hyperlink r:id="rId13" w:history="1"/>
          </w:p>
        </w:tc>
      </w:tr>
      <w:tr w:rsidR="00CA58D2" w:rsidRPr="002B2E87" w14:paraId="6E45FC4D" w14:textId="77777777" w:rsidTr="00CA58D2">
        <w:tc>
          <w:tcPr>
            <w:tcW w:w="2439" w:type="pct"/>
            <w:tcBorders>
              <w:bottom w:val="single" w:sz="4" w:space="0" w:color="auto"/>
            </w:tcBorders>
            <w:shd w:val="clear" w:color="auto" w:fill="FFFFFF" w:themeFill="background1"/>
            <w:vAlign w:val="center"/>
          </w:tcPr>
          <w:p w14:paraId="49C9D4F4" w14:textId="77777777" w:rsidR="00CA58D2" w:rsidRPr="002B2E87" w:rsidRDefault="00CA58D2" w:rsidP="00CA58D2">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5EFB6B08" w14:textId="5A8E84B9" w:rsidR="00CA58D2" w:rsidRPr="00C967C0" w:rsidRDefault="00CA58D2" w:rsidP="00CA58D2">
            <w:pPr>
              <w:rPr>
                <w:rFonts w:eastAsia="Times New Roman" w:cs="Arial"/>
                <w:sz w:val="20"/>
                <w:szCs w:val="20"/>
              </w:rPr>
            </w:pPr>
            <w:r>
              <w:rPr>
                <w:rFonts w:eastAsia="Times New Roman" w:cs="Arial"/>
                <w:szCs w:val="16"/>
              </w:rPr>
              <w:t>0121 229 21</w:t>
            </w:r>
            <w:r w:rsidR="004E2FBC">
              <w:rPr>
                <w:rFonts w:eastAsia="Times New Roman" w:cs="Arial"/>
                <w:szCs w:val="16"/>
              </w:rPr>
              <w:t>05</w:t>
            </w:r>
          </w:p>
        </w:tc>
      </w:tr>
      <w:tr w:rsidR="00CA58D2" w:rsidRPr="002B2E87" w14:paraId="39092B03" w14:textId="77777777" w:rsidTr="00CA58D2">
        <w:tc>
          <w:tcPr>
            <w:tcW w:w="2439" w:type="pct"/>
            <w:tcBorders>
              <w:bottom w:val="single" w:sz="4" w:space="0" w:color="auto"/>
            </w:tcBorders>
            <w:shd w:val="clear" w:color="auto" w:fill="FFFFFF" w:themeFill="background1"/>
            <w:vAlign w:val="center"/>
          </w:tcPr>
          <w:p w14:paraId="0DED137B" w14:textId="77777777" w:rsidR="00CA58D2" w:rsidRPr="002B2E87" w:rsidRDefault="00CA58D2" w:rsidP="00CA58D2">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5B1112C0" w14:textId="77777777" w:rsidR="00CA58D2" w:rsidRPr="00C967C0" w:rsidRDefault="00CA58D2" w:rsidP="00CA58D2">
            <w:pPr>
              <w:rPr>
                <w:rFonts w:eastAsia="Times New Roman" w:cs="Arial"/>
                <w:sz w:val="20"/>
                <w:szCs w:val="20"/>
                <w:lang w:val="en-US"/>
              </w:rPr>
            </w:pPr>
            <w:r>
              <w:rPr>
                <w:rFonts w:eastAsia="Times New Roman" w:cs="Arial"/>
                <w:szCs w:val="16"/>
              </w:rPr>
              <w:t>11/08/2021</w:t>
            </w:r>
          </w:p>
        </w:tc>
      </w:tr>
      <w:tr w:rsidR="00CA58D2" w:rsidRPr="002B2E87" w14:paraId="0B9D8B5C" w14:textId="77777777" w:rsidTr="00CA58D2">
        <w:tc>
          <w:tcPr>
            <w:tcW w:w="5000" w:type="pct"/>
            <w:gridSpan w:val="2"/>
            <w:tcBorders>
              <w:bottom w:val="single" w:sz="4" w:space="0" w:color="auto"/>
            </w:tcBorders>
            <w:shd w:val="clear" w:color="auto" w:fill="3E5AA8" w:themeFill="accent1"/>
            <w:vAlign w:val="center"/>
          </w:tcPr>
          <w:p w14:paraId="2FC3F512" w14:textId="77777777" w:rsidR="00CA58D2" w:rsidRPr="002B2E87" w:rsidRDefault="00CA58D2" w:rsidP="00CA58D2">
            <w:pPr>
              <w:jc w:val="center"/>
              <w:rPr>
                <w:rFonts w:eastAsia="Times New Roman" w:cs="Arial"/>
                <w:b/>
              </w:rPr>
            </w:pPr>
            <w:r w:rsidRPr="002B2E87">
              <w:rPr>
                <w:rFonts w:eastAsia="Times New Roman" w:cs="Arial"/>
                <w:b/>
                <w:color w:val="FFFFFF"/>
                <w:sz w:val="20"/>
              </w:rPr>
              <w:t>Section 1: In Scope</w:t>
            </w:r>
          </w:p>
        </w:tc>
      </w:tr>
      <w:tr w:rsidR="006E0548" w:rsidRPr="002B2E87" w14:paraId="6FB9C252" w14:textId="77777777" w:rsidTr="00CA58D2">
        <w:tc>
          <w:tcPr>
            <w:tcW w:w="5000" w:type="pct"/>
            <w:gridSpan w:val="2"/>
            <w:tcBorders>
              <w:bottom w:val="single" w:sz="4" w:space="0" w:color="auto"/>
            </w:tcBorders>
            <w:shd w:val="clear" w:color="auto" w:fill="FFFFFF" w:themeFill="background1"/>
          </w:tcPr>
          <w:p w14:paraId="0E101112" w14:textId="77777777" w:rsidR="009039BF" w:rsidRDefault="009039BF" w:rsidP="006E0548">
            <w:pPr>
              <w:rPr>
                <w:rFonts w:cs="Arial"/>
                <w:sz w:val="20"/>
                <w:szCs w:val="20"/>
              </w:rPr>
            </w:pPr>
          </w:p>
          <w:p w14:paraId="35F7F767" w14:textId="02443774" w:rsidR="006E0548" w:rsidRDefault="006E0548" w:rsidP="006E0548">
            <w:pPr>
              <w:rPr>
                <w:rFonts w:cs="Arial"/>
                <w:sz w:val="20"/>
                <w:szCs w:val="20"/>
              </w:rPr>
            </w:pPr>
            <w:r>
              <w:rPr>
                <w:rFonts w:cs="Arial"/>
                <w:sz w:val="20"/>
                <w:szCs w:val="20"/>
              </w:rPr>
              <w:t>In 2019 Xoserve implemented the Data Discovery Platform (DDP), a Business Intelligence (BI) technology to monitor and analyse internal data.  The opportunity to leverage this CDSP capability provides customers a new and more visual way to receive and interpret the data services we can provide.  The data can be visualised in the form of charts, graphs and dashboards to easily identify key metrics, trends and outliers and then to drill down into the points of interest to focus on the key information.</w:t>
            </w:r>
          </w:p>
          <w:p w14:paraId="04DAFFFD" w14:textId="77777777" w:rsidR="006E0548" w:rsidRDefault="006E0548" w:rsidP="006E0548">
            <w:pPr>
              <w:rPr>
                <w:rFonts w:cs="Arial"/>
                <w:sz w:val="20"/>
                <w:szCs w:val="20"/>
              </w:rPr>
            </w:pPr>
          </w:p>
          <w:p w14:paraId="609B5105" w14:textId="0E0628E7" w:rsidR="006E0548" w:rsidRDefault="006E0548" w:rsidP="006E0548">
            <w:pPr>
              <w:rPr>
                <w:rFonts w:cs="Arial"/>
                <w:sz w:val="20"/>
                <w:szCs w:val="20"/>
              </w:rPr>
            </w:pPr>
            <w:r>
              <w:rPr>
                <w:rFonts w:cs="Arial"/>
                <w:sz w:val="20"/>
                <w:szCs w:val="20"/>
              </w:rPr>
              <w:t xml:space="preserve">To support the Performance Assurance Committees (PAC) monitoring of key metrics across the industry, they previously requested </w:t>
            </w:r>
            <w:proofErr w:type="gramStart"/>
            <w:r>
              <w:rPr>
                <w:rFonts w:cs="Arial"/>
                <w:sz w:val="20"/>
                <w:szCs w:val="20"/>
              </w:rPr>
              <w:t>a number of</w:t>
            </w:r>
            <w:proofErr w:type="gramEnd"/>
            <w:r>
              <w:rPr>
                <w:rFonts w:cs="Arial"/>
                <w:sz w:val="20"/>
                <w:szCs w:val="20"/>
              </w:rPr>
              <w:t xml:space="preserve"> </w:t>
            </w:r>
            <w:r w:rsidR="00964E9B">
              <w:rPr>
                <w:rFonts w:cs="Arial"/>
                <w:sz w:val="20"/>
                <w:szCs w:val="20"/>
              </w:rPr>
              <w:t>releases</w:t>
            </w:r>
            <w:r>
              <w:rPr>
                <w:rFonts w:cs="Arial"/>
                <w:sz w:val="20"/>
                <w:szCs w:val="20"/>
              </w:rPr>
              <w:t xml:space="preserve"> to further develop the DDP proposition, to aid their ability to monitor industry performance. Three of these </w:t>
            </w:r>
            <w:r w:rsidR="00580173">
              <w:rPr>
                <w:rFonts w:cs="Arial"/>
                <w:sz w:val="20"/>
                <w:szCs w:val="20"/>
              </w:rPr>
              <w:t>Release</w:t>
            </w:r>
            <w:r>
              <w:rPr>
                <w:rFonts w:cs="Arial"/>
                <w:sz w:val="20"/>
                <w:szCs w:val="20"/>
              </w:rPr>
              <w:t xml:space="preserve">s were delivered as part of XRN4876 with four remaining that require PAC to utilise their 2021-22 change budget funding of £100k. Delivery will continue to be based on agile principles and thus time and quality </w:t>
            </w:r>
            <w:proofErr w:type="spellStart"/>
            <w:r>
              <w:rPr>
                <w:rFonts w:cs="Arial"/>
                <w:sz w:val="20"/>
                <w:szCs w:val="20"/>
              </w:rPr>
              <w:t>can not</w:t>
            </w:r>
            <w:proofErr w:type="spellEnd"/>
            <w:r>
              <w:rPr>
                <w:rFonts w:cs="Arial"/>
                <w:sz w:val="20"/>
                <w:szCs w:val="20"/>
              </w:rPr>
              <w:t xml:space="preserve"> change, only the scope can. Any undelivered user stories (from a </w:t>
            </w:r>
            <w:r w:rsidR="00964E9B">
              <w:rPr>
                <w:rFonts w:cs="Arial"/>
                <w:sz w:val="20"/>
                <w:szCs w:val="20"/>
              </w:rPr>
              <w:t>release</w:t>
            </w:r>
            <w:r>
              <w:rPr>
                <w:rFonts w:cs="Arial"/>
                <w:sz w:val="20"/>
                <w:szCs w:val="20"/>
              </w:rPr>
              <w:t xml:space="preserve">) will be carried forward to be considered as part of the next </w:t>
            </w:r>
            <w:r w:rsidR="00725013">
              <w:rPr>
                <w:rFonts w:cs="Arial"/>
                <w:sz w:val="20"/>
                <w:szCs w:val="20"/>
              </w:rPr>
              <w:t>release’s</w:t>
            </w:r>
            <w:r>
              <w:rPr>
                <w:rFonts w:cs="Arial"/>
                <w:sz w:val="20"/>
                <w:szCs w:val="20"/>
              </w:rPr>
              <w:t xml:space="preserve"> prioritisation. </w:t>
            </w:r>
          </w:p>
          <w:p w14:paraId="41800AED" w14:textId="77777777" w:rsidR="006E0548" w:rsidRDefault="006E0548" w:rsidP="006E0548">
            <w:pPr>
              <w:rPr>
                <w:rFonts w:cs="Arial"/>
                <w:sz w:val="20"/>
                <w:szCs w:val="20"/>
              </w:rPr>
            </w:pPr>
            <w:r>
              <w:rPr>
                <w:rFonts w:cs="Arial"/>
                <w:sz w:val="20"/>
                <w:szCs w:val="20"/>
              </w:rPr>
              <w:t xml:space="preserve"> </w:t>
            </w:r>
          </w:p>
          <w:p w14:paraId="68300554" w14:textId="77777777" w:rsidR="006E0548" w:rsidRDefault="006E0548" w:rsidP="006E0548">
            <w:pPr>
              <w:rPr>
                <w:rFonts w:cs="Arial"/>
                <w:sz w:val="20"/>
                <w:szCs w:val="20"/>
              </w:rPr>
            </w:pPr>
          </w:p>
          <w:p w14:paraId="1549628D" w14:textId="758754CB" w:rsidR="006E0548" w:rsidRDefault="006E0548" w:rsidP="006E0548">
            <w:pPr>
              <w:rPr>
                <w:rFonts w:cs="Arial"/>
                <w:sz w:val="20"/>
                <w:szCs w:val="20"/>
              </w:rPr>
            </w:pPr>
            <w:r w:rsidRPr="00255A73">
              <w:rPr>
                <w:rFonts w:cs="Arial"/>
                <w:sz w:val="20"/>
                <w:szCs w:val="20"/>
              </w:rPr>
              <w:t xml:space="preserve">Scope of Delivery for </w:t>
            </w:r>
            <w:r w:rsidR="0053659A">
              <w:rPr>
                <w:rFonts w:cs="Arial"/>
                <w:sz w:val="20"/>
                <w:szCs w:val="20"/>
              </w:rPr>
              <w:t>3 releases</w:t>
            </w:r>
            <w:r w:rsidRPr="00255A73">
              <w:rPr>
                <w:rFonts w:cs="Arial"/>
                <w:sz w:val="20"/>
                <w:szCs w:val="20"/>
              </w:rPr>
              <w:t xml:space="preserve"> (Indicative Scope</w:t>
            </w:r>
            <w:r w:rsidR="0053659A">
              <w:rPr>
                <w:rFonts w:cs="Arial"/>
                <w:sz w:val="20"/>
                <w:szCs w:val="20"/>
              </w:rPr>
              <w:t xml:space="preserve"> based on current prioritisation</w:t>
            </w:r>
            <w:r w:rsidRPr="00255A73">
              <w:rPr>
                <w:rFonts w:cs="Arial"/>
                <w:sz w:val="20"/>
                <w:szCs w:val="20"/>
              </w:rPr>
              <w:t>)</w:t>
            </w:r>
          </w:p>
          <w:p w14:paraId="3B567871" w14:textId="77777777" w:rsidR="006E0548" w:rsidRPr="00255A73" w:rsidRDefault="006E0548" w:rsidP="006E0548">
            <w:pPr>
              <w:rPr>
                <w:rFonts w:cs="Arial"/>
                <w:sz w:val="20"/>
                <w:szCs w:val="20"/>
              </w:rPr>
            </w:pPr>
          </w:p>
          <w:p w14:paraId="7F5749E2" w14:textId="77777777" w:rsidR="006E0548" w:rsidRPr="00255A73" w:rsidRDefault="006E0548" w:rsidP="006E0548">
            <w:pPr>
              <w:rPr>
                <w:rFonts w:cs="Arial"/>
                <w:sz w:val="20"/>
                <w:szCs w:val="20"/>
              </w:rPr>
            </w:pPr>
            <w:r w:rsidRPr="00255A73">
              <w:rPr>
                <w:rFonts w:cs="Arial"/>
                <w:sz w:val="20"/>
                <w:szCs w:val="20"/>
              </w:rPr>
              <w:t>PAC will get the following:</w:t>
            </w:r>
          </w:p>
          <w:p w14:paraId="52BA6434" w14:textId="77777777" w:rsidR="006E0548" w:rsidRPr="00255A73" w:rsidRDefault="006E0548" w:rsidP="00EC3E77">
            <w:pPr>
              <w:pStyle w:val="ListParagraph"/>
              <w:numPr>
                <w:ilvl w:val="0"/>
                <w:numId w:val="17"/>
              </w:numPr>
              <w:spacing w:after="0" w:line="240" w:lineRule="auto"/>
              <w:jc w:val="left"/>
              <w:rPr>
                <w:rFonts w:cs="Arial"/>
                <w:szCs w:val="20"/>
              </w:rPr>
            </w:pPr>
            <w:r w:rsidRPr="00255A73">
              <w:rPr>
                <w:rFonts w:cs="Arial"/>
                <w:szCs w:val="20"/>
              </w:rPr>
              <w:t>Access to new bespoke DDP dashboards including;</w:t>
            </w:r>
          </w:p>
          <w:p w14:paraId="53A2F788" w14:textId="77777777" w:rsidR="006E0548" w:rsidRPr="00255A73" w:rsidRDefault="006E0548" w:rsidP="006E0548">
            <w:pPr>
              <w:rPr>
                <w:rFonts w:cs="Arial"/>
                <w:sz w:val="20"/>
                <w:szCs w:val="20"/>
              </w:rPr>
            </w:pPr>
          </w:p>
          <w:p w14:paraId="288A4873" w14:textId="5FD90080" w:rsidR="006E0548" w:rsidRPr="00255A73" w:rsidRDefault="00D335B4" w:rsidP="006E0548">
            <w:pPr>
              <w:rPr>
                <w:rFonts w:cs="Arial"/>
                <w:sz w:val="20"/>
                <w:szCs w:val="20"/>
              </w:rPr>
            </w:pPr>
            <w:r>
              <w:rPr>
                <w:rFonts w:cs="Arial"/>
                <w:sz w:val="20"/>
                <w:szCs w:val="20"/>
              </w:rPr>
              <w:t>Release</w:t>
            </w:r>
            <w:r w:rsidR="006E0548">
              <w:rPr>
                <w:rFonts w:cs="Arial"/>
                <w:sz w:val="20"/>
                <w:szCs w:val="20"/>
              </w:rPr>
              <w:t xml:space="preserve"> 1</w:t>
            </w:r>
          </w:p>
          <w:p w14:paraId="5C0A2C02" w14:textId="77777777" w:rsidR="006E0548" w:rsidRPr="001C1CF7" w:rsidRDefault="006E0548" w:rsidP="006E0548">
            <w:pPr>
              <w:rPr>
                <w:rFonts w:cs="Arial"/>
                <w:sz w:val="20"/>
                <w:szCs w:val="20"/>
              </w:rPr>
            </w:pPr>
          </w:p>
          <w:p w14:paraId="0D472677" w14:textId="77777777" w:rsidR="006E0548" w:rsidRDefault="006E0548" w:rsidP="00EC3E77">
            <w:pPr>
              <w:pStyle w:val="ListParagraph"/>
              <w:numPr>
                <w:ilvl w:val="0"/>
                <w:numId w:val="17"/>
              </w:numPr>
              <w:spacing w:after="0" w:line="240" w:lineRule="auto"/>
              <w:jc w:val="left"/>
              <w:rPr>
                <w:rFonts w:cs="Arial"/>
                <w:szCs w:val="20"/>
              </w:rPr>
            </w:pPr>
            <w:r w:rsidRPr="00255A73">
              <w:rPr>
                <w:rFonts w:cs="Arial"/>
                <w:szCs w:val="20"/>
              </w:rPr>
              <w:t>As PAFA I want to see how many transfer reads are being submitted, accepted / rejected each month and as a rolling 12-month view so that I can assess shipper's intent</w:t>
            </w:r>
            <w:r>
              <w:rPr>
                <w:rFonts w:cs="Arial"/>
                <w:szCs w:val="20"/>
              </w:rPr>
              <w:t xml:space="preserve"> (DDP-388)</w:t>
            </w:r>
          </w:p>
          <w:p w14:paraId="79285A50" w14:textId="77777777" w:rsidR="00E967A4" w:rsidRDefault="00E967A4" w:rsidP="00EC3E77">
            <w:pPr>
              <w:pStyle w:val="ListParagraph"/>
              <w:numPr>
                <w:ilvl w:val="0"/>
                <w:numId w:val="17"/>
              </w:numPr>
              <w:spacing w:after="0" w:line="240" w:lineRule="auto"/>
              <w:jc w:val="left"/>
              <w:rPr>
                <w:rFonts w:cs="Arial"/>
                <w:szCs w:val="20"/>
              </w:rPr>
            </w:pPr>
            <w:r w:rsidRPr="009B6CD0">
              <w:rPr>
                <w:rFonts w:cs="Arial"/>
                <w:szCs w:val="20"/>
              </w:rPr>
              <w:t>As PAFA I want a view of AQ split by age bands for each Shipper so that I can get a view of how old the AQs are in their Portfolio</w:t>
            </w:r>
            <w:r>
              <w:rPr>
                <w:rFonts w:cs="Arial"/>
                <w:szCs w:val="20"/>
              </w:rPr>
              <w:t xml:space="preserve"> (DDP-195)</w:t>
            </w:r>
          </w:p>
          <w:p w14:paraId="357D90E5" w14:textId="2FB6FF19" w:rsidR="00E967A4" w:rsidRDefault="00E967A4" w:rsidP="00EC3E77">
            <w:pPr>
              <w:pStyle w:val="ListParagraph"/>
              <w:numPr>
                <w:ilvl w:val="0"/>
                <w:numId w:val="17"/>
              </w:numPr>
              <w:spacing w:after="0" w:line="240" w:lineRule="auto"/>
              <w:jc w:val="left"/>
              <w:rPr>
                <w:rFonts w:cs="Arial"/>
                <w:szCs w:val="20"/>
              </w:rPr>
            </w:pPr>
            <w:r w:rsidRPr="009B6CD0">
              <w:rPr>
                <w:rFonts w:cs="Arial"/>
                <w:szCs w:val="20"/>
              </w:rPr>
              <w:t>As PAFA, for all Shippers, I want the AQ corrections dashlet to display the Reason codes for AQ correction so that I have a better understanding of the AQ correction information and the reason behind the corrections</w:t>
            </w:r>
            <w:r>
              <w:rPr>
                <w:rFonts w:cs="Arial"/>
                <w:szCs w:val="20"/>
              </w:rPr>
              <w:t xml:space="preserve"> (DDP-198)</w:t>
            </w:r>
          </w:p>
          <w:p w14:paraId="1A653960" w14:textId="35CFD0B2" w:rsidR="00E967A4" w:rsidRDefault="00E967A4" w:rsidP="00E967A4">
            <w:pPr>
              <w:rPr>
                <w:rFonts w:cs="Arial"/>
                <w:szCs w:val="20"/>
              </w:rPr>
            </w:pPr>
          </w:p>
          <w:p w14:paraId="178D0439" w14:textId="45279961" w:rsidR="00E967A4" w:rsidRDefault="00E967A4" w:rsidP="00E967A4">
            <w:pPr>
              <w:rPr>
                <w:rFonts w:cs="Arial"/>
                <w:sz w:val="20"/>
                <w:szCs w:val="20"/>
              </w:rPr>
            </w:pPr>
            <w:r>
              <w:rPr>
                <w:rFonts w:cs="Arial"/>
                <w:sz w:val="20"/>
                <w:szCs w:val="20"/>
              </w:rPr>
              <w:t>Release 2</w:t>
            </w:r>
            <w:r w:rsidR="0053659A">
              <w:rPr>
                <w:rFonts w:cs="Arial"/>
                <w:sz w:val="20"/>
                <w:szCs w:val="20"/>
              </w:rPr>
              <w:t xml:space="preserve"> &amp;3 will focus on the below backlog items which will be prioritised by customers prior to entering each sprint:</w:t>
            </w:r>
          </w:p>
          <w:p w14:paraId="0085FEAE" w14:textId="77777777" w:rsidR="00E967A4" w:rsidRPr="00E967A4" w:rsidRDefault="00E967A4" w:rsidP="00E967A4">
            <w:pPr>
              <w:rPr>
                <w:rFonts w:cs="Arial"/>
                <w:szCs w:val="20"/>
              </w:rPr>
            </w:pPr>
          </w:p>
          <w:p w14:paraId="3B914833" w14:textId="4F8BAC96" w:rsidR="00EC3E77" w:rsidRDefault="00EC3E77" w:rsidP="00EC3E77">
            <w:pPr>
              <w:pStyle w:val="ListParagraph"/>
              <w:numPr>
                <w:ilvl w:val="0"/>
                <w:numId w:val="17"/>
              </w:numPr>
              <w:spacing w:after="0" w:line="240" w:lineRule="auto"/>
              <w:jc w:val="left"/>
              <w:rPr>
                <w:rFonts w:cs="Arial"/>
                <w:szCs w:val="20"/>
              </w:rPr>
            </w:pPr>
            <w:r w:rsidRPr="009B6CD0">
              <w:rPr>
                <w:rFonts w:cs="Arial"/>
                <w:szCs w:val="20"/>
              </w:rPr>
              <w:t xml:space="preserve">As PAFA I want visibility of Meter Read Validity Monitoring, at Shipper &amp; MPRN level, to provide further insight as to whether Shippers are meeting the required UNC expectations. This should provide a history of previous failures and AQ data so that the AQ "at Risk" can be determined. </w:t>
            </w:r>
            <w:r>
              <w:rPr>
                <w:rFonts w:cs="Arial"/>
                <w:szCs w:val="20"/>
              </w:rPr>
              <w:t>(DDP-193)</w:t>
            </w:r>
          </w:p>
          <w:p w14:paraId="48B390A4" w14:textId="3ECCFB4B" w:rsidR="006E0548" w:rsidRPr="007635F5" w:rsidRDefault="006E0548" w:rsidP="006E0548">
            <w:pPr>
              <w:pStyle w:val="NormalWeb"/>
              <w:numPr>
                <w:ilvl w:val="0"/>
                <w:numId w:val="17"/>
              </w:numPr>
              <w:spacing w:before="0" w:beforeAutospacing="0" w:after="0" w:afterAutospacing="0"/>
              <w:rPr>
                <w:rFonts w:ascii="Arial" w:eastAsiaTheme="minorEastAsia" w:hAnsi="Arial" w:cs="Arial"/>
                <w:sz w:val="20"/>
                <w:szCs w:val="20"/>
              </w:rPr>
            </w:pPr>
            <w:r w:rsidRPr="00255A73">
              <w:rPr>
                <w:rFonts w:ascii="Arial" w:eastAsiaTheme="minorEastAsia" w:hAnsi="Arial" w:cs="Arial"/>
                <w:sz w:val="20"/>
                <w:szCs w:val="20"/>
              </w:rPr>
              <w:t>As PAFA I want to see how many estimated opening reads are being replaced via the Shipper Agreed Read (SAR) process so that I can assess shipper's intent</w:t>
            </w:r>
            <w:r>
              <w:rPr>
                <w:rFonts w:ascii="Arial" w:eastAsiaTheme="minorEastAsia" w:hAnsi="Arial" w:cs="Arial"/>
                <w:sz w:val="20"/>
                <w:szCs w:val="20"/>
              </w:rPr>
              <w:t>. (DDP-389)</w:t>
            </w:r>
            <w:r w:rsidRPr="00255A73">
              <w:rPr>
                <w:rFonts w:ascii="Arial" w:eastAsiaTheme="minorEastAsia" w:hAnsi="Arial" w:cs="Arial"/>
                <w:sz w:val="20"/>
                <w:szCs w:val="20"/>
              </w:rPr>
              <w:t xml:space="preserve"> </w:t>
            </w:r>
          </w:p>
          <w:p w14:paraId="5C15965A" w14:textId="63670878" w:rsidR="006E0548" w:rsidRDefault="006E0548" w:rsidP="006E0548">
            <w:pPr>
              <w:pStyle w:val="ListParagraph"/>
              <w:numPr>
                <w:ilvl w:val="0"/>
                <w:numId w:val="17"/>
              </w:numPr>
              <w:spacing w:after="0" w:line="240" w:lineRule="auto"/>
              <w:jc w:val="left"/>
              <w:rPr>
                <w:rFonts w:cs="Arial"/>
                <w:szCs w:val="20"/>
              </w:rPr>
            </w:pPr>
            <w:r w:rsidRPr="00255A73">
              <w:rPr>
                <w:rFonts w:cs="Arial"/>
                <w:szCs w:val="20"/>
              </w:rPr>
              <w:t>As PAFA I want to see the Isolation status on the detail view of the PAFA dashboard, so I can see if an MPRN is isolated.</w:t>
            </w:r>
            <w:r>
              <w:rPr>
                <w:rFonts w:cs="Arial"/>
                <w:szCs w:val="20"/>
              </w:rPr>
              <w:t xml:space="preserve"> (DDP-401)</w:t>
            </w:r>
          </w:p>
          <w:p w14:paraId="02BCCA2D" w14:textId="77777777" w:rsidR="009B769B" w:rsidRPr="009B769B" w:rsidRDefault="009B769B" w:rsidP="009B769B">
            <w:pPr>
              <w:ind w:left="360"/>
              <w:rPr>
                <w:rFonts w:cs="Arial"/>
                <w:szCs w:val="20"/>
              </w:rPr>
            </w:pPr>
          </w:p>
          <w:p w14:paraId="24D7D141" w14:textId="1B3407F7" w:rsidR="006E0548" w:rsidRDefault="006E0548" w:rsidP="00C21A1C">
            <w:pPr>
              <w:pStyle w:val="ListParagraph"/>
              <w:numPr>
                <w:ilvl w:val="0"/>
                <w:numId w:val="17"/>
              </w:numPr>
              <w:spacing w:after="0" w:line="240" w:lineRule="auto"/>
              <w:jc w:val="left"/>
              <w:rPr>
                <w:rFonts w:cs="Arial"/>
                <w:szCs w:val="20"/>
              </w:rPr>
            </w:pPr>
            <w:r w:rsidRPr="00255A73">
              <w:rPr>
                <w:rFonts w:cs="Arial"/>
                <w:szCs w:val="20"/>
              </w:rPr>
              <w:t>As PAFA I want to see how many bypass flags are 'Open' and 'Closed' across the industry so that I can monitor how many sites are using the bypass and are not paying for gas so that I understand whether this is a risk</w:t>
            </w:r>
            <w:r>
              <w:rPr>
                <w:rFonts w:cs="Arial"/>
                <w:szCs w:val="20"/>
              </w:rPr>
              <w:t>. (DDP-402)</w:t>
            </w:r>
          </w:p>
          <w:p w14:paraId="36224D85" w14:textId="05BCE6C0" w:rsidR="0053659A" w:rsidRDefault="0053659A" w:rsidP="0053659A">
            <w:pPr>
              <w:rPr>
                <w:rFonts w:cs="Arial"/>
                <w:szCs w:val="20"/>
              </w:rPr>
            </w:pPr>
          </w:p>
          <w:p w14:paraId="3AECF625" w14:textId="103B2783" w:rsidR="0053659A" w:rsidRDefault="0053659A" w:rsidP="0053659A">
            <w:pPr>
              <w:rPr>
                <w:rFonts w:cs="Arial"/>
                <w:szCs w:val="20"/>
              </w:rPr>
            </w:pPr>
            <w:r>
              <w:rPr>
                <w:rFonts w:cs="Arial"/>
                <w:szCs w:val="20"/>
              </w:rPr>
              <w:t>We aim to deliver all depicted user stories but following agile principles the BER seeks approval to buy capacity to deliver prioritised backlog items for PAC not commit to an exhaustive scope.</w:t>
            </w:r>
          </w:p>
          <w:p w14:paraId="4867756D" w14:textId="4410B036" w:rsidR="00763B1D" w:rsidRDefault="00763B1D" w:rsidP="0053659A">
            <w:pPr>
              <w:rPr>
                <w:rFonts w:cs="Arial"/>
                <w:szCs w:val="20"/>
              </w:rPr>
            </w:pPr>
          </w:p>
          <w:p w14:paraId="4F44EABF" w14:textId="5CA9D41F" w:rsidR="00763B1D" w:rsidRPr="0053659A" w:rsidRDefault="00763B1D" w:rsidP="0053659A">
            <w:pPr>
              <w:rPr>
                <w:rFonts w:cs="Arial"/>
                <w:szCs w:val="20"/>
              </w:rPr>
            </w:pPr>
            <w:r>
              <w:rPr>
                <w:rFonts w:cs="Arial"/>
                <w:szCs w:val="20"/>
              </w:rPr>
              <w:t xml:space="preserve">There will be an </w:t>
            </w:r>
            <w:proofErr w:type="gramStart"/>
            <w:r>
              <w:rPr>
                <w:rFonts w:cs="Arial"/>
                <w:szCs w:val="20"/>
              </w:rPr>
              <w:t>8 week</w:t>
            </w:r>
            <w:proofErr w:type="gramEnd"/>
            <w:r>
              <w:rPr>
                <w:rFonts w:cs="Arial"/>
                <w:szCs w:val="20"/>
              </w:rPr>
              <w:t xml:space="preserve"> mo</w:t>
            </w:r>
            <w:r w:rsidR="00E7234A">
              <w:rPr>
                <w:rFonts w:cs="Arial"/>
                <w:szCs w:val="20"/>
              </w:rPr>
              <w:t>bilisation period following approval of this change.</w:t>
            </w:r>
          </w:p>
          <w:p w14:paraId="3D14B873" w14:textId="5EF4F6FB" w:rsidR="0053659A" w:rsidRDefault="0053659A" w:rsidP="006E0548">
            <w:pPr>
              <w:pStyle w:val="NormalWeb"/>
              <w:spacing w:before="0" w:beforeAutospacing="0" w:after="0" w:afterAutospacing="0"/>
              <w:rPr>
                <w:rFonts w:ascii="Arial" w:eastAsiaTheme="minorEastAsia" w:hAnsi="Arial" w:cs="Arial"/>
                <w:sz w:val="20"/>
                <w:szCs w:val="20"/>
              </w:rPr>
            </w:pPr>
            <w:bookmarkStart w:id="0" w:name="_Hlk41656673"/>
          </w:p>
          <w:bookmarkEnd w:id="0"/>
          <w:p w14:paraId="2300C607" w14:textId="77777777" w:rsidR="006E0548" w:rsidRPr="00907531" w:rsidRDefault="006E0548" w:rsidP="006E0548">
            <w:pPr>
              <w:pStyle w:val="ListParagraph"/>
              <w:spacing w:after="60" w:line="276" w:lineRule="auto"/>
              <w:ind w:left="1080"/>
              <w:rPr>
                <w:b/>
                <w:szCs w:val="20"/>
              </w:rPr>
            </w:pPr>
          </w:p>
        </w:tc>
      </w:tr>
      <w:tr w:rsidR="006E0548" w:rsidRPr="002B2E87" w14:paraId="4F5CF83E" w14:textId="77777777" w:rsidTr="00CA58D2">
        <w:trPr>
          <w:trHeight w:val="85"/>
        </w:trPr>
        <w:tc>
          <w:tcPr>
            <w:tcW w:w="5000" w:type="pct"/>
            <w:gridSpan w:val="2"/>
            <w:tcBorders>
              <w:bottom w:val="single" w:sz="4" w:space="0" w:color="auto"/>
            </w:tcBorders>
            <w:shd w:val="clear" w:color="auto" w:fill="3E5AA8" w:themeFill="accent1"/>
            <w:vAlign w:val="center"/>
          </w:tcPr>
          <w:p w14:paraId="4460C471" w14:textId="77777777" w:rsidR="006E0548" w:rsidRPr="002B2E87" w:rsidRDefault="006E0548" w:rsidP="006E0548">
            <w:pPr>
              <w:jc w:val="center"/>
              <w:rPr>
                <w:rFonts w:eastAsia="Times New Roman" w:cs="Arial"/>
                <w:b/>
                <w:color w:val="FF0000"/>
              </w:rPr>
            </w:pPr>
            <w:r w:rsidRPr="002B2E87">
              <w:rPr>
                <w:rFonts w:eastAsia="Times New Roman" w:cs="Arial"/>
                <w:b/>
                <w:color w:val="FFFFFF"/>
                <w:sz w:val="20"/>
              </w:rPr>
              <w:lastRenderedPageBreak/>
              <w:t>Section 2: Out of Scope</w:t>
            </w:r>
          </w:p>
        </w:tc>
      </w:tr>
      <w:tr w:rsidR="006E0548" w:rsidRPr="002B2E87" w14:paraId="288A57F6" w14:textId="77777777" w:rsidTr="00CA58D2">
        <w:tc>
          <w:tcPr>
            <w:tcW w:w="5000" w:type="pct"/>
            <w:gridSpan w:val="2"/>
            <w:tcBorders>
              <w:bottom w:val="single" w:sz="4" w:space="0" w:color="auto"/>
            </w:tcBorders>
            <w:shd w:val="clear" w:color="auto" w:fill="FFFFFF" w:themeFill="background1"/>
          </w:tcPr>
          <w:p w14:paraId="3CAC5085" w14:textId="68000446" w:rsidR="007465B7" w:rsidRDefault="007465B7" w:rsidP="007465B7">
            <w:pPr>
              <w:contextualSpacing/>
              <w:rPr>
                <w:rFonts w:eastAsia="Times New Roman" w:cs="Arial"/>
                <w:i/>
                <w:color w:val="FF0000"/>
                <w:sz w:val="20"/>
              </w:rPr>
            </w:pPr>
            <w:r w:rsidRPr="00FB6A78">
              <w:rPr>
                <w:rFonts w:eastAsia="Times New Roman" w:cs="Arial"/>
                <w:i/>
                <w:color w:val="000000" w:themeColor="text1"/>
                <w:sz w:val="20"/>
              </w:rPr>
              <w:t xml:space="preserve">Anything which </w:t>
            </w:r>
            <w:proofErr w:type="spellStart"/>
            <w:r w:rsidRPr="00FB6A78">
              <w:rPr>
                <w:rFonts w:eastAsia="Times New Roman" w:cs="Arial"/>
                <w:i/>
                <w:color w:val="000000" w:themeColor="text1"/>
                <w:sz w:val="20"/>
              </w:rPr>
              <w:t>can not</w:t>
            </w:r>
            <w:proofErr w:type="spellEnd"/>
            <w:r w:rsidRPr="00FB6A78">
              <w:rPr>
                <w:rFonts w:eastAsia="Times New Roman" w:cs="Arial"/>
                <w:i/>
                <w:color w:val="000000" w:themeColor="text1"/>
                <w:sz w:val="20"/>
              </w:rPr>
              <w:t xml:space="preserve"> be delivered within the </w:t>
            </w:r>
            <w:r w:rsidR="0053659A">
              <w:rPr>
                <w:rFonts w:eastAsia="Times New Roman" w:cs="Arial"/>
                <w:i/>
                <w:color w:val="000000" w:themeColor="text1"/>
                <w:sz w:val="20"/>
              </w:rPr>
              <w:t>3</w:t>
            </w:r>
            <w:r w:rsidRPr="00FB6A78">
              <w:rPr>
                <w:rFonts w:eastAsia="Times New Roman" w:cs="Arial"/>
                <w:i/>
                <w:color w:val="000000" w:themeColor="text1"/>
                <w:sz w:val="20"/>
              </w:rPr>
              <w:t xml:space="preserve"> </w:t>
            </w:r>
            <w:r w:rsidR="00580173">
              <w:rPr>
                <w:rFonts w:eastAsia="Times New Roman" w:cs="Arial"/>
                <w:i/>
                <w:color w:val="000000" w:themeColor="text1"/>
                <w:sz w:val="20"/>
              </w:rPr>
              <w:t>Release</w:t>
            </w:r>
            <w:r w:rsidRPr="00FB6A78">
              <w:rPr>
                <w:rFonts w:eastAsia="Times New Roman" w:cs="Arial"/>
                <w:i/>
                <w:color w:val="000000" w:themeColor="text1"/>
                <w:sz w:val="20"/>
              </w:rPr>
              <w:t>s</w:t>
            </w:r>
            <w:r>
              <w:rPr>
                <w:rFonts w:eastAsia="Times New Roman" w:cs="Arial"/>
                <w:i/>
                <w:color w:val="000000" w:themeColor="text1"/>
                <w:sz w:val="20"/>
              </w:rPr>
              <w:t xml:space="preserve"> detailed above</w:t>
            </w:r>
            <w:r w:rsidRPr="00FB6A78">
              <w:rPr>
                <w:rFonts w:eastAsia="Times New Roman" w:cs="Arial"/>
                <w:i/>
                <w:color w:val="000000" w:themeColor="text1"/>
                <w:sz w:val="20"/>
              </w:rPr>
              <w:t>.</w:t>
            </w:r>
          </w:p>
          <w:p w14:paraId="3999CAAB" w14:textId="77777777" w:rsidR="007465B7" w:rsidRDefault="007465B7" w:rsidP="007465B7">
            <w:pPr>
              <w:contextualSpacing/>
              <w:rPr>
                <w:rFonts w:eastAsia="Times New Roman" w:cs="Arial"/>
                <w:i/>
                <w:color w:val="FF0000"/>
                <w:sz w:val="20"/>
              </w:rPr>
            </w:pPr>
          </w:p>
          <w:p w14:paraId="5C00DF7B" w14:textId="77777777" w:rsidR="006E0548" w:rsidRPr="000C1358" w:rsidRDefault="006E0548" w:rsidP="006E0548">
            <w:pPr>
              <w:pStyle w:val="ListParagraph"/>
              <w:spacing w:after="0" w:line="240" w:lineRule="auto"/>
              <w:rPr>
                <w:rFonts w:cs="Arial"/>
                <w:szCs w:val="20"/>
              </w:rPr>
            </w:pPr>
          </w:p>
        </w:tc>
      </w:tr>
      <w:tr w:rsidR="006E0548" w:rsidRPr="002B2E87" w14:paraId="3CCE70EF" w14:textId="77777777" w:rsidTr="00CA58D2">
        <w:tc>
          <w:tcPr>
            <w:tcW w:w="5000" w:type="pct"/>
            <w:gridSpan w:val="2"/>
            <w:shd w:val="clear" w:color="auto" w:fill="3E5AA8" w:themeFill="accent1"/>
            <w:vAlign w:val="center"/>
          </w:tcPr>
          <w:p w14:paraId="5E5D4FE2" w14:textId="77777777" w:rsidR="006E0548" w:rsidRPr="002B2E87" w:rsidRDefault="006E0548" w:rsidP="006E0548">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6E0548" w:rsidRPr="002B2E87" w14:paraId="41B40D4E" w14:textId="77777777" w:rsidTr="00CA58D2">
        <w:tc>
          <w:tcPr>
            <w:tcW w:w="5000" w:type="pct"/>
            <w:gridSpan w:val="2"/>
            <w:shd w:val="clear" w:color="auto" w:fill="auto"/>
          </w:tcPr>
          <w:p w14:paraId="56CF66E0" w14:textId="77777777" w:rsidR="006E0548" w:rsidRDefault="006E0548" w:rsidP="006E0548">
            <w:pPr>
              <w:rPr>
                <w:noProof/>
              </w:rPr>
            </w:pPr>
          </w:p>
          <w:p w14:paraId="3FC0DAA2" w14:textId="77777777" w:rsidR="006E0548" w:rsidRPr="002C58D6" w:rsidRDefault="006E0548" w:rsidP="006E0548">
            <w:pPr>
              <w:rPr>
                <w:rFonts w:cs="Arial"/>
                <w:b/>
                <w:bCs/>
                <w:sz w:val="18"/>
                <w:szCs w:val="18"/>
                <w:u w:val="single"/>
              </w:rPr>
            </w:pPr>
          </w:p>
          <w:tbl>
            <w:tblPr>
              <w:tblW w:w="5000" w:type="pct"/>
              <w:tblLook w:val="04A0" w:firstRow="1" w:lastRow="0" w:firstColumn="1" w:lastColumn="0" w:noHBand="0" w:noVBand="1"/>
            </w:tblPr>
            <w:tblGrid>
              <w:gridCol w:w="692"/>
              <w:gridCol w:w="699"/>
              <w:gridCol w:w="551"/>
              <w:gridCol w:w="471"/>
              <w:gridCol w:w="426"/>
              <w:gridCol w:w="1024"/>
              <w:gridCol w:w="699"/>
              <w:gridCol w:w="448"/>
              <w:gridCol w:w="699"/>
              <w:gridCol w:w="497"/>
              <w:gridCol w:w="574"/>
              <w:gridCol w:w="671"/>
              <w:gridCol w:w="599"/>
              <w:gridCol w:w="371"/>
              <w:gridCol w:w="393"/>
              <w:gridCol w:w="425"/>
              <w:gridCol w:w="471"/>
            </w:tblGrid>
            <w:tr w:rsidR="006D241F" w:rsidRPr="00980B8C" w14:paraId="10971969" w14:textId="77777777" w:rsidTr="00980B8C">
              <w:trPr>
                <w:trHeight w:val="155"/>
              </w:trPr>
              <w:tc>
                <w:tcPr>
                  <w:tcW w:w="275" w:type="pct"/>
                  <w:tcBorders>
                    <w:top w:val="single" w:sz="4" w:space="0" w:color="auto"/>
                    <w:left w:val="single" w:sz="4" w:space="0" w:color="auto"/>
                    <w:bottom w:val="single" w:sz="4" w:space="0" w:color="auto"/>
                    <w:right w:val="single" w:sz="4" w:space="0" w:color="auto"/>
                  </w:tcBorders>
                  <w:shd w:val="clear" w:color="000000" w:fill="5B9BD5"/>
                  <w:vAlign w:val="bottom"/>
                  <w:hideMark/>
                </w:tcPr>
                <w:p w14:paraId="64905623"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XRN Ref</w:t>
                  </w:r>
                </w:p>
              </w:tc>
              <w:tc>
                <w:tcPr>
                  <w:tcW w:w="276" w:type="pct"/>
                  <w:tcBorders>
                    <w:top w:val="single" w:sz="4" w:space="0" w:color="auto"/>
                    <w:left w:val="nil"/>
                    <w:bottom w:val="single" w:sz="4" w:space="0" w:color="auto"/>
                    <w:right w:val="single" w:sz="4" w:space="0" w:color="auto"/>
                  </w:tcBorders>
                  <w:shd w:val="clear" w:color="000000" w:fill="5B9BD5"/>
                  <w:vAlign w:val="bottom"/>
                  <w:hideMark/>
                </w:tcPr>
                <w:p w14:paraId="10455C07"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HLSO £</w:t>
                  </w:r>
                </w:p>
              </w:tc>
              <w:tc>
                <w:tcPr>
                  <w:tcW w:w="279" w:type="pct"/>
                  <w:tcBorders>
                    <w:top w:val="single" w:sz="4" w:space="0" w:color="auto"/>
                    <w:left w:val="nil"/>
                    <w:bottom w:val="single" w:sz="4" w:space="0" w:color="auto"/>
                    <w:right w:val="single" w:sz="4" w:space="0" w:color="auto"/>
                  </w:tcBorders>
                  <w:shd w:val="clear" w:color="000000" w:fill="5B9BD5"/>
                  <w:vAlign w:val="bottom"/>
                  <w:hideMark/>
                </w:tcPr>
                <w:p w14:paraId="4FE82DD1"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Design EQR</w:t>
                  </w:r>
                </w:p>
              </w:tc>
              <w:tc>
                <w:tcPr>
                  <w:tcW w:w="276" w:type="pct"/>
                  <w:tcBorders>
                    <w:top w:val="single" w:sz="4" w:space="0" w:color="auto"/>
                    <w:left w:val="nil"/>
                    <w:bottom w:val="single" w:sz="4" w:space="0" w:color="auto"/>
                    <w:right w:val="single" w:sz="4" w:space="0" w:color="auto"/>
                  </w:tcBorders>
                  <w:shd w:val="clear" w:color="000000" w:fill="5B9BD5"/>
                  <w:vAlign w:val="bottom"/>
                  <w:hideMark/>
                </w:tcPr>
                <w:p w14:paraId="19328A63"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Build £</w:t>
                  </w:r>
                </w:p>
              </w:tc>
              <w:tc>
                <w:tcPr>
                  <w:tcW w:w="275" w:type="pct"/>
                  <w:tcBorders>
                    <w:top w:val="single" w:sz="4" w:space="0" w:color="auto"/>
                    <w:left w:val="nil"/>
                    <w:bottom w:val="single" w:sz="4" w:space="0" w:color="auto"/>
                    <w:right w:val="single" w:sz="4" w:space="0" w:color="auto"/>
                  </w:tcBorders>
                  <w:shd w:val="clear" w:color="000000" w:fill="5B9BD5"/>
                  <w:vAlign w:val="bottom"/>
                  <w:hideMark/>
                </w:tcPr>
                <w:p w14:paraId="42F3BB2D"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Test £</w:t>
                  </w:r>
                </w:p>
              </w:tc>
              <w:tc>
                <w:tcPr>
                  <w:tcW w:w="447" w:type="pct"/>
                  <w:tcBorders>
                    <w:top w:val="single" w:sz="4" w:space="0" w:color="auto"/>
                    <w:left w:val="nil"/>
                    <w:bottom w:val="single" w:sz="4" w:space="0" w:color="auto"/>
                    <w:right w:val="single" w:sz="4" w:space="0" w:color="auto"/>
                  </w:tcBorders>
                  <w:shd w:val="clear" w:color="000000" w:fill="5B9BD5"/>
                  <w:vAlign w:val="bottom"/>
                  <w:hideMark/>
                </w:tcPr>
                <w:p w14:paraId="1B608491"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Implementation PIS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60CA72A2"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MT £</w:t>
                  </w:r>
                </w:p>
              </w:tc>
              <w:tc>
                <w:tcPr>
                  <w:tcW w:w="275" w:type="pct"/>
                  <w:tcBorders>
                    <w:top w:val="single" w:sz="4" w:space="0" w:color="auto"/>
                    <w:left w:val="nil"/>
                    <w:bottom w:val="single" w:sz="4" w:space="0" w:color="auto"/>
                    <w:right w:val="single" w:sz="4" w:space="0" w:color="auto"/>
                  </w:tcBorders>
                  <w:shd w:val="clear" w:color="000000" w:fill="5B9BD5"/>
                  <w:vAlign w:val="bottom"/>
                  <w:hideMark/>
                </w:tcPr>
                <w:p w14:paraId="519CA763"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1st Year MTB £</w:t>
                  </w:r>
                </w:p>
              </w:tc>
              <w:tc>
                <w:tcPr>
                  <w:tcW w:w="281" w:type="pct"/>
                  <w:tcBorders>
                    <w:top w:val="single" w:sz="4" w:space="0" w:color="auto"/>
                    <w:left w:val="nil"/>
                    <w:bottom w:val="single" w:sz="4" w:space="0" w:color="auto"/>
                    <w:right w:val="single" w:sz="4" w:space="0" w:color="auto"/>
                  </w:tcBorders>
                  <w:shd w:val="clear" w:color="000000" w:fill="5B9BD5"/>
                  <w:vAlign w:val="bottom"/>
                  <w:hideMark/>
                </w:tcPr>
                <w:p w14:paraId="01CE6872"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Delivery Total</w:t>
                  </w:r>
                </w:p>
              </w:tc>
              <w:tc>
                <w:tcPr>
                  <w:tcW w:w="277" w:type="pct"/>
                  <w:tcBorders>
                    <w:top w:val="single" w:sz="4" w:space="0" w:color="auto"/>
                    <w:left w:val="nil"/>
                    <w:bottom w:val="single" w:sz="4" w:space="0" w:color="auto"/>
                    <w:right w:val="single" w:sz="4" w:space="0" w:color="auto"/>
                  </w:tcBorders>
                  <w:shd w:val="clear" w:color="000000" w:fill="5B9BD5"/>
                  <w:vAlign w:val="bottom"/>
                  <w:hideMark/>
                </w:tcPr>
                <w:p w14:paraId="66898AF8"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CSSC </w:t>
                  </w:r>
                  <w:proofErr w:type="spellStart"/>
                  <w:r w:rsidRPr="00980B8C">
                    <w:rPr>
                      <w:rFonts w:ascii="Calibri" w:eastAsia="Times New Roman" w:hAnsi="Calibri" w:cs="Calibri"/>
                      <w:b/>
                      <w:bCs/>
                      <w:color w:val="000000"/>
                      <w:sz w:val="12"/>
                    </w:rPr>
                    <w:t>Imact</w:t>
                  </w:r>
                  <w:proofErr w:type="spellEnd"/>
                  <w:r w:rsidRPr="00980B8C">
                    <w:rPr>
                      <w:rFonts w:ascii="Calibri" w:eastAsia="Times New Roman" w:hAnsi="Calibri" w:cs="Calibri"/>
                      <w:b/>
                      <w:bCs/>
                      <w:color w:val="000000"/>
                      <w:sz w:val="12"/>
                    </w:rPr>
                    <w:t xml:space="preserve"> £</w:t>
                  </w:r>
                </w:p>
              </w:tc>
              <w:tc>
                <w:tcPr>
                  <w:tcW w:w="280" w:type="pct"/>
                  <w:tcBorders>
                    <w:top w:val="single" w:sz="4" w:space="0" w:color="auto"/>
                    <w:left w:val="nil"/>
                    <w:bottom w:val="single" w:sz="4" w:space="0" w:color="auto"/>
                    <w:right w:val="single" w:sz="4" w:space="0" w:color="auto"/>
                  </w:tcBorders>
                  <w:shd w:val="clear" w:color="000000" w:fill="5B9BD5"/>
                  <w:vAlign w:val="bottom"/>
                  <w:hideMark/>
                </w:tcPr>
                <w:p w14:paraId="45A536B8"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Risk Margin £</w:t>
                  </w:r>
                </w:p>
              </w:tc>
              <w:tc>
                <w:tcPr>
                  <w:tcW w:w="400" w:type="pct"/>
                  <w:tcBorders>
                    <w:top w:val="single" w:sz="4" w:space="0" w:color="auto"/>
                    <w:left w:val="nil"/>
                    <w:bottom w:val="single" w:sz="4" w:space="0" w:color="auto"/>
                    <w:right w:val="single" w:sz="4" w:space="0" w:color="auto"/>
                  </w:tcBorders>
                  <w:shd w:val="clear" w:color="000000" w:fill="5B9BD5"/>
                  <w:vAlign w:val="bottom"/>
                  <w:hideMark/>
                </w:tcPr>
                <w:p w14:paraId="6E310D87"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BER Total for Approval £</w:t>
                  </w:r>
                </w:p>
              </w:tc>
              <w:tc>
                <w:tcPr>
                  <w:tcW w:w="280" w:type="pct"/>
                  <w:tcBorders>
                    <w:top w:val="single" w:sz="4" w:space="0" w:color="auto"/>
                    <w:left w:val="nil"/>
                    <w:bottom w:val="single" w:sz="4" w:space="0" w:color="auto"/>
                    <w:right w:val="single" w:sz="4" w:space="0" w:color="auto"/>
                  </w:tcBorders>
                  <w:shd w:val="clear" w:color="000000" w:fill="5B9BD5"/>
                  <w:vAlign w:val="bottom"/>
                  <w:hideMark/>
                </w:tcPr>
                <w:p w14:paraId="6AE0E854"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Shipper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513DDB1F"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DN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4D0C10CC"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IGT £</w:t>
                  </w:r>
                </w:p>
              </w:tc>
              <w:tc>
                <w:tcPr>
                  <w:tcW w:w="274" w:type="pct"/>
                  <w:tcBorders>
                    <w:top w:val="single" w:sz="4" w:space="0" w:color="auto"/>
                    <w:left w:val="nil"/>
                    <w:bottom w:val="single" w:sz="4" w:space="0" w:color="auto"/>
                    <w:right w:val="single" w:sz="4" w:space="0" w:color="auto"/>
                  </w:tcBorders>
                  <w:shd w:val="clear" w:color="000000" w:fill="5B9BD5"/>
                  <w:vAlign w:val="bottom"/>
                  <w:hideMark/>
                </w:tcPr>
                <w:p w14:paraId="62ED4876"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NTS £</w:t>
                  </w:r>
                </w:p>
              </w:tc>
              <w:tc>
                <w:tcPr>
                  <w:tcW w:w="284" w:type="pct"/>
                  <w:tcBorders>
                    <w:top w:val="single" w:sz="4" w:space="0" w:color="auto"/>
                    <w:left w:val="nil"/>
                    <w:bottom w:val="single" w:sz="4" w:space="0" w:color="auto"/>
                    <w:right w:val="single" w:sz="4" w:space="0" w:color="auto"/>
                  </w:tcBorders>
                  <w:shd w:val="clear" w:color="000000" w:fill="5B9BD5"/>
                  <w:noWrap/>
                  <w:vAlign w:val="bottom"/>
                  <w:hideMark/>
                </w:tcPr>
                <w:p w14:paraId="4401B55A" w14:textId="77777777" w:rsidR="006E0548" w:rsidRPr="00980B8C" w:rsidRDefault="006E0548" w:rsidP="006E0548">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Total </w:t>
                  </w:r>
                </w:p>
              </w:tc>
            </w:tr>
            <w:tr w:rsidR="006D241F" w:rsidRPr="00980B8C" w14:paraId="6DAF28FB" w14:textId="77777777" w:rsidTr="00980B8C">
              <w:trPr>
                <w:trHeight w:val="288"/>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14:paraId="0FB69136"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7465B7">
                    <w:rPr>
                      <w:rFonts w:ascii="Calibri" w:eastAsia="Times New Roman" w:hAnsi="Calibri" w:cs="Calibri"/>
                      <w:color w:val="000000"/>
                      <w:sz w:val="12"/>
                    </w:rPr>
                    <w:t>XRN5321</w:t>
                  </w:r>
                </w:p>
              </w:tc>
              <w:tc>
                <w:tcPr>
                  <w:tcW w:w="276" w:type="pct"/>
                  <w:tcBorders>
                    <w:top w:val="nil"/>
                    <w:left w:val="nil"/>
                    <w:bottom w:val="single" w:sz="4" w:space="0" w:color="auto"/>
                    <w:right w:val="single" w:sz="4" w:space="0" w:color="auto"/>
                  </w:tcBorders>
                  <w:shd w:val="clear" w:color="auto" w:fill="auto"/>
                  <w:noWrap/>
                  <w:vAlign w:val="bottom"/>
                  <w:hideMark/>
                </w:tcPr>
                <w:p w14:paraId="69ED83B4" w14:textId="23D89EE1"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7465B7">
                    <w:rPr>
                      <w:rFonts w:ascii="Calibri" w:eastAsia="Times New Roman" w:hAnsi="Calibri" w:cs="Calibri"/>
                      <w:color w:val="000000"/>
                      <w:sz w:val="12"/>
                    </w:rPr>
                    <w:t>£1</w:t>
                  </w:r>
                  <w:r w:rsidR="006D241F">
                    <w:rPr>
                      <w:rFonts w:ascii="Calibri" w:eastAsia="Times New Roman" w:hAnsi="Calibri" w:cs="Calibri"/>
                      <w:color w:val="000000"/>
                      <w:sz w:val="12"/>
                    </w:rPr>
                    <w:t>12,000</w:t>
                  </w:r>
                </w:p>
              </w:tc>
              <w:tc>
                <w:tcPr>
                  <w:tcW w:w="279" w:type="pct"/>
                  <w:tcBorders>
                    <w:top w:val="nil"/>
                    <w:left w:val="nil"/>
                    <w:bottom w:val="single" w:sz="4" w:space="0" w:color="auto"/>
                    <w:right w:val="single" w:sz="4" w:space="0" w:color="auto"/>
                  </w:tcBorders>
                  <w:shd w:val="clear" w:color="auto" w:fill="auto"/>
                  <w:noWrap/>
                  <w:vAlign w:val="bottom"/>
                  <w:hideMark/>
                </w:tcPr>
                <w:p w14:paraId="57E28E58"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6" w:type="pct"/>
                  <w:tcBorders>
                    <w:top w:val="nil"/>
                    <w:left w:val="nil"/>
                    <w:bottom w:val="single" w:sz="4" w:space="0" w:color="auto"/>
                    <w:right w:val="single" w:sz="4" w:space="0" w:color="auto"/>
                  </w:tcBorders>
                  <w:shd w:val="clear" w:color="auto" w:fill="auto"/>
                  <w:noWrap/>
                  <w:vAlign w:val="bottom"/>
                  <w:hideMark/>
                </w:tcPr>
                <w:p w14:paraId="297BACC6"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5" w:type="pct"/>
                  <w:tcBorders>
                    <w:top w:val="nil"/>
                    <w:left w:val="nil"/>
                    <w:bottom w:val="single" w:sz="4" w:space="0" w:color="auto"/>
                    <w:right w:val="single" w:sz="4" w:space="0" w:color="auto"/>
                  </w:tcBorders>
                  <w:shd w:val="clear" w:color="auto" w:fill="auto"/>
                  <w:noWrap/>
                  <w:vAlign w:val="bottom"/>
                  <w:hideMark/>
                </w:tcPr>
                <w:p w14:paraId="089FE380"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447" w:type="pct"/>
                  <w:tcBorders>
                    <w:top w:val="nil"/>
                    <w:left w:val="nil"/>
                    <w:bottom w:val="single" w:sz="4" w:space="0" w:color="auto"/>
                    <w:right w:val="single" w:sz="4" w:space="0" w:color="auto"/>
                  </w:tcBorders>
                  <w:shd w:val="clear" w:color="auto" w:fill="auto"/>
                  <w:noWrap/>
                  <w:vAlign w:val="bottom"/>
                  <w:hideMark/>
                </w:tcPr>
                <w:p w14:paraId="78E7687C"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3" w:type="pct"/>
                  <w:tcBorders>
                    <w:top w:val="nil"/>
                    <w:left w:val="nil"/>
                    <w:bottom w:val="single" w:sz="4" w:space="0" w:color="auto"/>
                    <w:right w:val="single" w:sz="4" w:space="0" w:color="auto"/>
                  </w:tcBorders>
                  <w:shd w:val="clear" w:color="auto" w:fill="auto"/>
                  <w:noWrap/>
                  <w:vAlign w:val="bottom"/>
                  <w:hideMark/>
                </w:tcPr>
                <w:p w14:paraId="60A045B8" w14:textId="111FB425"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7465B7">
                    <w:rPr>
                      <w:rFonts w:ascii="Calibri" w:eastAsia="Times New Roman" w:hAnsi="Calibri" w:cs="Calibri"/>
                      <w:color w:val="000000"/>
                      <w:sz w:val="12"/>
                    </w:rPr>
                    <w:t>£1</w:t>
                  </w:r>
                  <w:r w:rsidR="006D241F">
                    <w:rPr>
                      <w:rFonts w:ascii="Calibri" w:eastAsia="Times New Roman" w:hAnsi="Calibri" w:cs="Calibri"/>
                      <w:color w:val="000000"/>
                      <w:sz w:val="12"/>
                    </w:rPr>
                    <w:t>12,000</w:t>
                  </w:r>
                </w:p>
              </w:tc>
              <w:tc>
                <w:tcPr>
                  <w:tcW w:w="275" w:type="pct"/>
                  <w:tcBorders>
                    <w:top w:val="nil"/>
                    <w:left w:val="nil"/>
                    <w:bottom w:val="single" w:sz="4" w:space="0" w:color="auto"/>
                    <w:right w:val="single" w:sz="4" w:space="0" w:color="auto"/>
                  </w:tcBorders>
                  <w:shd w:val="clear" w:color="auto" w:fill="auto"/>
                  <w:noWrap/>
                  <w:vAlign w:val="bottom"/>
                  <w:hideMark/>
                </w:tcPr>
                <w:p w14:paraId="7F9F9A9A"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28FB0254" w14:textId="5F149BD6"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7465B7">
                    <w:rPr>
                      <w:rFonts w:ascii="Calibri" w:eastAsia="Times New Roman" w:hAnsi="Calibri" w:cs="Calibri"/>
                      <w:color w:val="000000"/>
                      <w:sz w:val="12"/>
                    </w:rPr>
                    <w:t>£1</w:t>
                  </w:r>
                  <w:r w:rsidR="006D241F">
                    <w:rPr>
                      <w:rFonts w:ascii="Calibri" w:eastAsia="Times New Roman" w:hAnsi="Calibri" w:cs="Calibri"/>
                      <w:color w:val="000000"/>
                      <w:sz w:val="12"/>
                    </w:rPr>
                    <w:t>12,000</w:t>
                  </w:r>
                </w:p>
              </w:tc>
              <w:tc>
                <w:tcPr>
                  <w:tcW w:w="277" w:type="pct"/>
                  <w:tcBorders>
                    <w:top w:val="nil"/>
                    <w:left w:val="nil"/>
                    <w:bottom w:val="single" w:sz="4" w:space="0" w:color="auto"/>
                    <w:right w:val="single" w:sz="4" w:space="0" w:color="auto"/>
                  </w:tcBorders>
                  <w:shd w:val="clear" w:color="auto" w:fill="auto"/>
                  <w:noWrap/>
                  <w:vAlign w:val="bottom"/>
                  <w:hideMark/>
                </w:tcPr>
                <w:p w14:paraId="40951813"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80" w:type="pct"/>
                  <w:tcBorders>
                    <w:top w:val="nil"/>
                    <w:left w:val="nil"/>
                    <w:bottom w:val="single" w:sz="4" w:space="0" w:color="auto"/>
                    <w:right w:val="single" w:sz="4" w:space="0" w:color="auto"/>
                  </w:tcBorders>
                  <w:shd w:val="clear" w:color="auto" w:fill="auto"/>
                  <w:noWrap/>
                  <w:vAlign w:val="bottom"/>
                  <w:hideMark/>
                </w:tcPr>
                <w:p w14:paraId="32C95649"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400" w:type="pct"/>
                  <w:tcBorders>
                    <w:top w:val="nil"/>
                    <w:left w:val="nil"/>
                    <w:bottom w:val="single" w:sz="4" w:space="0" w:color="auto"/>
                    <w:right w:val="single" w:sz="4" w:space="0" w:color="auto"/>
                  </w:tcBorders>
                  <w:shd w:val="clear" w:color="auto" w:fill="auto"/>
                  <w:noWrap/>
                  <w:vAlign w:val="bottom"/>
                  <w:hideMark/>
                </w:tcPr>
                <w:p w14:paraId="71001000"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80" w:type="pct"/>
                  <w:tcBorders>
                    <w:top w:val="nil"/>
                    <w:left w:val="nil"/>
                    <w:bottom w:val="single" w:sz="4" w:space="0" w:color="auto"/>
                    <w:right w:val="single" w:sz="4" w:space="0" w:color="auto"/>
                  </w:tcBorders>
                  <w:shd w:val="clear" w:color="auto" w:fill="auto"/>
                  <w:noWrap/>
                  <w:vAlign w:val="bottom"/>
                  <w:hideMark/>
                </w:tcPr>
                <w:p w14:paraId="2A72B5E7"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3" w:type="pct"/>
                  <w:tcBorders>
                    <w:top w:val="nil"/>
                    <w:left w:val="nil"/>
                    <w:bottom w:val="single" w:sz="4" w:space="0" w:color="auto"/>
                    <w:right w:val="single" w:sz="4" w:space="0" w:color="auto"/>
                  </w:tcBorders>
                  <w:shd w:val="clear" w:color="auto" w:fill="auto"/>
                  <w:noWrap/>
                  <w:vAlign w:val="bottom"/>
                  <w:hideMark/>
                </w:tcPr>
                <w:p w14:paraId="0DB939F6"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3" w:type="pct"/>
                  <w:tcBorders>
                    <w:top w:val="nil"/>
                    <w:left w:val="nil"/>
                    <w:bottom w:val="single" w:sz="4" w:space="0" w:color="auto"/>
                    <w:right w:val="single" w:sz="4" w:space="0" w:color="auto"/>
                  </w:tcBorders>
                  <w:shd w:val="clear" w:color="auto" w:fill="auto"/>
                  <w:noWrap/>
                  <w:vAlign w:val="bottom"/>
                  <w:hideMark/>
                </w:tcPr>
                <w:p w14:paraId="15F13A15"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624DF571"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63CDEAA2" w14:textId="77777777" w:rsidR="006E0548" w:rsidRPr="00980B8C" w:rsidRDefault="006E0548" w:rsidP="006E0548">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p>
              </w:tc>
            </w:tr>
          </w:tbl>
          <w:p w14:paraId="73C4271B" w14:textId="77777777" w:rsidR="006E0548" w:rsidRDefault="006E0548" w:rsidP="006E0548">
            <w:pPr>
              <w:rPr>
                <w:rFonts w:cs="Arial"/>
                <w:b/>
                <w:bCs/>
              </w:rPr>
            </w:pPr>
          </w:p>
          <w:p w14:paraId="471D35D0" w14:textId="77777777" w:rsidR="006E0548" w:rsidRDefault="006E0548" w:rsidP="006E0548">
            <w:pPr>
              <w:rPr>
                <w:rFonts w:cs="Arial"/>
                <w:b/>
                <w:bCs/>
                <w:sz w:val="18"/>
                <w:szCs w:val="18"/>
                <w:u w:val="single"/>
              </w:rPr>
            </w:pPr>
            <w:r w:rsidRPr="39712EE9">
              <w:rPr>
                <w:rFonts w:cs="Arial"/>
                <w:b/>
                <w:bCs/>
                <w:sz w:val="18"/>
                <w:szCs w:val="18"/>
                <w:u w:val="single"/>
              </w:rPr>
              <w:t>Key</w:t>
            </w:r>
            <w:r>
              <w:rPr>
                <w:noProof/>
              </w:rPr>
              <w:drawing>
                <wp:inline distT="0" distB="0" distL="0" distR="0" wp14:anchorId="2D509C24" wp14:editId="0882E0F5">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p w14:paraId="46A641E8" w14:textId="77777777" w:rsidR="00793964" w:rsidRDefault="00793964" w:rsidP="006E0548">
            <w:pPr>
              <w:rPr>
                <w:rFonts w:cs="Arial"/>
                <w:b/>
                <w:sz w:val="18"/>
                <w:szCs w:val="18"/>
                <w:u w:val="single"/>
              </w:rPr>
            </w:pPr>
          </w:p>
          <w:p w14:paraId="733B36D9" w14:textId="77777777" w:rsidR="00793964" w:rsidRPr="00982681" w:rsidRDefault="00793964" w:rsidP="006E0548">
            <w:pPr>
              <w:rPr>
                <w:rFonts w:cs="Arial"/>
                <w:b/>
                <w:sz w:val="18"/>
                <w:szCs w:val="18"/>
                <w:u w:val="single"/>
              </w:rPr>
            </w:pPr>
          </w:p>
        </w:tc>
      </w:tr>
      <w:tr w:rsidR="006E0548" w:rsidRPr="002B2E87" w14:paraId="4F179F85" w14:textId="77777777" w:rsidTr="00CA58D2">
        <w:tc>
          <w:tcPr>
            <w:tcW w:w="5000" w:type="pct"/>
            <w:gridSpan w:val="2"/>
            <w:shd w:val="clear" w:color="auto" w:fill="3E5AA8" w:themeFill="accent1"/>
            <w:vAlign w:val="center"/>
          </w:tcPr>
          <w:p w14:paraId="336F4786" w14:textId="77777777" w:rsidR="006E0548" w:rsidRPr="002B2E87" w:rsidRDefault="006E0548" w:rsidP="006E0548">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6E0548" w:rsidRPr="002B2E87" w14:paraId="6587E866" w14:textId="77777777" w:rsidTr="00CA58D2">
        <w:tc>
          <w:tcPr>
            <w:tcW w:w="5000" w:type="pct"/>
            <w:gridSpan w:val="2"/>
            <w:shd w:val="clear" w:color="auto" w:fill="auto"/>
          </w:tcPr>
          <w:p w14:paraId="584F81DD" w14:textId="77777777" w:rsidR="006E0548" w:rsidRDefault="006E0548" w:rsidP="006E0548">
            <w:pPr>
              <w:pStyle w:val="ListParagraph"/>
              <w:ind w:left="0"/>
              <w:rPr>
                <w:rFonts w:cs="Arial"/>
                <w:i/>
                <w:color w:val="0070C0"/>
              </w:rPr>
            </w:pPr>
            <w:r w:rsidRPr="00E636BC">
              <w:rPr>
                <w:rFonts w:cs="Arial"/>
                <w:i/>
                <w:color w:val="0070C0"/>
              </w:rPr>
              <w:t xml:space="preserve">Please detail any projected increase or decrease in cost to any of Xoserve’s service areas, and within them any service lines, as a result of this change. </w:t>
            </w:r>
          </w:p>
          <w:p w14:paraId="7D35DF3C" w14:textId="77777777" w:rsidR="006E0548" w:rsidRPr="001E58AF" w:rsidRDefault="006E0548" w:rsidP="006E0548">
            <w:pPr>
              <w:contextualSpacing/>
              <w:rPr>
                <w:rFonts w:eastAsia="Times New Roman" w:cs="Arial"/>
                <w:i/>
                <w:color w:val="0070C0"/>
                <w:sz w:val="20"/>
                <w:szCs w:val="24"/>
                <w:u w:val="single"/>
                <w:lang w:eastAsia="en-US"/>
              </w:rPr>
            </w:pPr>
            <w:r w:rsidRPr="001E58AF">
              <w:rPr>
                <w:rFonts w:eastAsia="Times New Roman" w:cs="Arial"/>
                <w:i/>
                <w:color w:val="0070C0"/>
                <w:sz w:val="20"/>
                <w:szCs w:val="24"/>
                <w:u w:val="single"/>
                <w:lang w:eastAsia="en-US"/>
              </w:rPr>
              <w:t>Impacts to Ongoing Costs Example</w:t>
            </w:r>
          </w:p>
          <w:p w14:paraId="16C20CD7" w14:textId="77777777" w:rsidR="006E0548" w:rsidRDefault="006E0548" w:rsidP="006E0548">
            <w:pPr>
              <w:contextualSpacing/>
              <w:rPr>
                <w:rFonts w:eastAsia="Times New Roman" w:cs="Arial"/>
                <w:b/>
                <w:sz w:val="20"/>
                <w:u w:val="single"/>
              </w:rPr>
            </w:pPr>
          </w:p>
          <w:p w14:paraId="2D735A51" w14:textId="77777777" w:rsidR="00793964" w:rsidRDefault="00793964" w:rsidP="006E0548">
            <w:pPr>
              <w:contextualSpacing/>
              <w:rPr>
                <w:rFonts w:eastAsia="Times New Roman" w:cs="Arial"/>
                <w:b/>
                <w:sz w:val="20"/>
                <w:u w:val="single"/>
              </w:rPr>
            </w:pPr>
          </w:p>
          <w:tbl>
            <w:tblPr>
              <w:tblStyle w:val="TableGrid1"/>
              <w:tblpPr w:leftFromText="180" w:rightFromText="180" w:vertAnchor="text" w:horzAnchor="margin" w:tblpY="-193"/>
              <w:tblOverlap w:val="never"/>
              <w:tblW w:w="9360" w:type="dxa"/>
              <w:tblLook w:val="04A0" w:firstRow="1" w:lastRow="0" w:firstColumn="1" w:lastColumn="0" w:noHBand="0" w:noVBand="1"/>
            </w:tblPr>
            <w:tblGrid>
              <w:gridCol w:w="960"/>
              <w:gridCol w:w="2835"/>
              <w:gridCol w:w="2765"/>
              <w:gridCol w:w="2800"/>
            </w:tblGrid>
            <w:tr w:rsidR="00793964" w:rsidRPr="00E45748" w14:paraId="49C9FCA2" w14:textId="77777777" w:rsidTr="00793964">
              <w:trPr>
                <w:trHeight w:val="520"/>
              </w:trPr>
              <w:tc>
                <w:tcPr>
                  <w:tcW w:w="960" w:type="dxa"/>
                  <w:hideMark/>
                </w:tcPr>
                <w:p w14:paraId="3D5C9078" w14:textId="77777777" w:rsidR="00793964" w:rsidRPr="00E45748" w:rsidRDefault="00793964" w:rsidP="00793964">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31F2A88" w14:textId="77777777" w:rsidR="00793964" w:rsidRPr="00E45748" w:rsidRDefault="00793964" w:rsidP="00793964">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7DAF5C33" w14:textId="77777777" w:rsidR="00793964" w:rsidRPr="00E45748" w:rsidRDefault="00793964" w:rsidP="00793964">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4B710497" w14:textId="77777777" w:rsidR="00793964" w:rsidRPr="00E45748" w:rsidRDefault="00793964" w:rsidP="00793964">
                  <w:pPr>
                    <w:jc w:val="center"/>
                    <w:rPr>
                      <w:rFonts w:eastAsia="Times New Roman" w:cs="Arial"/>
                      <w:b/>
                      <w:bCs/>
                      <w:color w:val="000000"/>
                      <w:sz w:val="20"/>
                      <w:szCs w:val="20"/>
                    </w:rPr>
                  </w:pPr>
                  <w:r>
                    <w:rPr>
                      <w:rFonts w:cs="Arial"/>
                      <w:b/>
                      <w:bCs/>
                      <w:color w:val="000000"/>
                      <w:sz w:val="20"/>
                      <w:szCs w:val="20"/>
                    </w:rPr>
                    <w:t>(+/-) Projected Change in Annual Cost</w:t>
                  </w:r>
                </w:p>
              </w:tc>
            </w:tr>
            <w:tr w:rsidR="00793964" w:rsidRPr="00E45748" w14:paraId="01E14465" w14:textId="77777777" w:rsidTr="00793964">
              <w:trPr>
                <w:trHeight w:val="690"/>
              </w:trPr>
              <w:tc>
                <w:tcPr>
                  <w:tcW w:w="960" w:type="dxa"/>
                  <w:vAlign w:val="center"/>
                  <w:hideMark/>
                </w:tcPr>
                <w:p w14:paraId="64ED9C48" w14:textId="77777777" w:rsidR="00793964" w:rsidRPr="00793964" w:rsidRDefault="00793964" w:rsidP="00793964">
                  <w:pPr>
                    <w:jc w:val="right"/>
                    <w:rPr>
                      <w:rFonts w:eastAsia="Times New Roman" w:cs="Arial"/>
                      <w:sz w:val="20"/>
                    </w:rPr>
                  </w:pPr>
                  <w:r w:rsidRPr="00793964">
                    <w:rPr>
                      <w:rFonts w:eastAsia="Times New Roman" w:cs="Arial"/>
                      <w:sz w:val="20"/>
                    </w:rPr>
                    <w:t>5321</w:t>
                  </w:r>
                </w:p>
              </w:tc>
              <w:tc>
                <w:tcPr>
                  <w:tcW w:w="2835" w:type="dxa"/>
                  <w:vAlign w:val="center"/>
                  <w:hideMark/>
                </w:tcPr>
                <w:p w14:paraId="0A91504C" w14:textId="77777777" w:rsidR="00793964" w:rsidRPr="001E58AF" w:rsidRDefault="00793964" w:rsidP="00793964">
                  <w:pPr>
                    <w:rPr>
                      <w:rFonts w:eastAsia="Times New Roman" w:cs="Arial"/>
                      <w:i/>
                      <w:color w:val="0070C0"/>
                      <w:sz w:val="20"/>
                      <w:szCs w:val="24"/>
                      <w:lang w:eastAsia="en-US"/>
                    </w:rPr>
                  </w:pPr>
                  <w:r>
                    <w:rPr>
                      <w:rFonts w:eastAsia="Times New Roman" w:cs="Arial"/>
                      <w:sz w:val="20"/>
                    </w:rPr>
                    <w:t xml:space="preserve">Data Discovery Platform </w:t>
                  </w:r>
                </w:p>
              </w:tc>
              <w:tc>
                <w:tcPr>
                  <w:tcW w:w="2765" w:type="dxa"/>
                  <w:vAlign w:val="center"/>
                  <w:hideMark/>
                </w:tcPr>
                <w:p w14:paraId="03C23ACC" w14:textId="77777777" w:rsidR="00793964" w:rsidRPr="001E58AF" w:rsidRDefault="00793964" w:rsidP="00793964">
                  <w:pPr>
                    <w:jc w:val="center"/>
                    <w:rPr>
                      <w:rFonts w:eastAsia="Times New Roman" w:cs="Arial"/>
                      <w:i/>
                      <w:color w:val="0070C0"/>
                      <w:sz w:val="20"/>
                      <w:szCs w:val="24"/>
                      <w:lang w:eastAsia="en-US"/>
                    </w:rPr>
                  </w:pPr>
                  <w:r>
                    <w:rPr>
                      <w:rFonts w:eastAsia="Times New Roman" w:cs="Arial"/>
                      <w:sz w:val="20"/>
                    </w:rPr>
                    <w:t>Non-currently identified</w:t>
                  </w:r>
                </w:p>
              </w:tc>
              <w:tc>
                <w:tcPr>
                  <w:tcW w:w="2800" w:type="dxa"/>
                  <w:vAlign w:val="center"/>
                  <w:hideMark/>
                </w:tcPr>
                <w:p w14:paraId="4D5646A7" w14:textId="77777777" w:rsidR="00793964" w:rsidRPr="001E58AF" w:rsidRDefault="00793964" w:rsidP="00793964">
                  <w:pPr>
                    <w:jc w:val="right"/>
                    <w:rPr>
                      <w:rFonts w:eastAsia="Times New Roman" w:cs="Arial"/>
                      <w:i/>
                      <w:color w:val="0070C0"/>
                      <w:sz w:val="20"/>
                      <w:szCs w:val="24"/>
                      <w:lang w:eastAsia="en-US"/>
                    </w:rPr>
                  </w:pPr>
                  <w:r>
                    <w:rPr>
                      <w:rFonts w:eastAsia="Times New Roman" w:cs="Arial"/>
                      <w:sz w:val="20"/>
                    </w:rPr>
                    <w:t>Non-currently identified</w:t>
                  </w:r>
                </w:p>
              </w:tc>
            </w:tr>
            <w:tr w:rsidR="00793964" w:rsidRPr="00E45748" w14:paraId="74D11FC4" w14:textId="77777777" w:rsidTr="00793964">
              <w:trPr>
                <w:trHeight w:val="290"/>
              </w:trPr>
              <w:tc>
                <w:tcPr>
                  <w:tcW w:w="6560" w:type="dxa"/>
                  <w:gridSpan w:val="3"/>
                  <w:vAlign w:val="center"/>
                </w:tcPr>
                <w:p w14:paraId="3A09945C" w14:textId="77777777" w:rsidR="00793964" w:rsidRPr="007E4EA6" w:rsidRDefault="00793964" w:rsidP="00793964">
                  <w:pPr>
                    <w:jc w:val="right"/>
                    <w:rPr>
                      <w:rFonts w:cs="Arial"/>
                      <w:color w:val="000000"/>
                      <w:sz w:val="18"/>
                      <w:szCs w:val="18"/>
                    </w:rPr>
                  </w:pPr>
                  <w:r>
                    <w:rPr>
                      <w:rFonts w:cs="Arial"/>
                      <w:color w:val="000000"/>
                      <w:sz w:val="18"/>
                      <w:szCs w:val="18"/>
                    </w:rPr>
                    <w:t>Total</w:t>
                  </w:r>
                </w:p>
              </w:tc>
              <w:tc>
                <w:tcPr>
                  <w:tcW w:w="2800" w:type="dxa"/>
                  <w:vAlign w:val="center"/>
                </w:tcPr>
                <w:p w14:paraId="1C8D53B6" w14:textId="77777777" w:rsidR="00793964" w:rsidRPr="6EEFDFBD" w:rsidRDefault="00793964" w:rsidP="00793964">
                  <w:pPr>
                    <w:jc w:val="right"/>
                    <w:rPr>
                      <w:rFonts w:cs="Arial"/>
                      <w:color w:val="000000" w:themeColor="text1"/>
                      <w:sz w:val="18"/>
                      <w:szCs w:val="18"/>
                    </w:rPr>
                  </w:pPr>
                  <w:r>
                    <w:rPr>
                      <w:rFonts w:cs="Arial"/>
                      <w:color w:val="000000" w:themeColor="text1"/>
                      <w:sz w:val="18"/>
                      <w:szCs w:val="18"/>
                    </w:rPr>
                    <w:t>£0.00</w:t>
                  </w:r>
                </w:p>
              </w:tc>
            </w:tr>
          </w:tbl>
          <w:p w14:paraId="6D9BD8D6" w14:textId="77777777" w:rsidR="006E0548" w:rsidRDefault="006E0548" w:rsidP="006E0548">
            <w:pPr>
              <w:contextualSpacing/>
              <w:rPr>
                <w:rFonts w:eastAsia="Times New Roman" w:cs="Arial"/>
                <w:b/>
                <w:szCs w:val="16"/>
              </w:rPr>
            </w:pPr>
          </w:p>
          <w:p w14:paraId="12411323" w14:textId="58C73728" w:rsidR="00A63CEC" w:rsidRPr="002B2E87" w:rsidRDefault="00A63CEC" w:rsidP="006E0548">
            <w:pPr>
              <w:contextualSpacing/>
              <w:rPr>
                <w:rFonts w:eastAsia="Times New Roman" w:cs="Arial"/>
                <w:b/>
                <w:szCs w:val="16"/>
              </w:rPr>
            </w:pPr>
          </w:p>
        </w:tc>
        <w:bookmarkStart w:id="1" w:name="_GoBack"/>
        <w:bookmarkEnd w:id="1"/>
      </w:tr>
      <w:tr w:rsidR="006E0548" w:rsidRPr="002B2E87" w14:paraId="4B3C3927" w14:textId="77777777" w:rsidTr="00CA58D2">
        <w:tc>
          <w:tcPr>
            <w:tcW w:w="5000" w:type="pct"/>
            <w:gridSpan w:val="2"/>
            <w:shd w:val="clear" w:color="auto" w:fill="3E5AA8" w:themeFill="accent1"/>
            <w:vAlign w:val="center"/>
          </w:tcPr>
          <w:p w14:paraId="29EB8439" w14:textId="77777777" w:rsidR="006E0548" w:rsidRPr="002B2E87" w:rsidRDefault="006E0548" w:rsidP="006E0548">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6E0548" w:rsidRPr="002B2E87" w14:paraId="05298A01" w14:textId="77777777" w:rsidTr="00CA58D2">
        <w:tc>
          <w:tcPr>
            <w:tcW w:w="5000" w:type="pct"/>
            <w:gridSpan w:val="2"/>
            <w:shd w:val="clear" w:color="auto" w:fill="auto"/>
          </w:tcPr>
          <w:p w14:paraId="19051161" w14:textId="5D49DC65" w:rsidR="00793964" w:rsidRDefault="00793964" w:rsidP="006E0548">
            <w:pPr>
              <w:rPr>
                <w:rFonts w:eastAsia="Times New Roman" w:cs="Arial"/>
                <w:b/>
                <w:sz w:val="20"/>
                <w:szCs w:val="16"/>
              </w:rPr>
            </w:pPr>
            <w:r>
              <w:rPr>
                <w:rFonts w:eastAsia="Times New Roman" w:cs="Arial"/>
                <w:sz w:val="20"/>
                <w:szCs w:val="16"/>
              </w:rPr>
              <w:t xml:space="preserve">The Data Discovery Platform is being run as an Agile Project methodology. Governance will look at the </w:t>
            </w:r>
            <w:r w:rsidR="00580173">
              <w:rPr>
                <w:rFonts w:eastAsia="Times New Roman" w:cs="Arial"/>
                <w:sz w:val="20"/>
                <w:szCs w:val="16"/>
              </w:rPr>
              <w:t>Release</w:t>
            </w:r>
            <w:r>
              <w:rPr>
                <w:rFonts w:eastAsia="Times New Roman" w:cs="Arial"/>
                <w:sz w:val="20"/>
                <w:szCs w:val="16"/>
              </w:rPr>
              <w:t xml:space="preserve">s combined, using governance and the agreed artefacts for delivery.  Any User Stories not delivered as part of this </w:t>
            </w:r>
            <w:r w:rsidR="00580173">
              <w:rPr>
                <w:rFonts w:eastAsia="Times New Roman" w:cs="Arial"/>
                <w:sz w:val="20"/>
                <w:szCs w:val="16"/>
              </w:rPr>
              <w:t>Release</w:t>
            </w:r>
            <w:r>
              <w:rPr>
                <w:rFonts w:eastAsia="Times New Roman" w:cs="Arial"/>
                <w:sz w:val="20"/>
                <w:szCs w:val="16"/>
              </w:rPr>
              <w:t xml:space="preserve">, will go back into the Product Backlog and delivered at a later </w:t>
            </w:r>
            <w:r w:rsidR="00580173">
              <w:rPr>
                <w:rFonts w:eastAsia="Times New Roman" w:cs="Arial"/>
                <w:sz w:val="20"/>
                <w:szCs w:val="16"/>
              </w:rPr>
              <w:t>Release</w:t>
            </w:r>
            <w:r>
              <w:rPr>
                <w:rFonts w:eastAsia="Times New Roman" w:cs="Arial"/>
                <w:sz w:val="20"/>
                <w:szCs w:val="16"/>
              </w:rPr>
              <w:t>.</w:t>
            </w:r>
          </w:p>
          <w:p w14:paraId="72786D62" w14:textId="77777777" w:rsidR="00793964" w:rsidRDefault="00793964" w:rsidP="006E0548">
            <w:pPr>
              <w:rPr>
                <w:rFonts w:eastAsia="Times New Roman" w:cs="Arial"/>
                <w:b/>
                <w:sz w:val="20"/>
                <w:szCs w:val="16"/>
              </w:rPr>
            </w:pPr>
          </w:p>
          <w:p w14:paraId="11093CD2" w14:textId="67F5872C" w:rsidR="006E0548" w:rsidRDefault="00E7234A" w:rsidP="006E0548">
            <w:pPr>
              <w:rPr>
                <w:rFonts w:eastAsia="Times New Roman" w:cs="Arial"/>
                <w:b/>
                <w:sz w:val="20"/>
                <w:szCs w:val="16"/>
              </w:rPr>
            </w:pPr>
            <w:r>
              <w:rPr>
                <w:noProof/>
              </w:rPr>
              <w:drawing>
                <wp:inline distT="0" distB="0" distL="0" distR="0" wp14:anchorId="514FA223" wp14:editId="10B5367B">
                  <wp:extent cx="6064250" cy="22276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15" t="37818" r="44826" b="30274"/>
                          <a:stretch/>
                        </pic:blipFill>
                        <pic:spPr bwMode="auto">
                          <a:xfrm>
                            <a:off x="0" y="0"/>
                            <a:ext cx="6119878" cy="2248119"/>
                          </a:xfrm>
                          <a:prstGeom prst="rect">
                            <a:avLst/>
                          </a:prstGeom>
                          <a:ln>
                            <a:noFill/>
                          </a:ln>
                          <a:extLst>
                            <a:ext uri="{53640926-AAD7-44D8-BBD7-CCE9431645EC}">
                              <a14:shadowObscured xmlns:a14="http://schemas.microsoft.com/office/drawing/2010/main"/>
                            </a:ext>
                          </a:extLst>
                        </pic:spPr>
                      </pic:pic>
                    </a:graphicData>
                  </a:graphic>
                </wp:inline>
              </w:drawing>
            </w:r>
          </w:p>
          <w:p w14:paraId="2A6EED47" w14:textId="77777777" w:rsidR="006E0548" w:rsidRDefault="006E0548" w:rsidP="006E0548">
            <w:pPr>
              <w:rPr>
                <w:rFonts w:eastAsia="Times New Roman" w:cs="Arial"/>
                <w:b/>
                <w:sz w:val="20"/>
                <w:szCs w:val="16"/>
              </w:rPr>
            </w:pPr>
          </w:p>
          <w:p w14:paraId="7C917DFA" w14:textId="77777777" w:rsidR="006E0548" w:rsidRDefault="006E0548" w:rsidP="006E0548">
            <w:pPr>
              <w:rPr>
                <w:rFonts w:eastAsia="Times New Roman" w:cs="Arial"/>
                <w:b/>
                <w:sz w:val="20"/>
                <w:szCs w:val="16"/>
              </w:rPr>
            </w:pPr>
          </w:p>
          <w:p w14:paraId="749AE112" w14:textId="77777777" w:rsidR="006E0548" w:rsidRDefault="006E0548" w:rsidP="006E0548">
            <w:pPr>
              <w:rPr>
                <w:rFonts w:eastAsia="Times New Roman" w:cs="Arial"/>
                <w:b/>
                <w:sz w:val="20"/>
                <w:szCs w:val="16"/>
              </w:rPr>
            </w:pPr>
          </w:p>
          <w:p w14:paraId="74B9561D" w14:textId="77777777" w:rsidR="006E0548" w:rsidRPr="002B2E87" w:rsidRDefault="006E0548" w:rsidP="006E0548">
            <w:pPr>
              <w:rPr>
                <w:rFonts w:eastAsia="Times New Roman" w:cs="Arial"/>
                <w:b/>
                <w:sz w:val="20"/>
                <w:szCs w:val="16"/>
              </w:rPr>
            </w:pPr>
          </w:p>
        </w:tc>
      </w:tr>
      <w:tr w:rsidR="006E0548" w:rsidRPr="002B2E87" w14:paraId="0508FEBB" w14:textId="77777777" w:rsidTr="00CA58D2">
        <w:tc>
          <w:tcPr>
            <w:tcW w:w="5000" w:type="pct"/>
            <w:gridSpan w:val="2"/>
            <w:shd w:val="clear" w:color="auto" w:fill="3E5AA8" w:themeFill="accent1"/>
            <w:vAlign w:val="center"/>
          </w:tcPr>
          <w:p w14:paraId="259FF865" w14:textId="77777777" w:rsidR="006E0548" w:rsidRPr="002B2E87" w:rsidRDefault="006E0548" w:rsidP="006E0548">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6E0548" w:rsidRPr="002B2E87" w14:paraId="4C9F6273" w14:textId="77777777" w:rsidTr="00CA58D2">
        <w:tc>
          <w:tcPr>
            <w:tcW w:w="5000" w:type="pct"/>
            <w:gridSpan w:val="2"/>
            <w:shd w:val="clear" w:color="auto" w:fill="auto"/>
          </w:tcPr>
          <w:p w14:paraId="4520FCB6" w14:textId="77777777" w:rsidR="006E0548" w:rsidRDefault="006E0548" w:rsidP="006E0548">
            <w:pPr>
              <w:rPr>
                <w:rFonts w:cs="Arial"/>
                <w:b/>
                <w:i/>
                <w:sz w:val="20"/>
                <w:szCs w:val="20"/>
              </w:rPr>
            </w:pPr>
          </w:p>
          <w:p w14:paraId="1D8BB579" w14:textId="77777777" w:rsidR="006E0548" w:rsidRDefault="006E0548" w:rsidP="006E0548">
            <w:pPr>
              <w:rPr>
                <w:rFonts w:cs="Arial"/>
                <w:b/>
                <w:sz w:val="20"/>
                <w:szCs w:val="20"/>
              </w:rPr>
            </w:pPr>
            <w:r>
              <w:rPr>
                <w:rFonts w:cs="Arial"/>
                <w:b/>
                <w:sz w:val="20"/>
                <w:szCs w:val="20"/>
              </w:rPr>
              <w:t>Risk Margin</w:t>
            </w:r>
          </w:p>
          <w:p w14:paraId="13BDB741" w14:textId="77777777" w:rsidR="006E0548" w:rsidRDefault="006E0548" w:rsidP="006E0548">
            <w:pPr>
              <w:rPr>
                <w:rFonts w:cs="Arial"/>
                <w:sz w:val="18"/>
                <w:szCs w:val="18"/>
              </w:rPr>
            </w:pPr>
          </w:p>
          <w:tbl>
            <w:tblPr>
              <w:tblW w:w="9544" w:type="dxa"/>
              <w:tblLook w:val="04A0" w:firstRow="1" w:lastRow="0" w:firstColumn="1" w:lastColumn="0" w:noHBand="0" w:noVBand="1"/>
            </w:tblPr>
            <w:tblGrid>
              <w:gridCol w:w="960"/>
              <w:gridCol w:w="2064"/>
              <w:gridCol w:w="6520"/>
            </w:tblGrid>
            <w:tr w:rsidR="006E0548" w:rsidRPr="0009754E" w14:paraId="4A3623CF" w14:textId="77777777" w:rsidTr="00980B8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702BF959" w14:textId="77777777" w:rsidR="006E0548" w:rsidRPr="0009754E" w:rsidRDefault="006E0548" w:rsidP="006E0548">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6209C923" w14:textId="77777777" w:rsidR="006E0548" w:rsidRPr="0009754E" w:rsidRDefault="006E0548" w:rsidP="006E0548">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Risk Margin</w:t>
                  </w:r>
                </w:p>
              </w:tc>
              <w:tc>
                <w:tcPr>
                  <w:tcW w:w="6520" w:type="dxa"/>
                  <w:tcBorders>
                    <w:top w:val="single" w:sz="8" w:space="0" w:color="auto"/>
                    <w:left w:val="nil"/>
                    <w:bottom w:val="single" w:sz="8" w:space="0" w:color="auto"/>
                    <w:right w:val="single" w:sz="8" w:space="0" w:color="auto"/>
                  </w:tcBorders>
                  <w:shd w:val="clear" w:color="auto" w:fill="44546A"/>
                  <w:noWrap/>
                  <w:vAlign w:val="center"/>
                  <w:hideMark/>
                </w:tcPr>
                <w:p w14:paraId="2C761CA8" w14:textId="77777777" w:rsidR="006E0548" w:rsidRPr="0009754E" w:rsidRDefault="006E0548" w:rsidP="006E0548">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Description</w:t>
                  </w:r>
                </w:p>
              </w:tc>
            </w:tr>
            <w:tr w:rsidR="006E0548" w:rsidRPr="0009754E" w14:paraId="04227698"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08A0AE" w14:textId="77777777" w:rsidR="006E0548" w:rsidRPr="0009754E" w:rsidRDefault="006E0548" w:rsidP="006E0548">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XXXX</w:t>
                  </w:r>
                </w:p>
              </w:tc>
              <w:tc>
                <w:tcPr>
                  <w:tcW w:w="2064" w:type="dxa"/>
                  <w:tcBorders>
                    <w:top w:val="nil"/>
                    <w:left w:val="nil"/>
                    <w:bottom w:val="single" w:sz="8" w:space="0" w:color="auto"/>
                    <w:right w:val="single" w:sz="8" w:space="0" w:color="auto"/>
                  </w:tcBorders>
                  <w:shd w:val="clear" w:color="auto" w:fill="auto"/>
                  <w:noWrap/>
                  <w:vAlign w:val="center"/>
                  <w:hideMark/>
                </w:tcPr>
                <w:p w14:paraId="5808FCF0" w14:textId="77777777" w:rsidR="006E0548" w:rsidRPr="0009754E" w:rsidRDefault="006E0548" w:rsidP="006E0548">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£XXXX</w:t>
                  </w:r>
                </w:p>
              </w:tc>
              <w:tc>
                <w:tcPr>
                  <w:tcW w:w="6520" w:type="dxa"/>
                  <w:tcBorders>
                    <w:top w:val="nil"/>
                    <w:left w:val="nil"/>
                    <w:bottom w:val="single" w:sz="8" w:space="0" w:color="auto"/>
                    <w:right w:val="single" w:sz="8" w:space="0" w:color="auto"/>
                  </w:tcBorders>
                  <w:shd w:val="clear" w:color="auto" w:fill="auto"/>
                  <w:noWrap/>
                  <w:vAlign w:val="center"/>
                  <w:hideMark/>
                </w:tcPr>
                <w:p w14:paraId="6BDC7932" w14:textId="77777777" w:rsidR="006E0548" w:rsidRPr="0009754E" w:rsidRDefault="006E0548" w:rsidP="006E0548">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Change to requirements - timebound to end of PIS</w:t>
                  </w:r>
                </w:p>
              </w:tc>
            </w:tr>
            <w:tr w:rsidR="006E0548" w:rsidRPr="0009754E" w14:paraId="6B3C1DC9"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92C4969"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2064" w:type="dxa"/>
                  <w:tcBorders>
                    <w:top w:val="nil"/>
                    <w:left w:val="nil"/>
                    <w:bottom w:val="single" w:sz="8" w:space="0" w:color="auto"/>
                    <w:right w:val="single" w:sz="8" w:space="0" w:color="auto"/>
                  </w:tcBorders>
                  <w:shd w:val="clear" w:color="auto" w:fill="auto"/>
                  <w:noWrap/>
                  <w:vAlign w:val="center"/>
                </w:tcPr>
                <w:p w14:paraId="730910B7"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6520" w:type="dxa"/>
                  <w:tcBorders>
                    <w:top w:val="nil"/>
                    <w:left w:val="nil"/>
                    <w:bottom w:val="single" w:sz="8" w:space="0" w:color="auto"/>
                    <w:right w:val="single" w:sz="8" w:space="0" w:color="auto"/>
                  </w:tcBorders>
                  <w:shd w:val="clear" w:color="auto" w:fill="auto"/>
                  <w:noWrap/>
                  <w:vAlign w:val="center"/>
                </w:tcPr>
                <w:p w14:paraId="3DD338F0"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r>
            <w:tr w:rsidR="006E0548" w:rsidRPr="0009754E" w14:paraId="4B184CEF" w14:textId="77777777" w:rsidTr="00980B8C">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tcPr>
                <w:p w14:paraId="7C4F969C"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2064" w:type="dxa"/>
                  <w:tcBorders>
                    <w:top w:val="nil"/>
                    <w:left w:val="nil"/>
                    <w:bottom w:val="single" w:sz="4" w:space="0" w:color="auto"/>
                    <w:right w:val="single" w:sz="8" w:space="0" w:color="auto"/>
                  </w:tcBorders>
                  <w:shd w:val="clear" w:color="auto" w:fill="auto"/>
                  <w:noWrap/>
                  <w:vAlign w:val="center"/>
                </w:tcPr>
                <w:p w14:paraId="1451E2C6"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6520" w:type="dxa"/>
                  <w:tcBorders>
                    <w:top w:val="nil"/>
                    <w:left w:val="nil"/>
                    <w:bottom w:val="single" w:sz="4" w:space="0" w:color="auto"/>
                    <w:right w:val="single" w:sz="8" w:space="0" w:color="auto"/>
                  </w:tcBorders>
                  <w:shd w:val="clear" w:color="auto" w:fill="auto"/>
                  <w:noWrap/>
                  <w:vAlign w:val="center"/>
                </w:tcPr>
                <w:p w14:paraId="24758266"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r>
            <w:tr w:rsidR="006E0548" w:rsidRPr="0009754E" w14:paraId="3FE5170F" w14:textId="77777777" w:rsidTr="00980B8C">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4C4A68"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4FCF72F6"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c>
                <w:tcPr>
                  <w:tcW w:w="6520" w:type="dxa"/>
                  <w:tcBorders>
                    <w:top w:val="single" w:sz="4" w:space="0" w:color="auto"/>
                    <w:left w:val="nil"/>
                    <w:bottom w:val="single" w:sz="4" w:space="0" w:color="auto"/>
                    <w:right w:val="single" w:sz="8" w:space="0" w:color="auto"/>
                  </w:tcBorders>
                  <w:shd w:val="clear" w:color="auto" w:fill="auto"/>
                  <w:noWrap/>
                  <w:vAlign w:val="center"/>
                </w:tcPr>
                <w:p w14:paraId="647A38E2" w14:textId="77777777" w:rsidR="006E0548" w:rsidRPr="0009754E" w:rsidRDefault="006E0548" w:rsidP="006E0548">
                  <w:pPr>
                    <w:spacing w:after="0" w:line="240" w:lineRule="auto"/>
                    <w:jc w:val="center"/>
                    <w:rPr>
                      <w:rFonts w:ascii="Calibri" w:eastAsia="Times New Roman" w:hAnsi="Calibri" w:cs="Calibri"/>
                      <w:color w:val="000000"/>
                      <w:sz w:val="14"/>
                      <w:szCs w:val="14"/>
                    </w:rPr>
                  </w:pPr>
                </w:p>
              </w:tc>
            </w:tr>
            <w:tr w:rsidR="006E0548" w:rsidRPr="0009754E" w14:paraId="78103581" w14:textId="77777777" w:rsidTr="00980B8C">
              <w:trPr>
                <w:trHeight w:val="300"/>
              </w:trPr>
              <w:tc>
                <w:tcPr>
                  <w:tcW w:w="960" w:type="dxa"/>
                  <w:tcBorders>
                    <w:top w:val="single" w:sz="4" w:space="0" w:color="auto"/>
                    <w:left w:val="single" w:sz="8" w:space="0" w:color="auto"/>
                    <w:bottom w:val="single" w:sz="8" w:space="0" w:color="auto"/>
                    <w:right w:val="single" w:sz="8" w:space="0" w:color="auto"/>
                  </w:tcBorders>
                  <w:shd w:val="clear" w:color="auto" w:fill="auto"/>
                  <w:noWrap/>
                </w:tcPr>
                <w:p w14:paraId="52B275F0" w14:textId="77777777" w:rsidR="006E0548" w:rsidRDefault="006E0548" w:rsidP="006E0548">
                  <w:pPr>
                    <w:spacing w:after="0" w:line="240" w:lineRule="auto"/>
                    <w:jc w:val="center"/>
                    <w:rPr>
                      <w:rFonts w:ascii="Calibri" w:hAnsi="Calibri" w:cs="Calibri"/>
                      <w:color w:val="000000"/>
                      <w:sz w:val="14"/>
                      <w:szCs w:val="14"/>
                    </w:rPr>
                  </w:pPr>
                </w:p>
              </w:tc>
              <w:tc>
                <w:tcPr>
                  <w:tcW w:w="2064" w:type="dxa"/>
                  <w:tcBorders>
                    <w:top w:val="single" w:sz="4" w:space="0" w:color="auto"/>
                    <w:left w:val="nil"/>
                    <w:bottom w:val="single" w:sz="8" w:space="0" w:color="auto"/>
                    <w:right w:val="single" w:sz="8" w:space="0" w:color="auto"/>
                  </w:tcBorders>
                  <w:shd w:val="clear" w:color="auto" w:fill="auto"/>
                  <w:noWrap/>
                </w:tcPr>
                <w:p w14:paraId="236349B6" w14:textId="77777777" w:rsidR="006E0548" w:rsidRDefault="006E0548" w:rsidP="006E0548">
                  <w:pPr>
                    <w:spacing w:after="0" w:line="240" w:lineRule="auto"/>
                    <w:jc w:val="center"/>
                    <w:rPr>
                      <w:rFonts w:ascii="Calibri" w:hAnsi="Calibri" w:cs="Calibri"/>
                      <w:color w:val="000000"/>
                      <w:sz w:val="14"/>
                      <w:szCs w:val="14"/>
                    </w:rPr>
                  </w:pPr>
                </w:p>
              </w:tc>
              <w:tc>
                <w:tcPr>
                  <w:tcW w:w="6520" w:type="dxa"/>
                  <w:tcBorders>
                    <w:top w:val="single" w:sz="4" w:space="0" w:color="auto"/>
                    <w:left w:val="nil"/>
                    <w:bottom w:val="single" w:sz="8" w:space="0" w:color="auto"/>
                    <w:right w:val="single" w:sz="8" w:space="0" w:color="auto"/>
                  </w:tcBorders>
                  <w:shd w:val="clear" w:color="auto" w:fill="auto"/>
                  <w:noWrap/>
                </w:tcPr>
                <w:p w14:paraId="330F9692" w14:textId="77777777" w:rsidR="006E0548" w:rsidRPr="005F19A3" w:rsidRDefault="006E0548" w:rsidP="006E0548">
                  <w:pPr>
                    <w:spacing w:after="0" w:line="240" w:lineRule="auto"/>
                    <w:jc w:val="center"/>
                    <w:rPr>
                      <w:rFonts w:ascii="Calibri" w:hAnsi="Calibri" w:cs="Calibri"/>
                      <w:color w:val="000000"/>
                      <w:sz w:val="14"/>
                      <w:szCs w:val="14"/>
                    </w:rPr>
                  </w:pPr>
                </w:p>
              </w:tc>
            </w:tr>
          </w:tbl>
          <w:p w14:paraId="20E1873B" w14:textId="77777777" w:rsidR="006E0548" w:rsidRDefault="006E0548" w:rsidP="006E0548">
            <w:pPr>
              <w:rPr>
                <w:rFonts w:cs="Arial"/>
                <w:i/>
                <w:color w:val="0070C0"/>
                <w:sz w:val="20"/>
              </w:rPr>
            </w:pPr>
            <w:r>
              <w:rPr>
                <w:rFonts w:cs="Arial"/>
                <w:i/>
                <w:color w:val="0070C0"/>
                <w:sz w:val="20"/>
              </w:rPr>
              <w:t>Please advise of any:</w:t>
            </w:r>
          </w:p>
          <w:p w14:paraId="070DB588" w14:textId="77777777" w:rsidR="006E0548" w:rsidRDefault="006E0548" w:rsidP="006E0548">
            <w:pPr>
              <w:rPr>
                <w:rFonts w:cs="Arial"/>
                <w:i/>
                <w:color w:val="0070C0"/>
                <w:sz w:val="20"/>
              </w:rPr>
            </w:pPr>
            <w:r>
              <w:rPr>
                <w:rFonts w:cs="Arial"/>
                <w:i/>
                <w:color w:val="0070C0"/>
                <w:sz w:val="20"/>
              </w:rPr>
              <w:t>Constraints (any restriction that defines the project’s limitations)</w:t>
            </w:r>
          </w:p>
          <w:p w14:paraId="33F9E6BE" w14:textId="77777777" w:rsidR="006E0548" w:rsidRDefault="006E0548" w:rsidP="006E0548">
            <w:pPr>
              <w:rPr>
                <w:rFonts w:cs="Arial"/>
                <w:i/>
                <w:color w:val="0070C0"/>
                <w:sz w:val="20"/>
              </w:rPr>
            </w:pPr>
          </w:p>
          <w:p w14:paraId="1515D3AE" w14:textId="77777777" w:rsidR="006E0548" w:rsidRDefault="006E0548" w:rsidP="006E0548">
            <w:pPr>
              <w:rPr>
                <w:rFonts w:cs="Arial"/>
                <w:i/>
                <w:color w:val="0070C0"/>
                <w:sz w:val="20"/>
              </w:rPr>
            </w:pPr>
            <w:r w:rsidRPr="00B00403">
              <w:rPr>
                <w:rFonts w:cs="Arial"/>
                <w:i/>
                <w:color w:val="0070C0"/>
                <w:sz w:val="20"/>
              </w:rPr>
              <w:t xml:space="preserve">Risks </w:t>
            </w:r>
            <w:r>
              <w:rPr>
                <w:rFonts w:cs="Arial"/>
                <w:i/>
                <w:color w:val="0070C0"/>
                <w:sz w:val="20"/>
              </w:rPr>
              <w:t xml:space="preserve">(any events that, should they occur, will </w:t>
            </w:r>
            <w:proofErr w:type="gramStart"/>
            <w:r>
              <w:rPr>
                <w:rFonts w:cs="Arial"/>
                <w:i/>
                <w:color w:val="0070C0"/>
                <w:sz w:val="20"/>
              </w:rPr>
              <w:t>have an effect on</w:t>
            </w:r>
            <w:proofErr w:type="gramEnd"/>
            <w:r>
              <w:rPr>
                <w:rFonts w:cs="Arial"/>
                <w:i/>
                <w:color w:val="0070C0"/>
                <w:sz w:val="20"/>
              </w:rPr>
              <w:t xml:space="preserve"> achieving the project’s objectives)</w:t>
            </w:r>
          </w:p>
          <w:p w14:paraId="016666B9" w14:textId="77777777" w:rsidR="006E0548" w:rsidRDefault="006E0548" w:rsidP="006E0548">
            <w:pPr>
              <w:rPr>
                <w:rFonts w:cs="Arial"/>
                <w:i/>
                <w:color w:val="0070C0"/>
                <w:sz w:val="20"/>
              </w:rPr>
            </w:pPr>
          </w:p>
          <w:p w14:paraId="507F76A3" w14:textId="77777777" w:rsidR="006E0548" w:rsidRDefault="006E0548" w:rsidP="006E0548">
            <w:pPr>
              <w:rPr>
                <w:rFonts w:cs="Arial"/>
                <w:i/>
                <w:color w:val="0070C0"/>
                <w:sz w:val="20"/>
              </w:rPr>
            </w:pPr>
            <w:r w:rsidRPr="00B00403">
              <w:rPr>
                <w:rFonts w:cs="Arial"/>
                <w:i/>
                <w:color w:val="0070C0"/>
                <w:sz w:val="20"/>
              </w:rPr>
              <w:t>Issues</w:t>
            </w:r>
            <w:r>
              <w:rPr>
                <w:rFonts w:cs="Arial"/>
                <w:i/>
                <w:color w:val="0070C0"/>
                <w:sz w:val="20"/>
              </w:rPr>
              <w:t xml:space="preserve"> (any problems which have already occurred and either have a positive or negative effect on the project’s ability to meet its objectives)</w:t>
            </w:r>
          </w:p>
          <w:p w14:paraId="44F7243B" w14:textId="77777777" w:rsidR="006E0548" w:rsidRDefault="006E0548" w:rsidP="006E0548">
            <w:pPr>
              <w:rPr>
                <w:rFonts w:cs="Arial"/>
                <w:i/>
                <w:color w:val="0070C0"/>
                <w:sz w:val="20"/>
              </w:rPr>
            </w:pPr>
          </w:p>
          <w:p w14:paraId="5835C8A5" w14:textId="77777777" w:rsidR="006E0548" w:rsidRDefault="006E0548" w:rsidP="006E0548">
            <w:pPr>
              <w:rPr>
                <w:rFonts w:cs="Arial"/>
                <w:i/>
                <w:color w:val="0070C0"/>
                <w:sz w:val="20"/>
              </w:rPr>
            </w:pPr>
            <w:r w:rsidRPr="00B00403">
              <w:rPr>
                <w:rFonts w:cs="Arial"/>
                <w:i/>
                <w:color w:val="0070C0"/>
                <w:sz w:val="20"/>
              </w:rPr>
              <w:t>Assumptions</w:t>
            </w:r>
            <w:r>
              <w:rPr>
                <w:rFonts w:cs="Arial"/>
                <w:i/>
                <w:color w:val="0070C0"/>
                <w:sz w:val="20"/>
              </w:rPr>
              <w:t xml:space="preserve"> (any statements that are taken as being true for the purposes of planning, but are subject to change)</w:t>
            </w:r>
          </w:p>
          <w:p w14:paraId="225F3A49" w14:textId="77777777" w:rsidR="006E0548" w:rsidRDefault="006E0548" w:rsidP="006E0548">
            <w:pPr>
              <w:rPr>
                <w:rFonts w:cs="Arial"/>
                <w:b/>
                <w:sz w:val="20"/>
                <w:szCs w:val="20"/>
              </w:rPr>
            </w:pPr>
          </w:p>
          <w:p w14:paraId="3A4BBBEA" w14:textId="77777777" w:rsidR="006E0548" w:rsidRDefault="006E0548" w:rsidP="006E0548">
            <w:pPr>
              <w:pStyle w:val="NGTHeading3"/>
              <w:numPr>
                <w:ilvl w:val="0"/>
                <w:numId w:val="0"/>
              </w:numPr>
              <w:spacing w:line="240" w:lineRule="auto"/>
              <w:rPr>
                <w:szCs w:val="20"/>
                <w:lang w:val="en-US"/>
              </w:rPr>
            </w:pPr>
            <w:r w:rsidRPr="001A2319">
              <w:rPr>
                <w:rFonts w:cs="Arial"/>
                <w:i/>
                <w:color w:val="0070C0"/>
              </w:rPr>
              <w:t>Please indicate if any of the above will have external involvement</w:t>
            </w:r>
            <w:r>
              <w:rPr>
                <w:rFonts w:cs="Arial"/>
                <w:i/>
                <w:color w:val="0070C0"/>
              </w:rPr>
              <w:t>. Who will be involved? When will they be involved, and how?</w:t>
            </w:r>
          </w:p>
          <w:p w14:paraId="0674DF18" w14:textId="77777777" w:rsidR="006E0548" w:rsidRPr="00D24E05" w:rsidRDefault="006E0548" w:rsidP="006E0548">
            <w:pPr>
              <w:pStyle w:val="NGTHeading3"/>
              <w:numPr>
                <w:ilvl w:val="0"/>
                <w:numId w:val="0"/>
              </w:numPr>
              <w:spacing w:line="240" w:lineRule="auto"/>
              <w:ind w:left="720"/>
              <w:rPr>
                <w:szCs w:val="20"/>
                <w:lang w:val="en-US"/>
              </w:rPr>
            </w:pPr>
          </w:p>
        </w:tc>
      </w:tr>
    </w:tbl>
    <w:p w14:paraId="1990C19A" w14:textId="77777777" w:rsidR="002B2E87" w:rsidRPr="002B2E87" w:rsidRDefault="002B2E87" w:rsidP="002B2E87">
      <w:pPr>
        <w:rPr>
          <w:rFonts w:eastAsia="Arial" w:cs="Arial"/>
          <w:b/>
        </w:rPr>
      </w:pPr>
    </w:p>
    <w:p w14:paraId="615FF308" w14:textId="77777777" w:rsidR="00D24E05" w:rsidRPr="00B41E08" w:rsidRDefault="002B2E87" w:rsidP="00B41E08">
      <w:pPr>
        <w:rPr>
          <w:rFonts w:eastAsia="Arial" w:cs="Arial"/>
          <w:b/>
        </w:rPr>
      </w:pPr>
      <w:r w:rsidRPr="002B2E87">
        <w:rPr>
          <w:rFonts w:eastAsia="Arial" w:cs="Arial"/>
          <w:b/>
        </w:rPr>
        <w:t xml:space="preserve">Please send completed form to: </w:t>
      </w:r>
      <w:hyperlink r:id="rId16" w:history="1">
        <w:r w:rsidRPr="002B2E87">
          <w:rPr>
            <w:rFonts w:eastAsia="Arial" w:cs="Arial"/>
            <w:b/>
            <w:color w:val="D2232A"/>
            <w:u w:val="single"/>
          </w:rPr>
          <w:t>box.xoserve.portfoliooffice@xoserve.com</w:t>
        </w:r>
      </w:hyperlink>
    </w:p>
    <w:p w14:paraId="38FB5BB0" w14:textId="77777777" w:rsidR="00BF66FB" w:rsidRDefault="00BF66FB" w:rsidP="002B2E87">
      <w:pPr>
        <w:pStyle w:val="NoSpacing"/>
        <w:rPr>
          <w:rFonts w:eastAsia="Arial"/>
        </w:rPr>
      </w:pPr>
    </w:p>
    <w:p w14:paraId="1DF94A5A"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2B2E87" w:rsidRPr="002B2E87" w14:paraId="26FC3755" w14:textId="77777777" w:rsidTr="002B2E87">
        <w:trPr>
          <w:trHeight w:val="611"/>
        </w:trPr>
        <w:tc>
          <w:tcPr>
            <w:tcW w:w="902" w:type="pct"/>
            <w:shd w:val="clear" w:color="auto" w:fill="D6DCF0" w:themeFill="accent1" w:themeFillTint="33"/>
            <w:vAlign w:val="center"/>
          </w:tcPr>
          <w:p w14:paraId="7FA6293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24894BD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422EB3E5"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14B834A8"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79C8CA0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11946662" w14:textId="77777777" w:rsidTr="002B2E87">
        <w:tc>
          <w:tcPr>
            <w:tcW w:w="902" w:type="pct"/>
          </w:tcPr>
          <w:p w14:paraId="34E36CDB" w14:textId="77777777" w:rsidR="002B2E87" w:rsidRPr="002B2E87" w:rsidRDefault="002B2E87" w:rsidP="002B2E87">
            <w:pPr>
              <w:jc w:val="center"/>
              <w:rPr>
                <w:rFonts w:eastAsia="Times New Roman" w:cs="Arial"/>
                <w:sz w:val="20"/>
                <w:szCs w:val="20"/>
              </w:rPr>
            </w:pPr>
          </w:p>
        </w:tc>
        <w:tc>
          <w:tcPr>
            <w:tcW w:w="835" w:type="pct"/>
          </w:tcPr>
          <w:p w14:paraId="13D3D126" w14:textId="77777777" w:rsidR="002B2E87" w:rsidRPr="002B2E87" w:rsidRDefault="002B2E87" w:rsidP="002B2E87">
            <w:pPr>
              <w:jc w:val="center"/>
              <w:rPr>
                <w:rFonts w:eastAsia="Times New Roman" w:cs="Arial"/>
                <w:sz w:val="20"/>
                <w:szCs w:val="20"/>
              </w:rPr>
            </w:pPr>
          </w:p>
        </w:tc>
        <w:tc>
          <w:tcPr>
            <w:tcW w:w="556" w:type="pct"/>
          </w:tcPr>
          <w:p w14:paraId="400B4C23" w14:textId="77777777" w:rsidR="002B2E87" w:rsidRPr="002B2E87" w:rsidRDefault="002B2E87" w:rsidP="002B2E87">
            <w:pPr>
              <w:jc w:val="center"/>
              <w:rPr>
                <w:rFonts w:eastAsia="Times New Roman" w:cs="Arial"/>
                <w:sz w:val="20"/>
                <w:szCs w:val="20"/>
              </w:rPr>
            </w:pPr>
          </w:p>
        </w:tc>
        <w:tc>
          <w:tcPr>
            <w:tcW w:w="763" w:type="pct"/>
          </w:tcPr>
          <w:p w14:paraId="0C74B070" w14:textId="77777777" w:rsidR="002B2E87" w:rsidRPr="002B2E87" w:rsidRDefault="002B2E87" w:rsidP="002B2E87">
            <w:pPr>
              <w:jc w:val="center"/>
              <w:rPr>
                <w:rFonts w:eastAsia="Times New Roman" w:cs="Arial"/>
                <w:sz w:val="20"/>
                <w:szCs w:val="20"/>
              </w:rPr>
            </w:pPr>
          </w:p>
        </w:tc>
        <w:tc>
          <w:tcPr>
            <w:tcW w:w="1944" w:type="pct"/>
          </w:tcPr>
          <w:p w14:paraId="73A1645E" w14:textId="77777777" w:rsidR="002B2E87" w:rsidRPr="002B2E87" w:rsidRDefault="002B2E87" w:rsidP="002B2E87">
            <w:pPr>
              <w:jc w:val="center"/>
              <w:rPr>
                <w:rFonts w:eastAsia="Times New Roman" w:cs="Arial"/>
                <w:sz w:val="20"/>
                <w:szCs w:val="20"/>
              </w:rPr>
            </w:pPr>
          </w:p>
        </w:tc>
      </w:tr>
      <w:tr w:rsidR="00975BC5" w:rsidRPr="002B2E87" w14:paraId="7643B28D" w14:textId="77777777" w:rsidTr="002B2E87">
        <w:tc>
          <w:tcPr>
            <w:tcW w:w="902" w:type="pct"/>
          </w:tcPr>
          <w:p w14:paraId="05287760" w14:textId="77777777" w:rsidR="00975BC5" w:rsidRDefault="00975BC5" w:rsidP="002B2E87">
            <w:pPr>
              <w:jc w:val="center"/>
              <w:rPr>
                <w:rFonts w:eastAsia="Times New Roman" w:cs="Arial"/>
                <w:sz w:val="20"/>
                <w:szCs w:val="20"/>
              </w:rPr>
            </w:pPr>
          </w:p>
        </w:tc>
        <w:tc>
          <w:tcPr>
            <w:tcW w:w="835" w:type="pct"/>
          </w:tcPr>
          <w:p w14:paraId="7C785312" w14:textId="77777777" w:rsidR="00975BC5" w:rsidRDefault="00975BC5" w:rsidP="002B2E87">
            <w:pPr>
              <w:jc w:val="center"/>
              <w:rPr>
                <w:rFonts w:eastAsia="Times New Roman" w:cs="Arial"/>
                <w:sz w:val="20"/>
                <w:szCs w:val="20"/>
              </w:rPr>
            </w:pPr>
          </w:p>
        </w:tc>
        <w:tc>
          <w:tcPr>
            <w:tcW w:w="556" w:type="pct"/>
          </w:tcPr>
          <w:p w14:paraId="2F17D865" w14:textId="77777777" w:rsidR="00975BC5" w:rsidRDefault="00975BC5" w:rsidP="002B2E87">
            <w:pPr>
              <w:jc w:val="center"/>
              <w:rPr>
                <w:rFonts w:eastAsia="Times New Roman" w:cs="Arial"/>
                <w:sz w:val="20"/>
                <w:szCs w:val="20"/>
              </w:rPr>
            </w:pPr>
          </w:p>
        </w:tc>
        <w:tc>
          <w:tcPr>
            <w:tcW w:w="763" w:type="pct"/>
          </w:tcPr>
          <w:p w14:paraId="40D56219" w14:textId="77777777" w:rsidR="00975BC5" w:rsidRDefault="00975BC5" w:rsidP="002B2E87">
            <w:pPr>
              <w:jc w:val="center"/>
              <w:rPr>
                <w:rFonts w:eastAsia="Times New Roman" w:cs="Arial"/>
                <w:sz w:val="20"/>
                <w:szCs w:val="20"/>
              </w:rPr>
            </w:pPr>
          </w:p>
        </w:tc>
        <w:tc>
          <w:tcPr>
            <w:tcW w:w="1944" w:type="pct"/>
          </w:tcPr>
          <w:p w14:paraId="552136E4" w14:textId="77777777" w:rsidR="00975BC5" w:rsidRDefault="00975BC5" w:rsidP="002B2E87">
            <w:pPr>
              <w:jc w:val="center"/>
              <w:rPr>
                <w:rFonts w:eastAsia="Times New Roman" w:cs="Arial"/>
                <w:sz w:val="20"/>
                <w:szCs w:val="20"/>
              </w:rPr>
            </w:pPr>
          </w:p>
        </w:tc>
      </w:tr>
      <w:tr w:rsidR="008E458F" w:rsidRPr="002B2E87" w14:paraId="6DE0AA6D" w14:textId="77777777" w:rsidTr="002B2E87">
        <w:tc>
          <w:tcPr>
            <w:tcW w:w="902" w:type="pct"/>
          </w:tcPr>
          <w:p w14:paraId="1E25B061" w14:textId="77777777" w:rsidR="008E458F" w:rsidRDefault="008E458F" w:rsidP="002B2E87">
            <w:pPr>
              <w:jc w:val="center"/>
              <w:rPr>
                <w:rFonts w:eastAsia="Times New Roman" w:cs="Arial"/>
                <w:sz w:val="20"/>
                <w:szCs w:val="20"/>
              </w:rPr>
            </w:pPr>
          </w:p>
        </w:tc>
        <w:tc>
          <w:tcPr>
            <w:tcW w:w="835" w:type="pct"/>
          </w:tcPr>
          <w:p w14:paraId="26EC351C" w14:textId="77777777" w:rsidR="008E458F" w:rsidRDefault="008E458F" w:rsidP="002B2E87">
            <w:pPr>
              <w:jc w:val="center"/>
              <w:rPr>
                <w:rFonts w:eastAsia="Times New Roman" w:cs="Arial"/>
                <w:sz w:val="20"/>
                <w:szCs w:val="20"/>
              </w:rPr>
            </w:pPr>
          </w:p>
        </w:tc>
        <w:tc>
          <w:tcPr>
            <w:tcW w:w="556" w:type="pct"/>
          </w:tcPr>
          <w:p w14:paraId="4EBE2BAB" w14:textId="77777777" w:rsidR="008E458F" w:rsidRDefault="008E458F" w:rsidP="002B2E87">
            <w:pPr>
              <w:jc w:val="center"/>
              <w:rPr>
                <w:rFonts w:eastAsia="Times New Roman" w:cs="Arial"/>
                <w:sz w:val="20"/>
                <w:szCs w:val="20"/>
              </w:rPr>
            </w:pPr>
          </w:p>
        </w:tc>
        <w:tc>
          <w:tcPr>
            <w:tcW w:w="763" w:type="pct"/>
          </w:tcPr>
          <w:p w14:paraId="709E174F" w14:textId="77777777" w:rsidR="008E458F" w:rsidRDefault="008E458F" w:rsidP="002B2E87">
            <w:pPr>
              <w:jc w:val="center"/>
              <w:rPr>
                <w:rFonts w:eastAsia="Times New Roman" w:cs="Arial"/>
                <w:sz w:val="20"/>
                <w:szCs w:val="20"/>
              </w:rPr>
            </w:pPr>
          </w:p>
        </w:tc>
        <w:tc>
          <w:tcPr>
            <w:tcW w:w="1944" w:type="pct"/>
          </w:tcPr>
          <w:p w14:paraId="7BF129E2" w14:textId="77777777" w:rsidR="008E458F" w:rsidRDefault="008E458F" w:rsidP="002B2E87">
            <w:pPr>
              <w:jc w:val="center"/>
              <w:rPr>
                <w:rFonts w:eastAsia="Times New Roman" w:cs="Arial"/>
                <w:sz w:val="20"/>
                <w:szCs w:val="20"/>
              </w:rPr>
            </w:pPr>
          </w:p>
        </w:tc>
      </w:tr>
      <w:tr w:rsidR="008E458F" w:rsidRPr="002B2E87" w14:paraId="551961DC" w14:textId="77777777" w:rsidTr="002B2E87">
        <w:tc>
          <w:tcPr>
            <w:tcW w:w="902" w:type="pct"/>
          </w:tcPr>
          <w:p w14:paraId="5EF70404" w14:textId="77777777" w:rsidR="008E458F" w:rsidRDefault="008E458F" w:rsidP="002B2E87">
            <w:pPr>
              <w:jc w:val="center"/>
              <w:rPr>
                <w:rFonts w:eastAsia="Times New Roman" w:cs="Arial"/>
                <w:sz w:val="20"/>
                <w:szCs w:val="20"/>
              </w:rPr>
            </w:pPr>
          </w:p>
        </w:tc>
        <w:tc>
          <w:tcPr>
            <w:tcW w:w="835" w:type="pct"/>
          </w:tcPr>
          <w:p w14:paraId="4562075D" w14:textId="77777777" w:rsidR="008E458F" w:rsidRDefault="008E458F" w:rsidP="002B2E87">
            <w:pPr>
              <w:jc w:val="center"/>
              <w:rPr>
                <w:rFonts w:eastAsia="Times New Roman" w:cs="Arial"/>
                <w:sz w:val="20"/>
                <w:szCs w:val="20"/>
              </w:rPr>
            </w:pPr>
          </w:p>
        </w:tc>
        <w:tc>
          <w:tcPr>
            <w:tcW w:w="556" w:type="pct"/>
          </w:tcPr>
          <w:p w14:paraId="5CC14291" w14:textId="77777777" w:rsidR="008E458F" w:rsidRDefault="008E458F" w:rsidP="002B2E87">
            <w:pPr>
              <w:jc w:val="center"/>
              <w:rPr>
                <w:rFonts w:eastAsia="Times New Roman" w:cs="Arial"/>
                <w:sz w:val="20"/>
                <w:szCs w:val="20"/>
              </w:rPr>
            </w:pPr>
          </w:p>
        </w:tc>
        <w:tc>
          <w:tcPr>
            <w:tcW w:w="763" w:type="pct"/>
          </w:tcPr>
          <w:p w14:paraId="7D238EF6" w14:textId="77777777" w:rsidR="008E458F" w:rsidRDefault="008E458F" w:rsidP="002B2E87">
            <w:pPr>
              <w:jc w:val="center"/>
              <w:rPr>
                <w:rFonts w:eastAsia="Times New Roman" w:cs="Arial"/>
                <w:sz w:val="20"/>
                <w:szCs w:val="20"/>
              </w:rPr>
            </w:pPr>
          </w:p>
        </w:tc>
        <w:tc>
          <w:tcPr>
            <w:tcW w:w="1944" w:type="pct"/>
          </w:tcPr>
          <w:p w14:paraId="58306ED9" w14:textId="77777777" w:rsidR="008E458F" w:rsidRDefault="008E458F" w:rsidP="002B2E87">
            <w:pPr>
              <w:jc w:val="center"/>
              <w:rPr>
                <w:rFonts w:eastAsia="Times New Roman" w:cs="Arial"/>
                <w:sz w:val="20"/>
                <w:szCs w:val="20"/>
              </w:rPr>
            </w:pPr>
          </w:p>
        </w:tc>
      </w:tr>
      <w:tr w:rsidR="00306F47" w:rsidRPr="002B2E87" w14:paraId="3BB8283A" w14:textId="77777777" w:rsidTr="002B2E87">
        <w:tc>
          <w:tcPr>
            <w:tcW w:w="902" w:type="pct"/>
          </w:tcPr>
          <w:p w14:paraId="49CC0565" w14:textId="77777777" w:rsidR="00306F47" w:rsidRDefault="00306F47" w:rsidP="002B2E87">
            <w:pPr>
              <w:jc w:val="center"/>
              <w:rPr>
                <w:rFonts w:eastAsia="Times New Roman" w:cs="Arial"/>
                <w:sz w:val="20"/>
                <w:szCs w:val="20"/>
              </w:rPr>
            </w:pPr>
          </w:p>
        </w:tc>
        <w:tc>
          <w:tcPr>
            <w:tcW w:w="835" w:type="pct"/>
          </w:tcPr>
          <w:p w14:paraId="32F7D0AE" w14:textId="77777777" w:rsidR="00306F47" w:rsidRDefault="00306F47" w:rsidP="002B2E87">
            <w:pPr>
              <w:jc w:val="center"/>
              <w:rPr>
                <w:rFonts w:eastAsia="Times New Roman" w:cs="Arial"/>
                <w:sz w:val="20"/>
                <w:szCs w:val="20"/>
              </w:rPr>
            </w:pPr>
          </w:p>
        </w:tc>
        <w:tc>
          <w:tcPr>
            <w:tcW w:w="556" w:type="pct"/>
          </w:tcPr>
          <w:p w14:paraId="680D66A5" w14:textId="77777777" w:rsidR="00306F47" w:rsidRDefault="00306F47" w:rsidP="002B2E87">
            <w:pPr>
              <w:jc w:val="center"/>
              <w:rPr>
                <w:rFonts w:eastAsia="Times New Roman" w:cs="Arial"/>
                <w:sz w:val="20"/>
                <w:szCs w:val="20"/>
              </w:rPr>
            </w:pPr>
          </w:p>
        </w:tc>
        <w:tc>
          <w:tcPr>
            <w:tcW w:w="763" w:type="pct"/>
          </w:tcPr>
          <w:p w14:paraId="6527B410" w14:textId="77777777" w:rsidR="00306F47" w:rsidRDefault="00306F47" w:rsidP="002B2E87">
            <w:pPr>
              <w:jc w:val="center"/>
              <w:rPr>
                <w:rFonts w:eastAsia="Times New Roman" w:cs="Arial"/>
                <w:sz w:val="20"/>
                <w:szCs w:val="20"/>
              </w:rPr>
            </w:pPr>
          </w:p>
        </w:tc>
        <w:tc>
          <w:tcPr>
            <w:tcW w:w="1944" w:type="pct"/>
          </w:tcPr>
          <w:p w14:paraId="3F33A7C6" w14:textId="77777777" w:rsidR="00306F47" w:rsidRDefault="00306F47" w:rsidP="002B2E87">
            <w:pPr>
              <w:jc w:val="center"/>
              <w:rPr>
                <w:rFonts w:eastAsia="Times New Roman" w:cs="Arial"/>
                <w:sz w:val="20"/>
                <w:szCs w:val="20"/>
              </w:rPr>
            </w:pPr>
          </w:p>
        </w:tc>
      </w:tr>
    </w:tbl>
    <w:p w14:paraId="22EC15FC" w14:textId="77777777" w:rsidR="002B2E87" w:rsidRPr="002B2E87" w:rsidRDefault="002B2E87" w:rsidP="002B2E87">
      <w:pPr>
        <w:rPr>
          <w:rFonts w:eastAsia="Arial" w:cs="Times New Roman"/>
          <w:sz w:val="20"/>
          <w:szCs w:val="20"/>
        </w:rPr>
      </w:pPr>
    </w:p>
    <w:p w14:paraId="56142103"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5C26535D" w14:textId="77777777" w:rsidTr="002B2E87">
        <w:trPr>
          <w:trHeight w:val="611"/>
        </w:trPr>
        <w:tc>
          <w:tcPr>
            <w:tcW w:w="902" w:type="pct"/>
            <w:tcBorders>
              <w:bottom w:val="single" w:sz="4" w:space="0" w:color="auto"/>
            </w:tcBorders>
            <w:shd w:val="clear" w:color="auto" w:fill="D6DCF0" w:themeFill="accent1" w:themeFillTint="33"/>
            <w:vAlign w:val="center"/>
          </w:tcPr>
          <w:p w14:paraId="5D436055"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7CD37A76"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580DFC0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2B8B49E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199DF756"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7657069C" w14:textId="77777777" w:rsidTr="002B2E87">
        <w:trPr>
          <w:trHeight w:val="611"/>
        </w:trPr>
        <w:tc>
          <w:tcPr>
            <w:tcW w:w="902" w:type="pct"/>
            <w:shd w:val="clear" w:color="auto" w:fill="FFFFFF" w:themeFill="background1"/>
            <w:vAlign w:val="center"/>
          </w:tcPr>
          <w:p w14:paraId="45590EAC" w14:textId="7777777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0494A7F1" w14:textId="77777777"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55FB78A7" w14:textId="77777777"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2B509009" w14:textId="77777777"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CB27C4A" w14:textId="77777777" w:rsidR="00F825F9" w:rsidRPr="00E52009" w:rsidRDefault="00F825F9" w:rsidP="00F825F9">
            <w:pPr>
              <w:rPr>
                <w:rFonts w:eastAsia="Times New Roman" w:cs="Arial"/>
                <w:sz w:val="20"/>
                <w:szCs w:val="20"/>
              </w:rPr>
            </w:pPr>
            <w:r>
              <w:rPr>
                <w:rFonts w:cs="Arial"/>
                <w:sz w:val="20"/>
                <w:szCs w:val="20"/>
              </w:rPr>
              <w:t>Template approved at ChMC on 11</w:t>
            </w:r>
            <w:r w:rsidRPr="00E367FA">
              <w:rPr>
                <w:rFonts w:cs="Arial"/>
                <w:sz w:val="20"/>
                <w:szCs w:val="20"/>
                <w:vertAlign w:val="superscript"/>
              </w:rPr>
              <w:t>th</w:t>
            </w:r>
            <w:r>
              <w:rPr>
                <w:rFonts w:cs="Arial"/>
                <w:sz w:val="20"/>
                <w:szCs w:val="20"/>
              </w:rPr>
              <w:t xml:space="preserve"> July</w:t>
            </w:r>
          </w:p>
        </w:tc>
      </w:tr>
      <w:tr w:rsidR="00F825F9" w:rsidRPr="002B2E87" w14:paraId="385CA81B" w14:textId="77777777" w:rsidTr="002B2E87">
        <w:trPr>
          <w:trHeight w:val="611"/>
        </w:trPr>
        <w:tc>
          <w:tcPr>
            <w:tcW w:w="902" w:type="pct"/>
            <w:shd w:val="clear" w:color="auto" w:fill="FFFFFF" w:themeFill="background1"/>
            <w:vAlign w:val="center"/>
          </w:tcPr>
          <w:p w14:paraId="03A585D0" w14:textId="7777777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00B28D9" w14:textId="77777777"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472ACDB8" w14:textId="77777777"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5022F139" w14:textId="77777777"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678CF5F7" w14:textId="77777777" w:rsidR="00F825F9" w:rsidRDefault="008012FE" w:rsidP="00F825F9">
            <w:pPr>
              <w:rPr>
                <w:rFonts w:eastAsia="Times New Roman" w:cs="Arial"/>
                <w:sz w:val="18"/>
              </w:rPr>
            </w:pPr>
            <w:r>
              <w:rPr>
                <w:rFonts w:eastAsia="Times New Roman" w:cs="Arial"/>
                <w:sz w:val="18"/>
              </w:rPr>
              <w:t>Table added to section 1</w:t>
            </w:r>
          </w:p>
          <w:p w14:paraId="25C4F1E7" w14:textId="77777777" w:rsidR="008012FE" w:rsidRDefault="008012FE" w:rsidP="00F825F9">
            <w:pPr>
              <w:rPr>
                <w:rFonts w:eastAsia="Times New Roman" w:cs="Arial"/>
                <w:sz w:val="18"/>
              </w:rPr>
            </w:pPr>
            <w:r>
              <w:rPr>
                <w:rFonts w:eastAsia="Times New Roman" w:cs="Arial"/>
                <w:sz w:val="18"/>
              </w:rPr>
              <w:t>More detailed table in section 3</w:t>
            </w:r>
          </w:p>
          <w:p w14:paraId="0F80F759" w14:textId="77777777" w:rsidR="008012FE" w:rsidRDefault="008012FE" w:rsidP="00F825F9">
            <w:pPr>
              <w:rPr>
                <w:rFonts w:eastAsia="Times New Roman" w:cs="Arial"/>
                <w:sz w:val="18"/>
              </w:rPr>
            </w:pPr>
            <w:r>
              <w:rPr>
                <w:rFonts w:eastAsia="Times New Roman" w:cs="Arial"/>
                <w:sz w:val="18"/>
              </w:rPr>
              <w:t>More detailed table in section 4</w:t>
            </w:r>
          </w:p>
          <w:p w14:paraId="619DCF4C" w14:textId="77777777" w:rsidR="008012FE" w:rsidRDefault="008012FE" w:rsidP="00F825F9">
            <w:pPr>
              <w:rPr>
                <w:rFonts w:eastAsia="Times New Roman" w:cs="Arial"/>
                <w:sz w:val="18"/>
              </w:rPr>
            </w:pPr>
            <w:r>
              <w:rPr>
                <w:rFonts w:eastAsia="Times New Roman" w:cs="Arial"/>
                <w:sz w:val="18"/>
              </w:rPr>
              <w:t>Inserted a project plan example in section 5</w:t>
            </w:r>
          </w:p>
          <w:p w14:paraId="7E2678C3" w14:textId="77777777" w:rsidR="008012FE" w:rsidRDefault="008012FE" w:rsidP="00F825F9">
            <w:pPr>
              <w:rPr>
                <w:rFonts w:eastAsia="Times New Roman" w:cs="Arial"/>
                <w:sz w:val="18"/>
              </w:rPr>
            </w:pPr>
            <w:r>
              <w:rPr>
                <w:rFonts w:eastAsia="Times New Roman" w:cs="Arial"/>
                <w:sz w:val="18"/>
              </w:rPr>
              <w:t>Table added in section 6</w:t>
            </w:r>
          </w:p>
          <w:p w14:paraId="24F3CF19" w14:textId="77777777" w:rsidR="008012FE" w:rsidRPr="002B2E87" w:rsidRDefault="008012FE" w:rsidP="00F825F9">
            <w:pPr>
              <w:rPr>
                <w:rFonts w:eastAsia="Times New Roman" w:cs="Arial"/>
                <w:sz w:val="18"/>
              </w:rPr>
            </w:pPr>
          </w:p>
        </w:tc>
      </w:tr>
    </w:tbl>
    <w:p w14:paraId="55A9EC39" w14:textId="77777777" w:rsidR="00D66C7E" w:rsidRPr="00D66C7E" w:rsidRDefault="00D66C7E" w:rsidP="00C721D4"/>
    <w:sectPr w:rsidR="00D66C7E" w:rsidRPr="00D66C7E">
      <w:headerReference w:type="default"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7C5B" w14:textId="77777777" w:rsidR="00E57C3A" w:rsidRDefault="00E57C3A" w:rsidP="00324744">
      <w:pPr>
        <w:spacing w:after="0" w:line="240" w:lineRule="auto"/>
      </w:pPr>
      <w:r>
        <w:separator/>
      </w:r>
    </w:p>
  </w:endnote>
  <w:endnote w:type="continuationSeparator" w:id="0">
    <w:p w14:paraId="6B767412" w14:textId="77777777" w:rsidR="00E57C3A" w:rsidRDefault="00E57C3A" w:rsidP="00324744">
      <w:pPr>
        <w:spacing w:after="0" w:line="240" w:lineRule="auto"/>
      </w:pPr>
      <w:r>
        <w:continuationSeparator/>
      </w:r>
    </w:p>
  </w:endnote>
  <w:endnote w:type="continuationNotice" w:id="1">
    <w:p w14:paraId="2033C218" w14:textId="77777777" w:rsidR="00E57C3A" w:rsidRDefault="00E57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BE18"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275F605F" wp14:editId="1100D2D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85C28"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07E7" w14:textId="77777777" w:rsidR="00E57C3A" w:rsidRDefault="00E57C3A" w:rsidP="00324744">
      <w:pPr>
        <w:spacing w:after="0" w:line="240" w:lineRule="auto"/>
      </w:pPr>
      <w:r>
        <w:separator/>
      </w:r>
    </w:p>
  </w:footnote>
  <w:footnote w:type="continuationSeparator" w:id="0">
    <w:p w14:paraId="11937382" w14:textId="77777777" w:rsidR="00E57C3A" w:rsidRDefault="00E57C3A" w:rsidP="00324744">
      <w:pPr>
        <w:spacing w:after="0" w:line="240" w:lineRule="auto"/>
      </w:pPr>
      <w:r>
        <w:continuationSeparator/>
      </w:r>
    </w:p>
  </w:footnote>
  <w:footnote w:type="continuationNotice" w:id="1">
    <w:p w14:paraId="31B21391" w14:textId="77777777" w:rsidR="00E57C3A" w:rsidRDefault="00E57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0BA1"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556FC4B1" wp14:editId="3BD9A36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B052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022D7"/>
    <w:multiLevelType w:val="hybridMultilevel"/>
    <w:tmpl w:val="A9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2"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020E1"/>
    <w:multiLevelType w:val="hybridMultilevel"/>
    <w:tmpl w:val="39A6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84E5E"/>
    <w:multiLevelType w:val="hybridMultilevel"/>
    <w:tmpl w:val="ECE8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0"/>
  </w:num>
  <w:num w:numId="6">
    <w:abstractNumId w:val="14"/>
  </w:num>
  <w:num w:numId="7">
    <w:abstractNumId w:val="1"/>
  </w:num>
  <w:num w:numId="8">
    <w:abstractNumId w:val="12"/>
  </w:num>
  <w:num w:numId="9">
    <w:abstractNumId w:val="18"/>
  </w:num>
  <w:num w:numId="10">
    <w:abstractNumId w:val="11"/>
  </w:num>
  <w:num w:numId="11">
    <w:abstractNumId w:val="3"/>
  </w:num>
  <w:num w:numId="12">
    <w:abstractNumId w:val="2"/>
  </w:num>
  <w:num w:numId="13">
    <w:abstractNumId w:val="17"/>
  </w:num>
  <w:num w:numId="14">
    <w:abstractNumId w:val="7"/>
  </w:num>
  <w:num w:numId="15">
    <w:abstractNumId w:val="15"/>
  </w:num>
  <w:num w:numId="16">
    <w:abstractNumId w:val="8"/>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5209B"/>
    <w:rsid w:val="00055213"/>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E49"/>
    <w:rsid w:val="00084714"/>
    <w:rsid w:val="00086883"/>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1358"/>
    <w:rsid w:val="000C2924"/>
    <w:rsid w:val="000C3EC6"/>
    <w:rsid w:val="000C6E46"/>
    <w:rsid w:val="000C74D3"/>
    <w:rsid w:val="000D05B9"/>
    <w:rsid w:val="000D16ED"/>
    <w:rsid w:val="000D252F"/>
    <w:rsid w:val="000E0DC2"/>
    <w:rsid w:val="000E1463"/>
    <w:rsid w:val="000E16C9"/>
    <w:rsid w:val="000E3819"/>
    <w:rsid w:val="000E55B0"/>
    <w:rsid w:val="000E5E54"/>
    <w:rsid w:val="000F2D15"/>
    <w:rsid w:val="00103FC5"/>
    <w:rsid w:val="00115508"/>
    <w:rsid w:val="00120018"/>
    <w:rsid w:val="001207D8"/>
    <w:rsid w:val="00122F88"/>
    <w:rsid w:val="00125B61"/>
    <w:rsid w:val="001270A2"/>
    <w:rsid w:val="00127356"/>
    <w:rsid w:val="00134749"/>
    <w:rsid w:val="001353D7"/>
    <w:rsid w:val="00135C0D"/>
    <w:rsid w:val="00136998"/>
    <w:rsid w:val="00137CB9"/>
    <w:rsid w:val="00143EFF"/>
    <w:rsid w:val="001446C2"/>
    <w:rsid w:val="00144E00"/>
    <w:rsid w:val="00150D38"/>
    <w:rsid w:val="0015137D"/>
    <w:rsid w:val="001531E7"/>
    <w:rsid w:val="00157073"/>
    <w:rsid w:val="0016147C"/>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7DC1"/>
    <w:rsid w:val="001C15F7"/>
    <w:rsid w:val="001C1A4B"/>
    <w:rsid w:val="001C63AE"/>
    <w:rsid w:val="001D247D"/>
    <w:rsid w:val="001D275E"/>
    <w:rsid w:val="001D668B"/>
    <w:rsid w:val="001D69A1"/>
    <w:rsid w:val="001E398E"/>
    <w:rsid w:val="001E3C5C"/>
    <w:rsid w:val="001E58AF"/>
    <w:rsid w:val="001E6419"/>
    <w:rsid w:val="001E6D34"/>
    <w:rsid w:val="001F2A15"/>
    <w:rsid w:val="001F350A"/>
    <w:rsid w:val="001F4719"/>
    <w:rsid w:val="001F7F6F"/>
    <w:rsid w:val="00203FBC"/>
    <w:rsid w:val="0022126F"/>
    <w:rsid w:val="00221538"/>
    <w:rsid w:val="00223716"/>
    <w:rsid w:val="002251F1"/>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90C3C"/>
    <w:rsid w:val="00290CDA"/>
    <w:rsid w:val="00291A42"/>
    <w:rsid w:val="00291D86"/>
    <w:rsid w:val="0029205B"/>
    <w:rsid w:val="00292474"/>
    <w:rsid w:val="00294684"/>
    <w:rsid w:val="00294CA5"/>
    <w:rsid w:val="00294DE9"/>
    <w:rsid w:val="00295D27"/>
    <w:rsid w:val="002A1FC5"/>
    <w:rsid w:val="002A4458"/>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77BC9"/>
    <w:rsid w:val="0038133C"/>
    <w:rsid w:val="00385ADF"/>
    <w:rsid w:val="00386C13"/>
    <w:rsid w:val="00386DD6"/>
    <w:rsid w:val="003910C0"/>
    <w:rsid w:val="00391B4E"/>
    <w:rsid w:val="00392D22"/>
    <w:rsid w:val="0039741E"/>
    <w:rsid w:val="00397A48"/>
    <w:rsid w:val="003A0A81"/>
    <w:rsid w:val="003B125F"/>
    <w:rsid w:val="003B2395"/>
    <w:rsid w:val="003B52D6"/>
    <w:rsid w:val="003C04A7"/>
    <w:rsid w:val="003C2566"/>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354"/>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2FBC"/>
    <w:rsid w:val="004E5E53"/>
    <w:rsid w:val="004E630F"/>
    <w:rsid w:val="004E6410"/>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557"/>
    <w:rsid w:val="00532937"/>
    <w:rsid w:val="0053659A"/>
    <w:rsid w:val="00537435"/>
    <w:rsid w:val="00540FDC"/>
    <w:rsid w:val="00543428"/>
    <w:rsid w:val="00544F5A"/>
    <w:rsid w:val="0055011F"/>
    <w:rsid w:val="00550EFE"/>
    <w:rsid w:val="0055298E"/>
    <w:rsid w:val="005538E6"/>
    <w:rsid w:val="00554A0E"/>
    <w:rsid w:val="0055608D"/>
    <w:rsid w:val="00564566"/>
    <w:rsid w:val="00570041"/>
    <w:rsid w:val="00580173"/>
    <w:rsid w:val="005864A5"/>
    <w:rsid w:val="005921AA"/>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1D9B"/>
    <w:rsid w:val="005B4293"/>
    <w:rsid w:val="005B4A6F"/>
    <w:rsid w:val="005D16CA"/>
    <w:rsid w:val="005D1E7E"/>
    <w:rsid w:val="005D40A8"/>
    <w:rsid w:val="005D4F5D"/>
    <w:rsid w:val="005E1C66"/>
    <w:rsid w:val="005E2260"/>
    <w:rsid w:val="005E2838"/>
    <w:rsid w:val="005E4D31"/>
    <w:rsid w:val="005E5922"/>
    <w:rsid w:val="005F1990"/>
    <w:rsid w:val="005F19A3"/>
    <w:rsid w:val="005F37C2"/>
    <w:rsid w:val="006069BE"/>
    <w:rsid w:val="00607F85"/>
    <w:rsid w:val="00610390"/>
    <w:rsid w:val="00613E31"/>
    <w:rsid w:val="00616DD0"/>
    <w:rsid w:val="00617345"/>
    <w:rsid w:val="0062016E"/>
    <w:rsid w:val="006275B2"/>
    <w:rsid w:val="006300B9"/>
    <w:rsid w:val="00632387"/>
    <w:rsid w:val="0063343D"/>
    <w:rsid w:val="00635874"/>
    <w:rsid w:val="006366F2"/>
    <w:rsid w:val="00636B0A"/>
    <w:rsid w:val="0064383D"/>
    <w:rsid w:val="00647D0E"/>
    <w:rsid w:val="00650B5E"/>
    <w:rsid w:val="00651354"/>
    <w:rsid w:val="00654DF3"/>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A7370"/>
    <w:rsid w:val="006B1E55"/>
    <w:rsid w:val="006B26D1"/>
    <w:rsid w:val="006B37E7"/>
    <w:rsid w:val="006B5219"/>
    <w:rsid w:val="006C09B4"/>
    <w:rsid w:val="006C228D"/>
    <w:rsid w:val="006C2C66"/>
    <w:rsid w:val="006C6330"/>
    <w:rsid w:val="006C7029"/>
    <w:rsid w:val="006D241F"/>
    <w:rsid w:val="006D4434"/>
    <w:rsid w:val="006D44C5"/>
    <w:rsid w:val="006D461D"/>
    <w:rsid w:val="006D5230"/>
    <w:rsid w:val="006D5D08"/>
    <w:rsid w:val="006E054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013"/>
    <w:rsid w:val="00725E9C"/>
    <w:rsid w:val="00735F2C"/>
    <w:rsid w:val="00737013"/>
    <w:rsid w:val="00742128"/>
    <w:rsid w:val="007426F4"/>
    <w:rsid w:val="00743EB3"/>
    <w:rsid w:val="00744317"/>
    <w:rsid w:val="00745D01"/>
    <w:rsid w:val="0074646A"/>
    <w:rsid w:val="007465B7"/>
    <w:rsid w:val="00746EF9"/>
    <w:rsid w:val="00750E30"/>
    <w:rsid w:val="00754351"/>
    <w:rsid w:val="007545B7"/>
    <w:rsid w:val="007549F5"/>
    <w:rsid w:val="00755B92"/>
    <w:rsid w:val="007635F5"/>
    <w:rsid w:val="00763B1D"/>
    <w:rsid w:val="007647A7"/>
    <w:rsid w:val="00765648"/>
    <w:rsid w:val="007707B7"/>
    <w:rsid w:val="0079016D"/>
    <w:rsid w:val="00790295"/>
    <w:rsid w:val="007922AC"/>
    <w:rsid w:val="00793964"/>
    <w:rsid w:val="00794E22"/>
    <w:rsid w:val="00797CAB"/>
    <w:rsid w:val="007A17E4"/>
    <w:rsid w:val="007A27D2"/>
    <w:rsid w:val="007A2935"/>
    <w:rsid w:val="007A4306"/>
    <w:rsid w:val="007A56DB"/>
    <w:rsid w:val="007A7F69"/>
    <w:rsid w:val="007B666A"/>
    <w:rsid w:val="007B68F8"/>
    <w:rsid w:val="007B79DF"/>
    <w:rsid w:val="007C0752"/>
    <w:rsid w:val="007C2148"/>
    <w:rsid w:val="007C52CE"/>
    <w:rsid w:val="007D2AFB"/>
    <w:rsid w:val="007D4F26"/>
    <w:rsid w:val="007D5D6C"/>
    <w:rsid w:val="007D68DD"/>
    <w:rsid w:val="007E79F2"/>
    <w:rsid w:val="007F351A"/>
    <w:rsid w:val="00800F15"/>
    <w:rsid w:val="008012FE"/>
    <w:rsid w:val="00801CE0"/>
    <w:rsid w:val="00802485"/>
    <w:rsid w:val="008026AC"/>
    <w:rsid w:val="0080492D"/>
    <w:rsid w:val="00810C5C"/>
    <w:rsid w:val="008158C1"/>
    <w:rsid w:val="008177C1"/>
    <w:rsid w:val="00817F39"/>
    <w:rsid w:val="00821A10"/>
    <w:rsid w:val="00825094"/>
    <w:rsid w:val="00826CF4"/>
    <w:rsid w:val="00827695"/>
    <w:rsid w:val="0083252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247A"/>
    <w:rsid w:val="008F496C"/>
    <w:rsid w:val="008F611C"/>
    <w:rsid w:val="008F63AC"/>
    <w:rsid w:val="008F7493"/>
    <w:rsid w:val="00900AAB"/>
    <w:rsid w:val="009039BF"/>
    <w:rsid w:val="009070A3"/>
    <w:rsid w:val="00907531"/>
    <w:rsid w:val="009165C9"/>
    <w:rsid w:val="00916754"/>
    <w:rsid w:val="00922F4C"/>
    <w:rsid w:val="00925DCB"/>
    <w:rsid w:val="009278E5"/>
    <w:rsid w:val="00932034"/>
    <w:rsid w:val="0093540E"/>
    <w:rsid w:val="009364D3"/>
    <w:rsid w:val="009436FD"/>
    <w:rsid w:val="0094462E"/>
    <w:rsid w:val="00944FE0"/>
    <w:rsid w:val="009454A8"/>
    <w:rsid w:val="009567F5"/>
    <w:rsid w:val="00964E9B"/>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B06B4"/>
    <w:rsid w:val="009B6FAF"/>
    <w:rsid w:val="009B769B"/>
    <w:rsid w:val="009B7ABC"/>
    <w:rsid w:val="009C19E9"/>
    <w:rsid w:val="009C433B"/>
    <w:rsid w:val="009D35A6"/>
    <w:rsid w:val="009D464C"/>
    <w:rsid w:val="009D51E0"/>
    <w:rsid w:val="009D63E3"/>
    <w:rsid w:val="009D7C9B"/>
    <w:rsid w:val="009E1C52"/>
    <w:rsid w:val="009E3962"/>
    <w:rsid w:val="009E7CA6"/>
    <w:rsid w:val="009F04DE"/>
    <w:rsid w:val="009F3251"/>
    <w:rsid w:val="009F5D13"/>
    <w:rsid w:val="00A005A3"/>
    <w:rsid w:val="00A01251"/>
    <w:rsid w:val="00A015F7"/>
    <w:rsid w:val="00A02994"/>
    <w:rsid w:val="00A04D14"/>
    <w:rsid w:val="00A060C5"/>
    <w:rsid w:val="00A107AC"/>
    <w:rsid w:val="00A13B7D"/>
    <w:rsid w:val="00A22702"/>
    <w:rsid w:val="00A338AC"/>
    <w:rsid w:val="00A422CD"/>
    <w:rsid w:val="00A451D3"/>
    <w:rsid w:val="00A571D0"/>
    <w:rsid w:val="00A63CEC"/>
    <w:rsid w:val="00A72FB8"/>
    <w:rsid w:val="00A83436"/>
    <w:rsid w:val="00A843C2"/>
    <w:rsid w:val="00A8684A"/>
    <w:rsid w:val="00A920FB"/>
    <w:rsid w:val="00A94845"/>
    <w:rsid w:val="00A96DCE"/>
    <w:rsid w:val="00AA1081"/>
    <w:rsid w:val="00AA2FF8"/>
    <w:rsid w:val="00AB0F5F"/>
    <w:rsid w:val="00AB5B54"/>
    <w:rsid w:val="00AB63DE"/>
    <w:rsid w:val="00AC2244"/>
    <w:rsid w:val="00AC53A8"/>
    <w:rsid w:val="00AC5FC0"/>
    <w:rsid w:val="00AD03E3"/>
    <w:rsid w:val="00AD5778"/>
    <w:rsid w:val="00AE2302"/>
    <w:rsid w:val="00AE283E"/>
    <w:rsid w:val="00AE298F"/>
    <w:rsid w:val="00AE31DA"/>
    <w:rsid w:val="00AE33C8"/>
    <w:rsid w:val="00AE5F7F"/>
    <w:rsid w:val="00AF3920"/>
    <w:rsid w:val="00AF3B49"/>
    <w:rsid w:val="00AF3E44"/>
    <w:rsid w:val="00AF635B"/>
    <w:rsid w:val="00B02E70"/>
    <w:rsid w:val="00B03E33"/>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496A"/>
    <w:rsid w:val="00B64E4A"/>
    <w:rsid w:val="00B7195F"/>
    <w:rsid w:val="00B719B1"/>
    <w:rsid w:val="00B763B9"/>
    <w:rsid w:val="00B763CF"/>
    <w:rsid w:val="00B827C6"/>
    <w:rsid w:val="00B91BE7"/>
    <w:rsid w:val="00B945A7"/>
    <w:rsid w:val="00B957D3"/>
    <w:rsid w:val="00B95BC2"/>
    <w:rsid w:val="00BA0DBB"/>
    <w:rsid w:val="00BA3A3F"/>
    <w:rsid w:val="00BA3EE0"/>
    <w:rsid w:val="00BA6734"/>
    <w:rsid w:val="00BB251D"/>
    <w:rsid w:val="00BC1C21"/>
    <w:rsid w:val="00BC4DFE"/>
    <w:rsid w:val="00BC6ED7"/>
    <w:rsid w:val="00BD0214"/>
    <w:rsid w:val="00BD0A45"/>
    <w:rsid w:val="00BD1798"/>
    <w:rsid w:val="00BD389E"/>
    <w:rsid w:val="00BF3DF4"/>
    <w:rsid w:val="00BF4C6E"/>
    <w:rsid w:val="00BF66FB"/>
    <w:rsid w:val="00C016C4"/>
    <w:rsid w:val="00C07933"/>
    <w:rsid w:val="00C133A0"/>
    <w:rsid w:val="00C147D6"/>
    <w:rsid w:val="00C168C0"/>
    <w:rsid w:val="00C17454"/>
    <w:rsid w:val="00C202D5"/>
    <w:rsid w:val="00C21A1C"/>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58D2"/>
    <w:rsid w:val="00CA6F57"/>
    <w:rsid w:val="00CB043F"/>
    <w:rsid w:val="00CB0E14"/>
    <w:rsid w:val="00CB27FE"/>
    <w:rsid w:val="00CB3DC0"/>
    <w:rsid w:val="00CB572F"/>
    <w:rsid w:val="00CB6DCB"/>
    <w:rsid w:val="00CB70CD"/>
    <w:rsid w:val="00CC0E20"/>
    <w:rsid w:val="00CC2ADC"/>
    <w:rsid w:val="00CC3536"/>
    <w:rsid w:val="00CC68F6"/>
    <w:rsid w:val="00CC7F24"/>
    <w:rsid w:val="00CD3310"/>
    <w:rsid w:val="00CD35A1"/>
    <w:rsid w:val="00CD3B81"/>
    <w:rsid w:val="00CD69CD"/>
    <w:rsid w:val="00CD7E18"/>
    <w:rsid w:val="00CD7F4C"/>
    <w:rsid w:val="00CE01BC"/>
    <w:rsid w:val="00CF074C"/>
    <w:rsid w:val="00CF37EC"/>
    <w:rsid w:val="00D0538A"/>
    <w:rsid w:val="00D136FE"/>
    <w:rsid w:val="00D162D0"/>
    <w:rsid w:val="00D21980"/>
    <w:rsid w:val="00D224DA"/>
    <w:rsid w:val="00D22F20"/>
    <w:rsid w:val="00D24E05"/>
    <w:rsid w:val="00D263C7"/>
    <w:rsid w:val="00D30641"/>
    <w:rsid w:val="00D335B4"/>
    <w:rsid w:val="00D33910"/>
    <w:rsid w:val="00D3531C"/>
    <w:rsid w:val="00D360CF"/>
    <w:rsid w:val="00D36CF6"/>
    <w:rsid w:val="00D4510D"/>
    <w:rsid w:val="00D47323"/>
    <w:rsid w:val="00D5051B"/>
    <w:rsid w:val="00D52F5C"/>
    <w:rsid w:val="00D53175"/>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7738"/>
    <w:rsid w:val="00DA32E8"/>
    <w:rsid w:val="00DA4910"/>
    <w:rsid w:val="00DB1C70"/>
    <w:rsid w:val="00DB2804"/>
    <w:rsid w:val="00DB488E"/>
    <w:rsid w:val="00DB4A5B"/>
    <w:rsid w:val="00DB7344"/>
    <w:rsid w:val="00DD03F7"/>
    <w:rsid w:val="00DD14E1"/>
    <w:rsid w:val="00DD4309"/>
    <w:rsid w:val="00DD55C4"/>
    <w:rsid w:val="00DD5C08"/>
    <w:rsid w:val="00DD70AB"/>
    <w:rsid w:val="00DE0FE3"/>
    <w:rsid w:val="00DE1870"/>
    <w:rsid w:val="00DE6183"/>
    <w:rsid w:val="00DE6368"/>
    <w:rsid w:val="00DF3483"/>
    <w:rsid w:val="00DF73A1"/>
    <w:rsid w:val="00DF7F79"/>
    <w:rsid w:val="00E01B8D"/>
    <w:rsid w:val="00E05837"/>
    <w:rsid w:val="00E106CA"/>
    <w:rsid w:val="00E1121F"/>
    <w:rsid w:val="00E17CF1"/>
    <w:rsid w:val="00E20E6E"/>
    <w:rsid w:val="00E22F8F"/>
    <w:rsid w:val="00E2459A"/>
    <w:rsid w:val="00E24C85"/>
    <w:rsid w:val="00E27E62"/>
    <w:rsid w:val="00E30722"/>
    <w:rsid w:val="00E31D77"/>
    <w:rsid w:val="00E357B8"/>
    <w:rsid w:val="00E41517"/>
    <w:rsid w:val="00E422EC"/>
    <w:rsid w:val="00E43930"/>
    <w:rsid w:val="00E44E1D"/>
    <w:rsid w:val="00E45748"/>
    <w:rsid w:val="00E46BC0"/>
    <w:rsid w:val="00E52009"/>
    <w:rsid w:val="00E55905"/>
    <w:rsid w:val="00E57C3A"/>
    <w:rsid w:val="00E57EF1"/>
    <w:rsid w:val="00E630B5"/>
    <w:rsid w:val="00E65354"/>
    <w:rsid w:val="00E67A9B"/>
    <w:rsid w:val="00E67CA3"/>
    <w:rsid w:val="00E702A2"/>
    <w:rsid w:val="00E70645"/>
    <w:rsid w:val="00E70A7F"/>
    <w:rsid w:val="00E7156A"/>
    <w:rsid w:val="00E720E5"/>
    <w:rsid w:val="00E721CC"/>
    <w:rsid w:val="00E7234A"/>
    <w:rsid w:val="00E72CA6"/>
    <w:rsid w:val="00E761D3"/>
    <w:rsid w:val="00E77122"/>
    <w:rsid w:val="00E8669A"/>
    <w:rsid w:val="00E9528A"/>
    <w:rsid w:val="00E967A4"/>
    <w:rsid w:val="00E97E8D"/>
    <w:rsid w:val="00EA140D"/>
    <w:rsid w:val="00EC0757"/>
    <w:rsid w:val="00EC10E8"/>
    <w:rsid w:val="00EC132B"/>
    <w:rsid w:val="00EC3E77"/>
    <w:rsid w:val="00EC495E"/>
    <w:rsid w:val="00ED04CF"/>
    <w:rsid w:val="00ED16AA"/>
    <w:rsid w:val="00ED1A0C"/>
    <w:rsid w:val="00ED3AC7"/>
    <w:rsid w:val="00ED5D6A"/>
    <w:rsid w:val="00EE2BF2"/>
    <w:rsid w:val="00EE4571"/>
    <w:rsid w:val="00EE4E3F"/>
    <w:rsid w:val="00EE5435"/>
    <w:rsid w:val="00EF327D"/>
    <w:rsid w:val="00EF6BAA"/>
    <w:rsid w:val="00EF70E9"/>
    <w:rsid w:val="00F0059E"/>
    <w:rsid w:val="00F01272"/>
    <w:rsid w:val="00F0272A"/>
    <w:rsid w:val="00F03D06"/>
    <w:rsid w:val="00F07FF2"/>
    <w:rsid w:val="00F10410"/>
    <w:rsid w:val="00F136F7"/>
    <w:rsid w:val="00F14EC6"/>
    <w:rsid w:val="00F15BD3"/>
    <w:rsid w:val="00F17511"/>
    <w:rsid w:val="00F1776E"/>
    <w:rsid w:val="00F17BE6"/>
    <w:rsid w:val="00F17CD3"/>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2B1E"/>
    <w:rsid w:val="00F53CA2"/>
    <w:rsid w:val="00F5457A"/>
    <w:rsid w:val="00F54826"/>
    <w:rsid w:val="00F60C1F"/>
    <w:rsid w:val="00F6186F"/>
    <w:rsid w:val="00F648DD"/>
    <w:rsid w:val="00F70FD3"/>
    <w:rsid w:val="00F71999"/>
    <w:rsid w:val="00F7242F"/>
    <w:rsid w:val="00F825F9"/>
    <w:rsid w:val="00F852B3"/>
    <w:rsid w:val="00F87354"/>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E0B99"/>
    <w:rsid w:val="00FE2AB5"/>
    <w:rsid w:val="00FE496F"/>
    <w:rsid w:val="00FE5813"/>
    <w:rsid w:val="00FE6ADD"/>
    <w:rsid w:val="00FE6D69"/>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5B5D"/>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paragraph" w:styleId="NormalWeb">
    <w:name w:val="Normal (Web)"/>
    <w:basedOn w:val="Normal"/>
    <w:uiPriority w:val="99"/>
    <w:semiHidden/>
    <w:unhideWhenUsed/>
    <w:rsid w:val="006E05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868980809">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newman@xoserv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ie.Haley@correl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2E71-059B-4A92-846C-40B858BE462D}"/>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C5F6FBA9-EEAF-418E-8953-99C58659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Karen Kennedy</cp:lastModifiedBy>
  <cp:revision>4</cp:revision>
  <dcterms:created xsi:type="dcterms:W3CDTF">2021-07-30T10:45:00Z</dcterms:created>
  <dcterms:modified xsi:type="dcterms:W3CDTF">2021-07-30T10:46:00Z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