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64D46" w14:textId="136207CF" w:rsidR="007D4F26" w:rsidRDefault="007A113D" w:rsidP="007A113D">
      <w:pPr>
        <w:pStyle w:val="Title"/>
        <w:jc w:val="center"/>
      </w:pPr>
      <w:r>
        <w:t>DSC Evaluation Quotation Report (EQR)</w:t>
      </w:r>
    </w:p>
    <w:p w14:paraId="67EBF7C3" w14:textId="32D253B6" w:rsidR="007A113D" w:rsidRDefault="007A113D" w:rsidP="00D66C7E">
      <w:r>
        <w:rPr>
          <w:noProof/>
        </w:rPr>
        <w:drawing>
          <wp:anchor distT="0" distB="0" distL="114300" distR="114300" simplePos="0" relativeHeight="251678720" behindDoc="0" locked="0" layoutInCell="1" allowOverlap="1" wp14:anchorId="2DA64D8B" wp14:editId="7FE405E2">
            <wp:simplePos x="0" y="0"/>
            <wp:positionH relativeFrom="column">
              <wp:posOffset>723900</wp:posOffset>
            </wp:positionH>
            <wp:positionV relativeFrom="paragraph">
              <wp:posOffset>22225</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628CDB17" w14:textId="77777777" w:rsidR="007A113D" w:rsidRDefault="007A113D" w:rsidP="00D66C7E"/>
    <w:p w14:paraId="20498AEC" w14:textId="77777777" w:rsidR="007A113D" w:rsidRDefault="007A113D" w:rsidP="007A113D">
      <w:pPr>
        <w:pStyle w:val="NoSpacing"/>
      </w:pPr>
    </w:p>
    <w:tbl>
      <w:tblPr>
        <w:tblStyle w:val="TableGrid1"/>
        <w:tblW w:w="5598" w:type="pct"/>
        <w:tblInd w:w="-459" w:type="dxa"/>
        <w:tblLayout w:type="fixed"/>
        <w:tblLook w:val="04A0" w:firstRow="1" w:lastRow="0" w:firstColumn="1" w:lastColumn="0" w:noHBand="0" w:noVBand="1"/>
      </w:tblPr>
      <w:tblGrid>
        <w:gridCol w:w="3147"/>
        <w:gridCol w:w="1694"/>
        <w:gridCol w:w="345"/>
        <w:gridCol w:w="4908"/>
      </w:tblGrid>
      <w:tr w:rsidR="004955BF" w:rsidRPr="007A113D" w14:paraId="5ABAD362" w14:textId="77777777" w:rsidTr="66849155">
        <w:tc>
          <w:tcPr>
            <w:tcW w:w="2398" w:type="pct"/>
            <w:gridSpan w:val="2"/>
            <w:shd w:val="clear" w:color="auto" w:fill="FFFFFF" w:themeFill="background1"/>
            <w:vAlign w:val="center"/>
          </w:tcPr>
          <w:p w14:paraId="2A26334B" w14:textId="77777777" w:rsidR="004955BF" w:rsidRPr="007A113D" w:rsidRDefault="004955BF" w:rsidP="004955BF">
            <w:pPr>
              <w:rPr>
                <w:rFonts w:eastAsia="Times New Roman" w:cs="Arial"/>
                <w:b/>
                <w:sz w:val="20"/>
                <w:szCs w:val="16"/>
              </w:rPr>
            </w:pPr>
            <w:r w:rsidRPr="007A113D">
              <w:rPr>
                <w:rFonts w:eastAsia="Times New Roman" w:cs="Arial"/>
                <w:b/>
                <w:sz w:val="20"/>
                <w:szCs w:val="16"/>
              </w:rPr>
              <w:t>Change Title</w:t>
            </w:r>
          </w:p>
        </w:tc>
        <w:tc>
          <w:tcPr>
            <w:tcW w:w="2602" w:type="pct"/>
            <w:gridSpan w:val="2"/>
            <w:vAlign w:val="center"/>
          </w:tcPr>
          <w:p w14:paraId="168A8270" w14:textId="563A335D" w:rsidR="004955BF" w:rsidRPr="004955BF" w:rsidRDefault="004955BF" w:rsidP="004955BF">
            <w:pPr>
              <w:rPr>
                <w:rFonts w:eastAsia="Times New Roman" w:cs="Arial"/>
                <w:sz w:val="20"/>
                <w:szCs w:val="20"/>
              </w:rPr>
            </w:pPr>
            <w:r w:rsidRPr="004955BF">
              <w:rPr>
                <w:rFonts w:cs="Arial"/>
                <w:sz w:val="20"/>
              </w:rPr>
              <w:t>Resource to support the Retail Energy Code (REC)</w:t>
            </w:r>
          </w:p>
        </w:tc>
      </w:tr>
      <w:tr w:rsidR="004955BF" w:rsidRPr="007A113D" w14:paraId="1D03C980" w14:textId="77777777" w:rsidTr="66849155">
        <w:tc>
          <w:tcPr>
            <w:tcW w:w="2398" w:type="pct"/>
            <w:gridSpan w:val="2"/>
            <w:shd w:val="clear" w:color="auto" w:fill="FFFFFF" w:themeFill="background1"/>
            <w:vAlign w:val="center"/>
          </w:tcPr>
          <w:p w14:paraId="4C4C487E" w14:textId="77777777" w:rsidR="004955BF" w:rsidRPr="007A113D" w:rsidRDefault="004955BF" w:rsidP="004955BF">
            <w:pPr>
              <w:rPr>
                <w:rFonts w:eastAsia="Times New Roman" w:cs="Arial"/>
                <w:b/>
                <w:sz w:val="20"/>
                <w:szCs w:val="16"/>
              </w:rPr>
            </w:pPr>
            <w:r w:rsidRPr="007A113D">
              <w:rPr>
                <w:rFonts w:eastAsia="Times New Roman" w:cs="Arial"/>
                <w:b/>
                <w:sz w:val="20"/>
                <w:szCs w:val="16"/>
              </w:rPr>
              <w:t>Change reference number (XRN)</w:t>
            </w:r>
          </w:p>
        </w:tc>
        <w:tc>
          <w:tcPr>
            <w:tcW w:w="2602" w:type="pct"/>
            <w:gridSpan w:val="2"/>
          </w:tcPr>
          <w:p w14:paraId="2585E736" w14:textId="640ECFA3" w:rsidR="004955BF" w:rsidRPr="007A113D" w:rsidRDefault="004955BF" w:rsidP="004955BF">
            <w:pPr>
              <w:rPr>
                <w:rFonts w:eastAsia="Times New Roman" w:cs="Arial"/>
                <w:sz w:val="20"/>
                <w:szCs w:val="20"/>
              </w:rPr>
            </w:pPr>
            <w:r>
              <w:rPr>
                <w:rFonts w:eastAsia="Times New Roman" w:cs="Arial"/>
                <w:sz w:val="20"/>
                <w:szCs w:val="20"/>
              </w:rPr>
              <w:t>XRN</w:t>
            </w:r>
            <w:r w:rsidR="000F3D37">
              <w:rPr>
                <w:rFonts w:eastAsia="Times New Roman" w:cs="Arial"/>
                <w:sz w:val="20"/>
                <w:szCs w:val="20"/>
              </w:rPr>
              <w:t>5485</w:t>
            </w:r>
          </w:p>
        </w:tc>
      </w:tr>
      <w:tr w:rsidR="004955BF" w:rsidRPr="007A113D" w14:paraId="597FAE96" w14:textId="77777777" w:rsidTr="66849155">
        <w:tc>
          <w:tcPr>
            <w:tcW w:w="2398" w:type="pct"/>
            <w:gridSpan w:val="2"/>
            <w:tcBorders>
              <w:bottom w:val="single" w:sz="4" w:space="0" w:color="auto"/>
            </w:tcBorders>
            <w:shd w:val="clear" w:color="auto" w:fill="FFFFFF" w:themeFill="background1"/>
            <w:vAlign w:val="center"/>
          </w:tcPr>
          <w:p w14:paraId="355606E5" w14:textId="2AED0998" w:rsidR="004955BF" w:rsidRPr="007A113D" w:rsidRDefault="004955BF" w:rsidP="004955BF">
            <w:pPr>
              <w:rPr>
                <w:rFonts w:eastAsia="Times New Roman" w:cs="Arial"/>
                <w:b/>
                <w:sz w:val="20"/>
                <w:szCs w:val="16"/>
              </w:rPr>
            </w:pPr>
            <w:r w:rsidRPr="007A113D">
              <w:rPr>
                <w:rFonts w:eastAsia="Times New Roman" w:cs="Arial"/>
                <w:b/>
                <w:sz w:val="20"/>
                <w:szCs w:val="16"/>
              </w:rPr>
              <w:t xml:space="preserve">Xoserve </w:t>
            </w:r>
            <w:r>
              <w:rPr>
                <w:rFonts w:eastAsia="Times New Roman" w:cs="Arial"/>
                <w:b/>
                <w:sz w:val="20"/>
                <w:szCs w:val="16"/>
              </w:rPr>
              <w:t>Lead</w:t>
            </w:r>
            <w:r w:rsidRPr="007A113D">
              <w:rPr>
                <w:rFonts w:eastAsia="Times New Roman" w:cs="Arial"/>
                <w:b/>
                <w:sz w:val="20"/>
                <w:szCs w:val="16"/>
              </w:rPr>
              <w:t xml:space="preserve">  </w:t>
            </w:r>
          </w:p>
        </w:tc>
        <w:tc>
          <w:tcPr>
            <w:tcW w:w="2602" w:type="pct"/>
            <w:gridSpan w:val="2"/>
            <w:tcBorders>
              <w:bottom w:val="single" w:sz="4" w:space="0" w:color="auto"/>
            </w:tcBorders>
          </w:tcPr>
          <w:p w14:paraId="40535F66" w14:textId="3D1108D6" w:rsidR="004955BF" w:rsidRPr="007A113D" w:rsidRDefault="004A2626" w:rsidP="004955BF">
            <w:pPr>
              <w:rPr>
                <w:rFonts w:eastAsia="Times New Roman" w:cs="Arial"/>
                <w:sz w:val="20"/>
                <w:szCs w:val="20"/>
              </w:rPr>
            </w:pPr>
            <w:r>
              <w:rPr>
                <w:rFonts w:eastAsia="Times New Roman" w:cs="Arial"/>
                <w:sz w:val="20"/>
                <w:szCs w:val="20"/>
              </w:rPr>
              <w:t>Ellie Rogers</w:t>
            </w:r>
          </w:p>
        </w:tc>
      </w:tr>
      <w:tr w:rsidR="004955BF" w:rsidRPr="007A113D" w14:paraId="4599B898" w14:textId="77777777" w:rsidTr="66849155">
        <w:tc>
          <w:tcPr>
            <w:tcW w:w="2398" w:type="pct"/>
            <w:gridSpan w:val="2"/>
            <w:tcBorders>
              <w:bottom w:val="single" w:sz="4" w:space="0" w:color="auto"/>
            </w:tcBorders>
            <w:shd w:val="clear" w:color="auto" w:fill="FFFFFF" w:themeFill="background1"/>
            <w:vAlign w:val="center"/>
          </w:tcPr>
          <w:p w14:paraId="125984DD" w14:textId="77777777" w:rsidR="004955BF" w:rsidRPr="007A113D" w:rsidRDefault="004955BF" w:rsidP="004955BF">
            <w:pPr>
              <w:rPr>
                <w:rFonts w:eastAsia="Times New Roman" w:cs="Arial"/>
                <w:b/>
                <w:sz w:val="20"/>
                <w:szCs w:val="16"/>
              </w:rPr>
            </w:pPr>
            <w:r w:rsidRPr="007A113D">
              <w:rPr>
                <w:rFonts w:eastAsia="Times New Roman" w:cs="Arial"/>
                <w:b/>
                <w:sz w:val="20"/>
                <w:szCs w:val="16"/>
              </w:rPr>
              <w:t>Email address</w:t>
            </w:r>
          </w:p>
        </w:tc>
        <w:tc>
          <w:tcPr>
            <w:tcW w:w="2602" w:type="pct"/>
            <w:gridSpan w:val="2"/>
            <w:tcBorders>
              <w:bottom w:val="single" w:sz="4" w:space="0" w:color="auto"/>
            </w:tcBorders>
          </w:tcPr>
          <w:p w14:paraId="0F4AD9FF" w14:textId="65D5456F" w:rsidR="004955BF" w:rsidRPr="007A113D" w:rsidRDefault="00997CA0" w:rsidP="004955BF">
            <w:pPr>
              <w:rPr>
                <w:rFonts w:eastAsia="Times New Roman" w:cs="Arial"/>
                <w:sz w:val="20"/>
                <w:szCs w:val="20"/>
              </w:rPr>
            </w:pPr>
            <w:hyperlink r:id="rId11" w:history="1">
              <w:r w:rsidR="004955BF" w:rsidRPr="00DA78A4">
                <w:rPr>
                  <w:rStyle w:val="Hyperlink"/>
                  <w:rFonts w:eastAsia="Times New Roman" w:cs="Arial"/>
                  <w:sz w:val="20"/>
                  <w:szCs w:val="20"/>
                </w:rPr>
                <w:t>Ellie.rogers@xoserve.com</w:t>
              </w:r>
            </w:hyperlink>
          </w:p>
        </w:tc>
      </w:tr>
      <w:tr w:rsidR="0031421B" w:rsidRPr="007A113D" w14:paraId="11745D87" w14:textId="77777777" w:rsidTr="66849155">
        <w:tc>
          <w:tcPr>
            <w:tcW w:w="2398" w:type="pct"/>
            <w:gridSpan w:val="2"/>
            <w:tcBorders>
              <w:bottom w:val="single" w:sz="4" w:space="0" w:color="auto"/>
            </w:tcBorders>
            <w:shd w:val="clear" w:color="auto" w:fill="FFFFFF" w:themeFill="background1"/>
            <w:vAlign w:val="center"/>
          </w:tcPr>
          <w:p w14:paraId="354B7876" w14:textId="77777777" w:rsidR="0031421B" w:rsidRPr="007A113D" w:rsidRDefault="0031421B" w:rsidP="0031421B">
            <w:pPr>
              <w:rPr>
                <w:rFonts w:eastAsia="Times New Roman" w:cs="Arial"/>
                <w:b/>
                <w:sz w:val="20"/>
                <w:szCs w:val="16"/>
              </w:rPr>
            </w:pPr>
            <w:r w:rsidRPr="007A113D">
              <w:rPr>
                <w:rFonts w:eastAsia="Times New Roman" w:cs="Arial"/>
                <w:b/>
                <w:sz w:val="20"/>
                <w:szCs w:val="16"/>
              </w:rPr>
              <w:t>Contact number</w:t>
            </w:r>
          </w:p>
        </w:tc>
        <w:tc>
          <w:tcPr>
            <w:tcW w:w="2602" w:type="pct"/>
            <w:gridSpan w:val="2"/>
            <w:tcBorders>
              <w:bottom w:val="single" w:sz="4" w:space="0" w:color="auto"/>
            </w:tcBorders>
            <w:vAlign w:val="center"/>
          </w:tcPr>
          <w:p w14:paraId="2B590728" w14:textId="6164B7FB" w:rsidR="0031421B" w:rsidRPr="0031421B" w:rsidRDefault="0031421B" w:rsidP="0031421B">
            <w:pPr>
              <w:rPr>
                <w:rFonts w:eastAsia="Times New Roman" w:cs="Arial"/>
                <w:sz w:val="20"/>
                <w:szCs w:val="20"/>
              </w:rPr>
            </w:pPr>
            <w:r w:rsidRPr="0031421B">
              <w:rPr>
                <w:rFonts w:cs="Arial"/>
                <w:sz w:val="20"/>
              </w:rPr>
              <w:t>+44 1212 292 185</w:t>
            </w:r>
          </w:p>
        </w:tc>
      </w:tr>
      <w:tr w:rsidR="0031421B" w:rsidRPr="007A113D" w14:paraId="7521F4A3" w14:textId="77777777" w:rsidTr="66849155">
        <w:tc>
          <w:tcPr>
            <w:tcW w:w="2398" w:type="pct"/>
            <w:gridSpan w:val="2"/>
            <w:tcBorders>
              <w:bottom w:val="single" w:sz="4" w:space="0" w:color="auto"/>
            </w:tcBorders>
            <w:shd w:val="clear" w:color="auto" w:fill="FFFFFF" w:themeFill="background1"/>
            <w:vAlign w:val="center"/>
          </w:tcPr>
          <w:p w14:paraId="3834CF46" w14:textId="77777777" w:rsidR="0031421B" w:rsidRPr="007A113D" w:rsidRDefault="0031421B" w:rsidP="0031421B">
            <w:pPr>
              <w:rPr>
                <w:rFonts w:eastAsia="Times New Roman" w:cs="Arial"/>
                <w:b/>
                <w:sz w:val="20"/>
                <w:szCs w:val="16"/>
              </w:rPr>
            </w:pPr>
            <w:r w:rsidRPr="007A113D">
              <w:rPr>
                <w:rFonts w:eastAsia="Times New Roman" w:cs="Arial"/>
                <w:b/>
                <w:sz w:val="20"/>
                <w:szCs w:val="16"/>
              </w:rPr>
              <w:t>Target Change Management Committee date</w:t>
            </w:r>
          </w:p>
        </w:tc>
        <w:tc>
          <w:tcPr>
            <w:tcW w:w="2602" w:type="pct"/>
            <w:gridSpan w:val="2"/>
            <w:tcBorders>
              <w:bottom w:val="single" w:sz="4" w:space="0" w:color="auto"/>
            </w:tcBorders>
          </w:tcPr>
          <w:p w14:paraId="5D0071FE" w14:textId="2BA79F1F" w:rsidR="0031421B" w:rsidRPr="007A113D" w:rsidRDefault="0031421B" w:rsidP="0031421B">
            <w:pPr>
              <w:rPr>
                <w:rFonts w:eastAsia="Times New Roman" w:cs="Arial"/>
                <w:sz w:val="20"/>
                <w:szCs w:val="20"/>
              </w:rPr>
            </w:pPr>
            <w:r>
              <w:rPr>
                <w:rFonts w:eastAsia="Times New Roman" w:cs="Arial"/>
                <w:sz w:val="20"/>
                <w:szCs w:val="20"/>
              </w:rPr>
              <w:t>09/03/2022</w:t>
            </w:r>
          </w:p>
        </w:tc>
      </w:tr>
      <w:tr w:rsidR="0031421B" w:rsidRPr="007A113D" w14:paraId="197F5554" w14:textId="77777777" w:rsidTr="66849155">
        <w:tc>
          <w:tcPr>
            <w:tcW w:w="5000" w:type="pct"/>
            <w:gridSpan w:val="4"/>
            <w:tcBorders>
              <w:bottom w:val="single" w:sz="4" w:space="0" w:color="auto"/>
            </w:tcBorders>
            <w:shd w:val="clear" w:color="auto" w:fill="3E5AA8" w:themeFill="accent1"/>
            <w:vAlign w:val="center"/>
          </w:tcPr>
          <w:p w14:paraId="32B3097A" w14:textId="77777777" w:rsidR="0031421B" w:rsidRPr="007A113D" w:rsidRDefault="0031421B" w:rsidP="0031421B">
            <w:pPr>
              <w:jc w:val="center"/>
              <w:rPr>
                <w:rFonts w:eastAsia="Times New Roman" w:cs="Arial"/>
                <w:b/>
                <w:sz w:val="20"/>
                <w:szCs w:val="20"/>
              </w:rPr>
            </w:pPr>
            <w:r w:rsidRPr="007A113D">
              <w:rPr>
                <w:rFonts w:eastAsia="Arial" w:cs="Arial"/>
                <w:b/>
                <w:color w:val="FFFFFF"/>
                <w:sz w:val="20"/>
                <w:szCs w:val="20"/>
                <w:lang w:eastAsia="en-US"/>
              </w:rPr>
              <w:t>Section 1: Scope of EQR</w:t>
            </w:r>
          </w:p>
        </w:tc>
      </w:tr>
      <w:tr w:rsidR="0031421B" w:rsidRPr="007A113D" w14:paraId="5BF0CC59" w14:textId="77777777" w:rsidTr="66849155">
        <w:tc>
          <w:tcPr>
            <w:tcW w:w="5000" w:type="pct"/>
            <w:gridSpan w:val="4"/>
            <w:tcBorders>
              <w:bottom w:val="single" w:sz="4" w:space="0" w:color="auto"/>
            </w:tcBorders>
            <w:shd w:val="clear" w:color="auto" w:fill="FFFFFF" w:themeFill="background1"/>
          </w:tcPr>
          <w:p w14:paraId="660F7811" w14:textId="77777777" w:rsidR="000950BA" w:rsidRPr="000950BA" w:rsidRDefault="000950BA" w:rsidP="000950BA">
            <w:pPr>
              <w:rPr>
                <w:rFonts w:cs="Arial"/>
                <w:sz w:val="20"/>
              </w:rPr>
            </w:pPr>
            <w:r w:rsidRPr="000950BA">
              <w:rPr>
                <w:rFonts w:cs="Arial"/>
                <w:sz w:val="20"/>
              </w:rPr>
              <w:t xml:space="preserve">When developing the 2022/23 Business Plan (BP), it was agreed by DSC Customers that there would be ring-fenced part of the DSC Change Budget to fund the support of the Retail Energy Code (REC). </w:t>
            </w:r>
          </w:p>
          <w:p w14:paraId="7A7E0880" w14:textId="77777777" w:rsidR="000950BA" w:rsidRPr="000950BA" w:rsidRDefault="000950BA" w:rsidP="000950BA">
            <w:pPr>
              <w:rPr>
                <w:rFonts w:cs="Arial"/>
                <w:sz w:val="20"/>
              </w:rPr>
            </w:pPr>
          </w:p>
          <w:p w14:paraId="50191F05" w14:textId="3E407A16" w:rsidR="000950BA" w:rsidRPr="000950BA" w:rsidRDefault="000950BA" w:rsidP="000950BA">
            <w:pPr>
              <w:rPr>
                <w:rFonts w:cs="Arial"/>
                <w:sz w:val="20"/>
              </w:rPr>
            </w:pPr>
            <w:r w:rsidRPr="000950BA">
              <w:rPr>
                <w:rFonts w:cs="Arial"/>
                <w:sz w:val="20"/>
              </w:rPr>
              <w:t>With the BP for 2022/23 commencing in April, Change Proposal</w:t>
            </w:r>
            <w:r w:rsidR="00594CF8">
              <w:rPr>
                <w:rFonts w:cs="Arial"/>
                <w:sz w:val="20"/>
              </w:rPr>
              <w:t xml:space="preserve"> XRN</w:t>
            </w:r>
            <w:r w:rsidR="004B105B">
              <w:rPr>
                <w:rFonts w:cs="Arial"/>
                <w:sz w:val="20"/>
              </w:rPr>
              <w:t>5485</w:t>
            </w:r>
            <w:r w:rsidR="00594CF8">
              <w:rPr>
                <w:rFonts w:cs="Arial"/>
                <w:sz w:val="20"/>
              </w:rPr>
              <w:t xml:space="preserve"> has been raised</w:t>
            </w:r>
            <w:r w:rsidRPr="000950BA">
              <w:rPr>
                <w:rFonts w:cs="Arial"/>
                <w:sz w:val="20"/>
              </w:rPr>
              <w:t xml:space="preserve"> to secure the resource to support the REC. </w:t>
            </w:r>
          </w:p>
          <w:p w14:paraId="6EC7DADB" w14:textId="77777777" w:rsidR="000950BA" w:rsidRPr="000950BA" w:rsidRDefault="000950BA" w:rsidP="000950BA">
            <w:pPr>
              <w:rPr>
                <w:rFonts w:cs="Arial"/>
                <w:sz w:val="20"/>
              </w:rPr>
            </w:pPr>
          </w:p>
          <w:p w14:paraId="0423EDD0" w14:textId="0C35804A" w:rsidR="000950BA" w:rsidRDefault="000950BA" w:rsidP="000F3D37">
            <w:pPr>
              <w:spacing w:line="360" w:lineRule="auto"/>
              <w:rPr>
                <w:rFonts w:cs="Arial"/>
                <w:sz w:val="20"/>
                <w:szCs w:val="20"/>
              </w:rPr>
            </w:pPr>
            <w:r w:rsidRPr="66849155">
              <w:rPr>
                <w:rFonts w:cs="Arial"/>
                <w:sz w:val="20"/>
                <w:szCs w:val="20"/>
              </w:rPr>
              <w:t xml:space="preserve">The resource funded under </w:t>
            </w:r>
            <w:r w:rsidR="00594CF8" w:rsidRPr="66849155">
              <w:rPr>
                <w:rFonts w:cs="Arial"/>
                <w:sz w:val="20"/>
                <w:szCs w:val="20"/>
              </w:rPr>
              <w:t>XRN</w:t>
            </w:r>
            <w:r w:rsidR="000F3D37">
              <w:rPr>
                <w:rFonts w:cs="Arial"/>
                <w:sz w:val="20"/>
                <w:szCs w:val="20"/>
              </w:rPr>
              <w:t>5485</w:t>
            </w:r>
            <w:r w:rsidR="00594CF8" w:rsidRPr="66849155">
              <w:rPr>
                <w:rFonts w:cs="Arial"/>
                <w:sz w:val="20"/>
                <w:szCs w:val="20"/>
              </w:rPr>
              <w:t xml:space="preserve"> and </w:t>
            </w:r>
            <w:r w:rsidR="00F35265" w:rsidRPr="66849155">
              <w:rPr>
                <w:rFonts w:cs="Arial"/>
                <w:sz w:val="20"/>
                <w:szCs w:val="20"/>
              </w:rPr>
              <w:t xml:space="preserve">requested within this EQR </w:t>
            </w:r>
            <w:r w:rsidRPr="66849155">
              <w:rPr>
                <w:rFonts w:cs="Arial"/>
                <w:sz w:val="20"/>
                <w:szCs w:val="20"/>
              </w:rPr>
              <w:t xml:space="preserve">will support the REC, specifically the development of the required processes and knowledge share internally of the required processes and development, assessment and delivery of REC change impacting central systems and processes. </w:t>
            </w:r>
          </w:p>
          <w:p w14:paraId="45331B1E" w14:textId="77777777" w:rsidR="00F35265" w:rsidRPr="000950BA" w:rsidRDefault="00F35265" w:rsidP="000950BA">
            <w:pPr>
              <w:rPr>
                <w:rFonts w:cs="Arial"/>
                <w:sz w:val="20"/>
              </w:rPr>
            </w:pPr>
          </w:p>
          <w:p w14:paraId="7578315C" w14:textId="0A2A4C98" w:rsidR="0031421B" w:rsidRDefault="0031421B" w:rsidP="0031421B">
            <w:pPr>
              <w:contextualSpacing/>
              <w:rPr>
                <w:sz w:val="20"/>
                <w:szCs w:val="20"/>
              </w:rPr>
            </w:pPr>
            <w:r w:rsidRPr="009D6A50">
              <w:rPr>
                <w:sz w:val="20"/>
                <w:szCs w:val="20"/>
              </w:rPr>
              <w:t xml:space="preserve">The </w:t>
            </w:r>
            <w:r w:rsidR="00271FD5">
              <w:rPr>
                <w:sz w:val="20"/>
                <w:szCs w:val="20"/>
              </w:rPr>
              <w:t xml:space="preserve">ring-fenced </w:t>
            </w:r>
            <w:r w:rsidR="00E957A9">
              <w:rPr>
                <w:sz w:val="20"/>
                <w:szCs w:val="20"/>
              </w:rPr>
              <w:t xml:space="preserve">amount for REC resource was agreed as £250,000 of the 2022/23 DSC Change Budget. </w:t>
            </w:r>
          </w:p>
          <w:p w14:paraId="13C92948" w14:textId="27415C44" w:rsidR="00E957A9" w:rsidRDefault="00E957A9" w:rsidP="0031421B">
            <w:pPr>
              <w:contextualSpacing/>
              <w:rPr>
                <w:sz w:val="20"/>
                <w:szCs w:val="20"/>
              </w:rPr>
            </w:pPr>
          </w:p>
          <w:p w14:paraId="4787A658" w14:textId="0249763A" w:rsidR="0031421B" w:rsidRDefault="00247D6A" w:rsidP="0031421B">
            <w:pPr>
              <w:contextualSpacing/>
              <w:rPr>
                <w:sz w:val="20"/>
                <w:szCs w:val="20"/>
              </w:rPr>
            </w:pPr>
            <w:r>
              <w:rPr>
                <w:sz w:val="20"/>
                <w:szCs w:val="20"/>
              </w:rPr>
              <w:t>This amount is required to fund the activities associated with the ongoing development, assessment, support and delivery of REC change impacting central systems and processes</w:t>
            </w:r>
            <w:r w:rsidR="0002261F">
              <w:rPr>
                <w:sz w:val="20"/>
                <w:szCs w:val="20"/>
              </w:rPr>
              <w:t xml:space="preserve"> for financial year 2022/23. </w:t>
            </w:r>
          </w:p>
          <w:p w14:paraId="7BA45F3F" w14:textId="77777777" w:rsidR="0031421B" w:rsidRDefault="0031421B" w:rsidP="0031421B"/>
          <w:p w14:paraId="401AB725" w14:textId="3A056299" w:rsidR="0031421B" w:rsidRPr="00C27A1F" w:rsidRDefault="0031421B" w:rsidP="0031421B"/>
        </w:tc>
        <w:bookmarkStart w:id="0" w:name="_GoBack"/>
        <w:bookmarkEnd w:id="0"/>
      </w:tr>
      <w:tr w:rsidR="0031421B" w:rsidRPr="007A113D" w14:paraId="24189954" w14:textId="77777777" w:rsidTr="66849155">
        <w:tc>
          <w:tcPr>
            <w:tcW w:w="1559" w:type="pct"/>
            <w:tcBorders>
              <w:bottom w:val="single" w:sz="4" w:space="0" w:color="auto"/>
            </w:tcBorders>
            <w:shd w:val="clear" w:color="auto" w:fill="3E5AA8" w:themeFill="accent1"/>
            <w:vAlign w:val="center"/>
          </w:tcPr>
          <w:p w14:paraId="3FDC5E3B" w14:textId="35F0EE64" w:rsidR="0031421B" w:rsidRPr="007A113D" w:rsidRDefault="0031421B" w:rsidP="0031421B">
            <w:pPr>
              <w:rPr>
                <w:rFonts w:eastAsia="Times New Roman" w:cs="Arial"/>
                <w:b/>
                <w:szCs w:val="16"/>
              </w:rPr>
            </w:pPr>
            <w:r w:rsidRPr="007A113D">
              <w:rPr>
                <w:rFonts w:eastAsia="Arial" w:cs="Arial"/>
                <w:b/>
                <w:color w:val="FFFFFF"/>
                <w:sz w:val="20"/>
                <w:szCs w:val="20"/>
                <w:lang w:eastAsia="en-US"/>
              </w:rPr>
              <w:t>Section 2: Estimated cost</w:t>
            </w:r>
          </w:p>
        </w:tc>
        <w:tc>
          <w:tcPr>
            <w:tcW w:w="3441" w:type="pct"/>
            <w:gridSpan w:val="3"/>
            <w:tcBorders>
              <w:bottom w:val="single" w:sz="4" w:space="0" w:color="auto"/>
            </w:tcBorders>
            <w:shd w:val="clear" w:color="auto" w:fill="FFFFFF" w:themeFill="background1"/>
            <w:vAlign w:val="center"/>
          </w:tcPr>
          <w:p w14:paraId="1F268713" w14:textId="74E6DCB3" w:rsidR="0031421B" w:rsidRPr="00A53D4E" w:rsidRDefault="00971EF8" w:rsidP="0031421B">
            <w:pPr>
              <w:rPr>
                <w:rFonts w:eastAsia="Times New Roman" w:cs="Arial"/>
                <w:i/>
                <w:sz w:val="20"/>
                <w:szCs w:val="16"/>
              </w:rPr>
            </w:pPr>
            <w:r>
              <w:rPr>
                <w:rFonts w:eastAsia="Times New Roman" w:cs="Arial"/>
                <w:sz w:val="20"/>
                <w:szCs w:val="16"/>
              </w:rPr>
              <w:t>£250,000</w:t>
            </w:r>
            <w:r w:rsidR="0031421B">
              <w:rPr>
                <w:rFonts w:eastAsia="Times New Roman" w:cs="Arial"/>
                <w:i/>
                <w:sz w:val="20"/>
                <w:szCs w:val="16"/>
              </w:rPr>
              <w:t xml:space="preserve"> </w:t>
            </w:r>
          </w:p>
        </w:tc>
      </w:tr>
      <w:tr w:rsidR="0031421B" w:rsidRPr="007A113D" w14:paraId="5E6BC631" w14:textId="77777777" w:rsidTr="66849155">
        <w:tc>
          <w:tcPr>
            <w:tcW w:w="5000" w:type="pct"/>
            <w:gridSpan w:val="4"/>
            <w:tcBorders>
              <w:bottom w:val="single" w:sz="4" w:space="0" w:color="auto"/>
            </w:tcBorders>
            <w:shd w:val="clear" w:color="auto" w:fill="3E5AA8" w:themeFill="accent1"/>
            <w:vAlign w:val="center"/>
          </w:tcPr>
          <w:p w14:paraId="5EBEF28C" w14:textId="77777777" w:rsidR="0031421B" w:rsidRPr="007A113D" w:rsidRDefault="0031421B" w:rsidP="0031421B">
            <w:pPr>
              <w:jc w:val="center"/>
              <w:rPr>
                <w:rFonts w:eastAsia="Times New Roman" w:cs="Arial"/>
                <w:b/>
                <w:szCs w:val="16"/>
              </w:rPr>
            </w:pPr>
            <w:r w:rsidRPr="007A113D">
              <w:rPr>
                <w:rFonts w:eastAsia="Arial" w:cs="Arial"/>
                <w:b/>
                <w:color w:val="FFFFFF"/>
                <w:sz w:val="20"/>
                <w:szCs w:val="20"/>
                <w:lang w:eastAsia="en-US"/>
              </w:rPr>
              <w:t>Section 3: Funding of EQR</w:t>
            </w:r>
          </w:p>
        </w:tc>
      </w:tr>
      <w:tr w:rsidR="0031421B" w:rsidRPr="007A113D" w14:paraId="55BCAE5D" w14:textId="77777777" w:rsidTr="66849155">
        <w:tc>
          <w:tcPr>
            <w:tcW w:w="5000" w:type="pct"/>
            <w:gridSpan w:val="4"/>
            <w:tcBorders>
              <w:bottom w:val="single" w:sz="4" w:space="0" w:color="auto"/>
            </w:tcBorders>
            <w:shd w:val="clear" w:color="auto" w:fill="FFFFFF" w:themeFill="background1"/>
            <w:vAlign w:val="center"/>
          </w:tcPr>
          <w:p w14:paraId="3E3DBB63" w14:textId="77777777" w:rsidR="00971EF8" w:rsidRDefault="00971EF8" w:rsidP="0031421B">
            <w:pPr>
              <w:rPr>
                <w:sz w:val="20"/>
                <w:szCs w:val="20"/>
              </w:rPr>
            </w:pPr>
          </w:p>
          <w:p w14:paraId="11D60752" w14:textId="07DE5A0E" w:rsidR="00D27AFF" w:rsidRDefault="00D27AFF" w:rsidP="00D27AFF">
            <w:pPr>
              <w:rPr>
                <w:rFonts w:eastAsia="Times New Roman" w:cs="Arial"/>
                <w:sz w:val="20"/>
                <w:szCs w:val="20"/>
              </w:rPr>
            </w:pPr>
            <w:r>
              <w:rPr>
                <w:rFonts w:eastAsia="Times New Roman" w:cs="Arial"/>
                <w:sz w:val="20"/>
                <w:szCs w:val="20"/>
              </w:rPr>
              <w:t xml:space="preserve">Although </w:t>
            </w:r>
            <w:r w:rsidR="00756CD5">
              <w:rPr>
                <w:rFonts w:eastAsia="Times New Roman" w:cs="Arial"/>
                <w:sz w:val="20"/>
                <w:szCs w:val="20"/>
              </w:rPr>
              <w:t xml:space="preserve">it has been discussed that the DSC Change Budget </w:t>
            </w:r>
            <w:r w:rsidR="007F015D">
              <w:rPr>
                <w:rFonts w:eastAsia="Times New Roman" w:cs="Arial"/>
                <w:sz w:val="20"/>
                <w:szCs w:val="20"/>
              </w:rPr>
              <w:t xml:space="preserve">for 2022/23 </w:t>
            </w:r>
            <w:r w:rsidR="00756CD5">
              <w:rPr>
                <w:rFonts w:eastAsia="Times New Roman" w:cs="Arial"/>
                <w:sz w:val="20"/>
                <w:szCs w:val="20"/>
              </w:rPr>
              <w:t>should have ring-fenced funding for REC, this</w:t>
            </w:r>
            <w:r w:rsidRPr="008D414D">
              <w:rPr>
                <w:rFonts w:eastAsia="Times New Roman" w:cs="Arial"/>
                <w:sz w:val="20"/>
                <w:szCs w:val="20"/>
              </w:rPr>
              <w:t xml:space="preserve"> EQR </w:t>
            </w:r>
            <w:r w:rsidR="00756CD5">
              <w:rPr>
                <w:rFonts w:eastAsia="Times New Roman" w:cs="Arial"/>
                <w:sz w:val="20"/>
                <w:szCs w:val="20"/>
              </w:rPr>
              <w:t>is required to formally approve this f</w:t>
            </w:r>
            <w:r w:rsidRPr="008D414D">
              <w:rPr>
                <w:rFonts w:eastAsia="Times New Roman" w:cs="Arial"/>
                <w:sz w:val="20"/>
                <w:szCs w:val="20"/>
              </w:rPr>
              <w:t xml:space="preserve">unding </w:t>
            </w:r>
            <w:r w:rsidR="00756CD5">
              <w:rPr>
                <w:rFonts w:eastAsia="Times New Roman" w:cs="Arial"/>
                <w:sz w:val="20"/>
                <w:szCs w:val="20"/>
              </w:rPr>
              <w:t xml:space="preserve">with the </w:t>
            </w:r>
            <w:r w:rsidRPr="008D414D">
              <w:rPr>
                <w:rFonts w:eastAsia="Times New Roman" w:cs="Arial"/>
                <w:sz w:val="20"/>
                <w:szCs w:val="20"/>
              </w:rPr>
              <w:t>ChMC</w:t>
            </w:r>
            <w:r>
              <w:rPr>
                <w:rFonts w:eastAsia="Times New Roman" w:cs="Arial"/>
                <w:sz w:val="20"/>
                <w:szCs w:val="20"/>
              </w:rPr>
              <w:t xml:space="preserve">. </w:t>
            </w:r>
          </w:p>
          <w:p w14:paraId="5AE3A02A" w14:textId="77777777" w:rsidR="00D27AFF" w:rsidRDefault="00D27AFF" w:rsidP="00D27AFF">
            <w:pPr>
              <w:rPr>
                <w:rFonts w:eastAsia="Times New Roman" w:cs="Arial"/>
                <w:sz w:val="20"/>
                <w:szCs w:val="20"/>
              </w:rPr>
            </w:pPr>
          </w:p>
          <w:p w14:paraId="48BCE86F" w14:textId="1EAB7AFD" w:rsidR="0035397E" w:rsidRPr="0035397E" w:rsidRDefault="0035397E" w:rsidP="0035397E">
            <w:pPr>
              <w:rPr>
                <w:rFonts w:eastAsia="Times New Roman" w:cs="Arial"/>
                <w:sz w:val="20"/>
                <w:szCs w:val="20"/>
              </w:rPr>
            </w:pPr>
            <w:r w:rsidRPr="0035397E">
              <w:rPr>
                <w:rFonts w:eastAsia="Times New Roman" w:cs="Arial"/>
                <w:sz w:val="20"/>
                <w:szCs w:val="20"/>
              </w:rPr>
              <w:t>GDNs and IGTs are signatories to the REC, as are Suppliers. Given the role being considered here, this role is expected to provide assessment of changes through REC that will directly impact GDNs and IGTs responsibilities in the REC, and those placed indirectly on Shippers through their Suppliers responsibilities. Consequently, we anticipate funding of the REC recourse support will be split between these DSC parties. </w:t>
            </w:r>
          </w:p>
          <w:p w14:paraId="122DD46D" w14:textId="77777777" w:rsidR="0035397E" w:rsidRPr="0035397E" w:rsidRDefault="0035397E" w:rsidP="0035397E">
            <w:pPr>
              <w:rPr>
                <w:rFonts w:eastAsia="Times New Roman" w:cs="Arial"/>
                <w:sz w:val="20"/>
                <w:szCs w:val="20"/>
              </w:rPr>
            </w:pPr>
            <w:r w:rsidRPr="0035397E">
              <w:rPr>
                <w:rFonts w:eastAsia="Times New Roman" w:cs="Arial"/>
                <w:sz w:val="20"/>
                <w:szCs w:val="20"/>
              </w:rPr>
              <w:t>The split of the funding has been proposed to mirror the split for the REC Investment Funding Split discussed as part of the Business Plan.</w:t>
            </w:r>
          </w:p>
          <w:p w14:paraId="182F25F4" w14:textId="77777777" w:rsidR="0035397E" w:rsidRDefault="0035397E" w:rsidP="00D27AFF">
            <w:pPr>
              <w:rPr>
                <w:rFonts w:eastAsia="Times New Roman" w:cs="Arial"/>
                <w:sz w:val="20"/>
                <w:szCs w:val="20"/>
              </w:rPr>
            </w:pPr>
          </w:p>
          <w:p w14:paraId="1D19A5A9" w14:textId="77777777" w:rsidR="0031421B" w:rsidRPr="009D6A50" w:rsidRDefault="0031421B" w:rsidP="0031421B">
            <w:pPr>
              <w:rPr>
                <w:rFonts w:eastAsia="Times New Roman" w:cs="Arial"/>
                <w:i/>
                <w:color w:val="0070C0"/>
                <w:sz w:val="20"/>
                <w:szCs w:val="20"/>
              </w:rPr>
            </w:pPr>
          </w:p>
          <w:tbl>
            <w:tblPr>
              <w:tblStyle w:val="TableGrid1"/>
              <w:tblW w:w="0" w:type="auto"/>
              <w:tblLayout w:type="fixed"/>
              <w:tblLook w:val="04A0" w:firstRow="1" w:lastRow="0" w:firstColumn="1" w:lastColumn="0" w:noHBand="0" w:noVBand="1"/>
            </w:tblPr>
            <w:tblGrid>
              <w:gridCol w:w="2581"/>
              <w:gridCol w:w="3293"/>
              <w:gridCol w:w="3293"/>
            </w:tblGrid>
            <w:tr w:rsidR="005746F4" w:rsidRPr="009D6A50" w14:paraId="3FC3175D" w14:textId="2C189B56" w:rsidTr="002555E6">
              <w:tc>
                <w:tcPr>
                  <w:tcW w:w="2581" w:type="dxa"/>
                  <w:vAlign w:val="center"/>
                </w:tcPr>
                <w:p w14:paraId="5E45CB7B" w14:textId="77777777" w:rsidR="005746F4" w:rsidRPr="009D6A50" w:rsidRDefault="005746F4" w:rsidP="0031421B">
                  <w:pPr>
                    <w:jc w:val="center"/>
                    <w:rPr>
                      <w:rFonts w:eastAsia="Times New Roman" w:cs="Arial"/>
                      <w:i/>
                      <w:color w:val="0070C0"/>
                      <w:sz w:val="20"/>
                      <w:szCs w:val="20"/>
                    </w:rPr>
                  </w:pPr>
                  <w:r w:rsidRPr="009D6A50">
                    <w:rPr>
                      <w:rFonts w:eastAsia="Times New Roman" w:cs="Arial"/>
                      <w:b/>
                      <w:sz w:val="20"/>
                      <w:szCs w:val="20"/>
                    </w:rPr>
                    <w:t>Gas Industry Participant</w:t>
                  </w:r>
                </w:p>
              </w:tc>
              <w:tc>
                <w:tcPr>
                  <w:tcW w:w="3293" w:type="dxa"/>
                  <w:vAlign w:val="center"/>
                </w:tcPr>
                <w:p w14:paraId="369C2160" w14:textId="77777777" w:rsidR="005746F4" w:rsidRPr="009D6A50" w:rsidRDefault="005746F4" w:rsidP="0031421B">
                  <w:pPr>
                    <w:jc w:val="center"/>
                    <w:rPr>
                      <w:rFonts w:eastAsia="Times New Roman" w:cs="Arial"/>
                      <w:sz w:val="20"/>
                      <w:szCs w:val="20"/>
                    </w:rPr>
                  </w:pPr>
                  <w:r w:rsidRPr="009D6A50">
                    <w:rPr>
                      <w:rFonts w:eastAsia="Times New Roman" w:cs="Arial"/>
                      <w:b/>
                      <w:sz w:val="20"/>
                      <w:szCs w:val="20"/>
                    </w:rPr>
                    <w:t>% Share of Cost</w:t>
                  </w:r>
                </w:p>
              </w:tc>
              <w:tc>
                <w:tcPr>
                  <w:tcW w:w="3293" w:type="dxa"/>
                </w:tcPr>
                <w:p w14:paraId="470BF288" w14:textId="3AE92810" w:rsidR="005746F4" w:rsidRPr="009D6A50" w:rsidRDefault="005746F4" w:rsidP="0031421B">
                  <w:pPr>
                    <w:jc w:val="center"/>
                    <w:rPr>
                      <w:rFonts w:eastAsia="Times New Roman" w:cs="Arial"/>
                      <w:b/>
                      <w:sz w:val="20"/>
                      <w:szCs w:val="20"/>
                    </w:rPr>
                  </w:pPr>
                  <w:r>
                    <w:rPr>
                      <w:rFonts w:eastAsia="Times New Roman" w:cs="Arial"/>
                      <w:b/>
                      <w:sz w:val="20"/>
                      <w:szCs w:val="20"/>
                    </w:rPr>
                    <w:t>Cost Value</w:t>
                  </w:r>
                </w:p>
              </w:tc>
            </w:tr>
            <w:tr w:rsidR="005746F4" w:rsidRPr="009D6A50" w14:paraId="56C1999E" w14:textId="2F820ADE" w:rsidTr="002555E6">
              <w:tc>
                <w:tcPr>
                  <w:tcW w:w="2581" w:type="dxa"/>
                </w:tcPr>
                <w:p w14:paraId="3A64272C" w14:textId="65D7A00C" w:rsidR="005746F4" w:rsidRPr="009D6A50" w:rsidRDefault="005746F4" w:rsidP="0031421B">
                  <w:pPr>
                    <w:rPr>
                      <w:rFonts w:eastAsia="Times New Roman" w:cs="Arial"/>
                      <w:b/>
                      <w:sz w:val="20"/>
                      <w:szCs w:val="20"/>
                    </w:rPr>
                  </w:pPr>
                  <w:r w:rsidRPr="009D6A50">
                    <w:rPr>
                      <w:rFonts w:eastAsia="Times New Roman" w:cs="Arial"/>
                      <w:b/>
                      <w:sz w:val="20"/>
                      <w:szCs w:val="20"/>
                    </w:rPr>
                    <w:t>Shippers</w:t>
                  </w:r>
                </w:p>
              </w:tc>
              <w:tc>
                <w:tcPr>
                  <w:tcW w:w="3293" w:type="dxa"/>
                  <w:vAlign w:val="center"/>
                </w:tcPr>
                <w:p w14:paraId="2F3F9B67" w14:textId="6A7BEAA6" w:rsidR="005746F4" w:rsidRPr="009D6A50" w:rsidRDefault="005746F4" w:rsidP="0031421B">
                  <w:pPr>
                    <w:jc w:val="center"/>
                    <w:rPr>
                      <w:rFonts w:eastAsia="Times New Roman" w:cs="Arial"/>
                      <w:sz w:val="20"/>
                      <w:szCs w:val="20"/>
                    </w:rPr>
                  </w:pPr>
                  <w:r>
                    <w:rPr>
                      <w:rFonts w:eastAsia="Times New Roman" w:cs="Arial"/>
                      <w:sz w:val="20"/>
                      <w:szCs w:val="20"/>
                    </w:rPr>
                    <w:t>59%</w:t>
                  </w:r>
                </w:p>
              </w:tc>
              <w:tc>
                <w:tcPr>
                  <w:tcW w:w="3293" w:type="dxa"/>
                </w:tcPr>
                <w:p w14:paraId="2AE7BE04" w14:textId="106DA147" w:rsidR="005746F4" w:rsidRDefault="00D6657A" w:rsidP="0031421B">
                  <w:pPr>
                    <w:jc w:val="center"/>
                    <w:rPr>
                      <w:rFonts w:eastAsia="Times New Roman" w:cs="Arial"/>
                      <w:sz w:val="20"/>
                      <w:szCs w:val="20"/>
                    </w:rPr>
                  </w:pPr>
                  <w:r>
                    <w:rPr>
                      <w:rFonts w:eastAsia="Times New Roman" w:cs="Arial"/>
                      <w:sz w:val="20"/>
                      <w:szCs w:val="20"/>
                    </w:rPr>
                    <w:t>£147,000</w:t>
                  </w:r>
                </w:p>
              </w:tc>
            </w:tr>
            <w:tr w:rsidR="005746F4" w:rsidRPr="009D6A50" w14:paraId="3BA0DE02" w14:textId="51464F59" w:rsidTr="002555E6">
              <w:tc>
                <w:tcPr>
                  <w:tcW w:w="2581" w:type="dxa"/>
                </w:tcPr>
                <w:p w14:paraId="7FEB30FD" w14:textId="5B527C44" w:rsidR="005746F4" w:rsidRPr="009D6A50" w:rsidRDefault="005B3D01" w:rsidP="0031421B">
                  <w:pPr>
                    <w:rPr>
                      <w:rFonts w:eastAsia="Times New Roman" w:cs="Arial"/>
                      <w:b/>
                      <w:sz w:val="20"/>
                      <w:szCs w:val="20"/>
                    </w:rPr>
                  </w:pPr>
                  <w:r>
                    <w:rPr>
                      <w:rFonts w:eastAsia="Times New Roman" w:cs="Arial"/>
                      <w:b/>
                      <w:sz w:val="20"/>
                      <w:szCs w:val="20"/>
                    </w:rPr>
                    <w:t>G</w:t>
                  </w:r>
                  <w:r w:rsidR="005746F4">
                    <w:rPr>
                      <w:rFonts w:eastAsia="Times New Roman" w:cs="Arial"/>
                      <w:b/>
                      <w:sz w:val="20"/>
                      <w:szCs w:val="20"/>
                    </w:rPr>
                    <w:t>DNs</w:t>
                  </w:r>
                </w:p>
              </w:tc>
              <w:tc>
                <w:tcPr>
                  <w:tcW w:w="3293" w:type="dxa"/>
                  <w:vAlign w:val="center"/>
                </w:tcPr>
                <w:p w14:paraId="7CC35E88" w14:textId="13FFCD33" w:rsidR="005746F4" w:rsidRPr="009D6A50" w:rsidRDefault="005746F4" w:rsidP="0031421B">
                  <w:pPr>
                    <w:jc w:val="center"/>
                    <w:rPr>
                      <w:rFonts w:eastAsia="Times New Roman" w:cs="Arial"/>
                      <w:sz w:val="20"/>
                      <w:szCs w:val="20"/>
                    </w:rPr>
                  </w:pPr>
                  <w:r>
                    <w:rPr>
                      <w:rFonts w:eastAsia="Times New Roman" w:cs="Arial"/>
                      <w:sz w:val="20"/>
                      <w:szCs w:val="20"/>
                    </w:rPr>
                    <w:t>3</w:t>
                  </w:r>
                  <w:r w:rsidR="00962F20">
                    <w:rPr>
                      <w:rFonts w:eastAsia="Times New Roman" w:cs="Arial"/>
                      <w:sz w:val="20"/>
                      <w:szCs w:val="20"/>
                    </w:rPr>
                    <w:t>5.5</w:t>
                  </w:r>
                  <w:r>
                    <w:rPr>
                      <w:rFonts w:eastAsia="Times New Roman" w:cs="Arial"/>
                      <w:sz w:val="20"/>
                      <w:szCs w:val="20"/>
                    </w:rPr>
                    <w:t>%</w:t>
                  </w:r>
                </w:p>
              </w:tc>
              <w:tc>
                <w:tcPr>
                  <w:tcW w:w="3293" w:type="dxa"/>
                </w:tcPr>
                <w:p w14:paraId="115EFCA6" w14:textId="6B189B91" w:rsidR="005746F4" w:rsidRDefault="00F34811" w:rsidP="0031421B">
                  <w:pPr>
                    <w:jc w:val="center"/>
                    <w:rPr>
                      <w:rFonts w:eastAsia="Times New Roman" w:cs="Arial"/>
                      <w:sz w:val="20"/>
                      <w:szCs w:val="20"/>
                    </w:rPr>
                  </w:pPr>
                  <w:r>
                    <w:rPr>
                      <w:rFonts w:eastAsia="Times New Roman" w:cs="Arial"/>
                      <w:sz w:val="20"/>
                      <w:szCs w:val="20"/>
                    </w:rPr>
                    <w:t>£</w:t>
                  </w:r>
                  <w:r w:rsidR="00B048DC">
                    <w:rPr>
                      <w:rFonts w:eastAsia="Times New Roman" w:cs="Arial"/>
                      <w:sz w:val="20"/>
                      <w:szCs w:val="20"/>
                    </w:rPr>
                    <w:t>88</w:t>
                  </w:r>
                  <w:r>
                    <w:rPr>
                      <w:rFonts w:eastAsia="Times New Roman" w:cs="Arial"/>
                      <w:sz w:val="20"/>
                      <w:szCs w:val="20"/>
                    </w:rPr>
                    <w:t>,</w:t>
                  </w:r>
                  <w:r w:rsidR="00B048DC">
                    <w:rPr>
                      <w:rFonts w:eastAsia="Times New Roman" w:cs="Arial"/>
                      <w:sz w:val="20"/>
                      <w:szCs w:val="20"/>
                    </w:rPr>
                    <w:t>750</w:t>
                  </w:r>
                </w:p>
              </w:tc>
            </w:tr>
            <w:tr w:rsidR="005746F4" w:rsidRPr="009D6A50" w14:paraId="3B8AC56E" w14:textId="7D209066" w:rsidTr="002555E6">
              <w:tc>
                <w:tcPr>
                  <w:tcW w:w="2581" w:type="dxa"/>
                </w:tcPr>
                <w:p w14:paraId="79B15B92" w14:textId="51024FB1" w:rsidR="005746F4" w:rsidRPr="009D6A50" w:rsidRDefault="005746F4" w:rsidP="0031421B">
                  <w:pPr>
                    <w:rPr>
                      <w:rFonts w:eastAsia="Times New Roman" w:cs="Arial"/>
                      <w:b/>
                      <w:sz w:val="20"/>
                      <w:szCs w:val="20"/>
                    </w:rPr>
                  </w:pPr>
                  <w:r>
                    <w:rPr>
                      <w:rFonts w:eastAsia="Times New Roman" w:cs="Arial"/>
                      <w:b/>
                      <w:sz w:val="20"/>
                      <w:szCs w:val="20"/>
                    </w:rPr>
                    <w:t>IGTs</w:t>
                  </w:r>
                </w:p>
              </w:tc>
              <w:tc>
                <w:tcPr>
                  <w:tcW w:w="3293" w:type="dxa"/>
                  <w:vAlign w:val="center"/>
                </w:tcPr>
                <w:p w14:paraId="2412F9D6" w14:textId="392430FD" w:rsidR="005746F4" w:rsidRPr="009D6A50" w:rsidRDefault="00962F20" w:rsidP="00D709C4">
                  <w:pPr>
                    <w:jc w:val="center"/>
                    <w:rPr>
                      <w:rFonts w:eastAsia="Times New Roman" w:cs="Arial"/>
                      <w:sz w:val="20"/>
                      <w:szCs w:val="20"/>
                    </w:rPr>
                  </w:pPr>
                  <w:r>
                    <w:rPr>
                      <w:rFonts w:eastAsia="Times New Roman" w:cs="Arial"/>
                      <w:sz w:val="20"/>
                      <w:szCs w:val="20"/>
                    </w:rPr>
                    <w:t>5.5</w:t>
                  </w:r>
                  <w:r w:rsidR="005746F4">
                    <w:rPr>
                      <w:rFonts w:eastAsia="Times New Roman" w:cs="Arial"/>
                      <w:sz w:val="20"/>
                      <w:szCs w:val="20"/>
                    </w:rPr>
                    <w:t>%</w:t>
                  </w:r>
                </w:p>
              </w:tc>
              <w:tc>
                <w:tcPr>
                  <w:tcW w:w="3293" w:type="dxa"/>
                </w:tcPr>
                <w:p w14:paraId="65508314" w14:textId="160DC8EE" w:rsidR="005746F4" w:rsidRDefault="00910602" w:rsidP="00D709C4">
                  <w:pPr>
                    <w:jc w:val="center"/>
                    <w:rPr>
                      <w:rFonts w:eastAsia="Times New Roman" w:cs="Arial"/>
                      <w:sz w:val="20"/>
                      <w:szCs w:val="20"/>
                    </w:rPr>
                  </w:pPr>
                  <w:r>
                    <w:rPr>
                      <w:rFonts w:eastAsia="Times New Roman" w:cs="Arial"/>
                      <w:sz w:val="20"/>
                      <w:szCs w:val="20"/>
                    </w:rPr>
                    <w:t>£1</w:t>
                  </w:r>
                  <w:r w:rsidR="007F6885">
                    <w:rPr>
                      <w:rFonts w:eastAsia="Times New Roman" w:cs="Arial"/>
                      <w:sz w:val="20"/>
                      <w:szCs w:val="20"/>
                    </w:rPr>
                    <w:t>3</w:t>
                  </w:r>
                  <w:r>
                    <w:rPr>
                      <w:rFonts w:eastAsia="Times New Roman" w:cs="Arial"/>
                      <w:sz w:val="20"/>
                      <w:szCs w:val="20"/>
                    </w:rPr>
                    <w:t>,</w:t>
                  </w:r>
                  <w:r w:rsidR="007F6885">
                    <w:rPr>
                      <w:rFonts w:eastAsia="Times New Roman" w:cs="Arial"/>
                      <w:sz w:val="20"/>
                      <w:szCs w:val="20"/>
                    </w:rPr>
                    <w:t>750</w:t>
                  </w:r>
                </w:p>
              </w:tc>
            </w:tr>
          </w:tbl>
          <w:p w14:paraId="62F1145D" w14:textId="77777777" w:rsidR="0031421B" w:rsidRPr="009D6A50" w:rsidRDefault="0031421B" w:rsidP="0031421B">
            <w:pPr>
              <w:rPr>
                <w:rFonts w:eastAsia="Times New Roman" w:cs="Arial"/>
                <w:b/>
                <w:sz w:val="20"/>
                <w:szCs w:val="20"/>
              </w:rPr>
            </w:pPr>
          </w:p>
          <w:p w14:paraId="01DEA716" w14:textId="0D6FC942" w:rsidR="0031421B" w:rsidRPr="007A113D" w:rsidRDefault="0031421B" w:rsidP="0031421B">
            <w:pPr>
              <w:rPr>
                <w:rFonts w:eastAsia="Times New Roman" w:cs="Arial"/>
                <w:b/>
                <w:szCs w:val="16"/>
              </w:rPr>
            </w:pPr>
          </w:p>
        </w:tc>
      </w:tr>
      <w:tr w:rsidR="0031421B" w:rsidRPr="007A113D" w14:paraId="37E512C9" w14:textId="77777777" w:rsidTr="66849155">
        <w:tc>
          <w:tcPr>
            <w:tcW w:w="2569" w:type="pct"/>
            <w:gridSpan w:val="3"/>
            <w:tcBorders>
              <w:bottom w:val="single" w:sz="4" w:space="0" w:color="auto"/>
            </w:tcBorders>
            <w:shd w:val="clear" w:color="auto" w:fill="3E5AA8" w:themeFill="accent1"/>
            <w:vAlign w:val="center"/>
          </w:tcPr>
          <w:p w14:paraId="427A088B" w14:textId="77777777" w:rsidR="0031421B" w:rsidRPr="007A113D" w:rsidRDefault="0031421B" w:rsidP="0031421B">
            <w:pPr>
              <w:rPr>
                <w:rFonts w:eastAsia="Arial" w:cs="Arial"/>
                <w:b/>
                <w:color w:val="FFFFFF"/>
                <w:sz w:val="20"/>
                <w:szCs w:val="20"/>
                <w:lang w:eastAsia="en-US"/>
              </w:rPr>
            </w:pPr>
            <w:r w:rsidRPr="007A113D">
              <w:rPr>
                <w:rFonts w:eastAsia="Arial" w:cs="Arial"/>
                <w:b/>
                <w:color w:val="FFFFFF"/>
                <w:sz w:val="20"/>
                <w:szCs w:val="20"/>
                <w:lang w:eastAsia="en-US"/>
              </w:rPr>
              <w:lastRenderedPageBreak/>
              <w:t>Section 4: Approximate timescale for completion of the Business Evaluation Report</w:t>
            </w:r>
          </w:p>
        </w:tc>
        <w:tc>
          <w:tcPr>
            <w:tcW w:w="2431" w:type="pct"/>
            <w:tcBorders>
              <w:bottom w:val="single" w:sz="4" w:space="0" w:color="auto"/>
            </w:tcBorders>
            <w:shd w:val="clear" w:color="auto" w:fill="auto"/>
          </w:tcPr>
          <w:p w14:paraId="5EA69669" w14:textId="694592A0" w:rsidR="0031421B" w:rsidRPr="007A113D" w:rsidRDefault="002835F1" w:rsidP="0031421B">
            <w:pPr>
              <w:rPr>
                <w:rFonts w:eastAsia="Times New Roman" w:cs="Arial"/>
                <w:sz w:val="20"/>
                <w:szCs w:val="16"/>
              </w:rPr>
            </w:pPr>
            <w:r>
              <w:rPr>
                <w:rFonts w:eastAsia="Times New Roman" w:cs="Arial"/>
                <w:sz w:val="20"/>
                <w:szCs w:val="16"/>
              </w:rPr>
              <w:t xml:space="preserve">This EQR is the funding for </w:t>
            </w:r>
            <w:r w:rsidR="00CD7898">
              <w:rPr>
                <w:rFonts w:eastAsia="Times New Roman" w:cs="Arial"/>
                <w:sz w:val="20"/>
                <w:szCs w:val="16"/>
              </w:rPr>
              <w:t xml:space="preserve">financial year </w:t>
            </w:r>
            <w:r w:rsidR="000550DD">
              <w:rPr>
                <w:rFonts w:eastAsia="Times New Roman" w:cs="Arial"/>
                <w:sz w:val="20"/>
                <w:szCs w:val="16"/>
              </w:rPr>
              <w:t xml:space="preserve">2022/23. </w:t>
            </w:r>
            <w:r w:rsidR="00537446">
              <w:rPr>
                <w:rFonts w:eastAsia="Times New Roman" w:cs="Arial"/>
                <w:sz w:val="20"/>
                <w:szCs w:val="16"/>
              </w:rPr>
              <w:t>F</w:t>
            </w:r>
            <w:r w:rsidR="000550DD">
              <w:rPr>
                <w:rFonts w:eastAsia="Times New Roman" w:cs="Arial"/>
                <w:sz w:val="20"/>
                <w:szCs w:val="16"/>
              </w:rPr>
              <w:t>unding</w:t>
            </w:r>
            <w:r w:rsidR="00537446">
              <w:rPr>
                <w:rFonts w:eastAsia="Times New Roman" w:cs="Arial"/>
                <w:sz w:val="20"/>
                <w:szCs w:val="16"/>
              </w:rPr>
              <w:t xml:space="preserve"> for the requirement support</w:t>
            </w:r>
            <w:r w:rsidR="000550DD">
              <w:rPr>
                <w:rFonts w:eastAsia="Times New Roman" w:cs="Arial"/>
                <w:sz w:val="20"/>
                <w:szCs w:val="16"/>
              </w:rPr>
              <w:t xml:space="preserve"> following 2022/23 financial year will be </w:t>
            </w:r>
            <w:r w:rsidR="00537446">
              <w:rPr>
                <w:rFonts w:eastAsia="Times New Roman" w:cs="Arial"/>
                <w:sz w:val="20"/>
                <w:szCs w:val="16"/>
              </w:rPr>
              <w:t xml:space="preserve">via </w:t>
            </w:r>
            <w:r w:rsidR="000550DD">
              <w:rPr>
                <w:rFonts w:eastAsia="Times New Roman" w:cs="Arial"/>
                <w:sz w:val="20"/>
                <w:szCs w:val="16"/>
              </w:rPr>
              <w:t xml:space="preserve">MTBs. </w:t>
            </w:r>
          </w:p>
        </w:tc>
      </w:tr>
      <w:tr w:rsidR="0031421B" w:rsidRPr="007A113D" w14:paraId="79327C46" w14:textId="77777777" w:rsidTr="66849155">
        <w:tc>
          <w:tcPr>
            <w:tcW w:w="2569" w:type="pct"/>
            <w:gridSpan w:val="3"/>
            <w:shd w:val="clear" w:color="auto" w:fill="3E5AA8" w:themeFill="accent1"/>
            <w:vAlign w:val="center"/>
          </w:tcPr>
          <w:p w14:paraId="6A0E7E49" w14:textId="77777777" w:rsidR="0031421B" w:rsidRPr="007A113D" w:rsidRDefault="0031421B" w:rsidP="0031421B">
            <w:pPr>
              <w:rPr>
                <w:rFonts w:eastAsia="Arial" w:cs="Arial"/>
                <w:b/>
                <w:color w:val="FFFFFF"/>
                <w:sz w:val="20"/>
                <w:szCs w:val="20"/>
                <w:lang w:eastAsia="en-US"/>
              </w:rPr>
            </w:pPr>
            <w:r w:rsidRPr="007A113D">
              <w:rPr>
                <w:rFonts w:eastAsia="Arial" w:cs="Arial"/>
                <w:b/>
                <w:color w:val="FFFFFF"/>
                <w:sz w:val="20"/>
                <w:szCs w:val="20"/>
                <w:lang w:eastAsia="en-US"/>
              </w:rPr>
              <w:t>Section 5: Period that the Evaluation Quotation Report is valid for</w:t>
            </w:r>
          </w:p>
        </w:tc>
        <w:tc>
          <w:tcPr>
            <w:tcW w:w="2431" w:type="pct"/>
            <w:shd w:val="clear" w:color="auto" w:fill="auto"/>
          </w:tcPr>
          <w:p w14:paraId="490FAB7B" w14:textId="7536C1B3" w:rsidR="0031421B" w:rsidRPr="007A113D" w:rsidRDefault="00A81E20" w:rsidP="0031421B">
            <w:pPr>
              <w:rPr>
                <w:rFonts w:eastAsia="Times New Roman" w:cs="Arial"/>
                <w:sz w:val="20"/>
                <w:szCs w:val="16"/>
              </w:rPr>
            </w:pPr>
            <w:r>
              <w:rPr>
                <w:rFonts w:eastAsia="Times New Roman" w:cs="Arial"/>
                <w:sz w:val="20"/>
                <w:szCs w:val="16"/>
              </w:rPr>
              <w:t>n/a</w:t>
            </w:r>
          </w:p>
        </w:tc>
      </w:tr>
      <w:tr w:rsidR="0031421B" w:rsidRPr="007A113D" w14:paraId="620056DF" w14:textId="77777777" w:rsidTr="66849155">
        <w:tc>
          <w:tcPr>
            <w:tcW w:w="5000" w:type="pct"/>
            <w:gridSpan w:val="4"/>
            <w:shd w:val="clear" w:color="auto" w:fill="3E5AA8" w:themeFill="accent1"/>
            <w:vAlign w:val="center"/>
          </w:tcPr>
          <w:p w14:paraId="20D68D88" w14:textId="77777777" w:rsidR="0031421B" w:rsidRPr="007A113D" w:rsidRDefault="0031421B" w:rsidP="0031421B">
            <w:pPr>
              <w:jc w:val="center"/>
              <w:rPr>
                <w:rFonts w:eastAsia="Times New Roman" w:cs="Arial"/>
                <w:sz w:val="20"/>
                <w:szCs w:val="20"/>
              </w:rPr>
            </w:pPr>
            <w:r w:rsidRPr="007A113D">
              <w:rPr>
                <w:rFonts w:eastAsia="Arial" w:cs="Arial"/>
                <w:b/>
                <w:color w:val="FFFFFF"/>
                <w:sz w:val="20"/>
                <w:szCs w:val="20"/>
                <w:lang w:eastAsia="en-US"/>
              </w:rPr>
              <w:t>Section 6: Additional Information</w:t>
            </w:r>
          </w:p>
        </w:tc>
      </w:tr>
      <w:tr w:rsidR="0031421B" w:rsidRPr="007A113D" w14:paraId="38313033" w14:textId="77777777" w:rsidTr="66849155">
        <w:tc>
          <w:tcPr>
            <w:tcW w:w="5000" w:type="pct"/>
            <w:gridSpan w:val="4"/>
            <w:shd w:val="clear" w:color="auto" w:fill="auto"/>
            <w:vAlign w:val="center"/>
          </w:tcPr>
          <w:p w14:paraId="42119941" w14:textId="6FF6B34E" w:rsidR="0031421B" w:rsidRPr="007A113D" w:rsidRDefault="004E1090" w:rsidP="0031421B">
            <w:pPr>
              <w:rPr>
                <w:rFonts w:eastAsia="Times New Roman" w:cs="Arial"/>
                <w:sz w:val="20"/>
                <w:szCs w:val="20"/>
              </w:rPr>
            </w:pPr>
            <w:r>
              <w:rPr>
                <w:rFonts w:eastAsia="Times New Roman" w:cs="Arial"/>
                <w:sz w:val="20"/>
                <w:szCs w:val="20"/>
              </w:rPr>
              <w:t>n/a</w:t>
            </w:r>
          </w:p>
        </w:tc>
      </w:tr>
    </w:tbl>
    <w:p w14:paraId="2DA64D6E" w14:textId="72C27064" w:rsidR="00D66C7E" w:rsidRPr="00D66C7E" w:rsidRDefault="00D66C7E" w:rsidP="008E6173"/>
    <w:sectPr w:rsidR="00D66C7E" w:rsidRPr="00D66C7E">
      <w:headerReference w:type="default" r:id="rId12"/>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193E83" w16cex:dateUtc="2022-02-25T14:49:30.6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E5E3B" w14:textId="77777777" w:rsidR="00997CA0" w:rsidRDefault="00997CA0" w:rsidP="00324744">
      <w:pPr>
        <w:spacing w:after="0" w:line="240" w:lineRule="auto"/>
      </w:pPr>
      <w:r>
        <w:separator/>
      </w:r>
    </w:p>
  </w:endnote>
  <w:endnote w:type="continuationSeparator" w:id="0">
    <w:p w14:paraId="4783BBD6" w14:textId="77777777" w:rsidR="00997CA0" w:rsidRDefault="00997CA0"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4D92"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2DA64D95" wp14:editId="2DA64D96">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54B05A"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C9BA5" w14:textId="77777777" w:rsidR="00997CA0" w:rsidRDefault="00997CA0" w:rsidP="00324744">
      <w:pPr>
        <w:spacing w:after="0" w:line="240" w:lineRule="auto"/>
      </w:pPr>
      <w:r>
        <w:separator/>
      </w:r>
    </w:p>
  </w:footnote>
  <w:footnote w:type="continuationSeparator" w:id="0">
    <w:p w14:paraId="0DC342B5" w14:textId="77777777" w:rsidR="00997CA0" w:rsidRDefault="00997CA0"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4D91"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2DA64D93" wp14:editId="2DA64D94">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3AFE26"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60C3"/>
    <w:multiLevelType w:val="hybridMultilevel"/>
    <w:tmpl w:val="BD4C9A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4522076"/>
    <w:multiLevelType w:val="hybridMultilevel"/>
    <w:tmpl w:val="297E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220A2"/>
    <w:rsid w:val="0002261F"/>
    <w:rsid w:val="00053CEA"/>
    <w:rsid w:val="000550DD"/>
    <w:rsid w:val="00062F50"/>
    <w:rsid w:val="000950BA"/>
    <w:rsid w:val="000A1AD1"/>
    <w:rsid w:val="000D0229"/>
    <w:rsid w:val="000D2ED1"/>
    <w:rsid w:val="000F1821"/>
    <w:rsid w:val="000F3D37"/>
    <w:rsid w:val="00104737"/>
    <w:rsid w:val="001063E7"/>
    <w:rsid w:val="001207C4"/>
    <w:rsid w:val="00125B61"/>
    <w:rsid w:val="00144E00"/>
    <w:rsid w:val="00146F8C"/>
    <w:rsid w:val="00152132"/>
    <w:rsid w:val="001A5FAE"/>
    <w:rsid w:val="001C6366"/>
    <w:rsid w:val="001E334B"/>
    <w:rsid w:val="001E7FE5"/>
    <w:rsid w:val="001F2340"/>
    <w:rsid w:val="00226D34"/>
    <w:rsid w:val="00246114"/>
    <w:rsid w:val="00247D6A"/>
    <w:rsid w:val="00255881"/>
    <w:rsid w:val="00271FD5"/>
    <w:rsid w:val="002835F1"/>
    <w:rsid w:val="00296F3A"/>
    <w:rsid w:val="002A48D7"/>
    <w:rsid w:val="002D3294"/>
    <w:rsid w:val="0031421B"/>
    <w:rsid w:val="00324744"/>
    <w:rsid w:val="00341585"/>
    <w:rsid w:val="0035397E"/>
    <w:rsid w:val="00373420"/>
    <w:rsid w:val="00397181"/>
    <w:rsid w:val="003F5242"/>
    <w:rsid w:val="003F75DF"/>
    <w:rsid w:val="00405466"/>
    <w:rsid w:val="00426807"/>
    <w:rsid w:val="0043020D"/>
    <w:rsid w:val="0047107A"/>
    <w:rsid w:val="00485E7D"/>
    <w:rsid w:val="00493C84"/>
    <w:rsid w:val="004955BF"/>
    <w:rsid w:val="004A05C0"/>
    <w:rsid w:val="004A2626"/>
    <w:rsid w:val="004B105B"/>
    <w:rsid w:val="004B500C"/>
    <w:rsid w:val="004D13B8"/>
    <w:rsid w:val="004D18F6"/>
    <w:rsid w:val="004D7AAA"/>
    <w:rsid w:val="004E1090"/>
    <w:rsid w:val="004F3362"/>
    <w:rsid w:val="00500A72"/>
    <w:rsid w:val="00515774"/>
    <w:rsid w:val="00517F6F"/>
    <w:rsid w:val="00525613"/>
    <w:rsid w:val="00535976"/>
    <w:rsid w:val="00537446"/>
    <w:rsid w:val="0055298E"/>
    <w:rsid w:val="00557C65"/>
    <w:rsid w:val="005625BF"/>
    <w:rsid w:val="00570408"/>
    <w:rsid w:val="005746F4"/>
    <w:rsid w:val="00591E7C"/>
    <w:rsid w:val="00593CDD"/>
    <w:rsid w:val="00594CF8"/>
    <w:rsid w:val="0059573B"/>
    <w:rsid w:val="005B3D01"/>
    <w:rsid w:val="005C3C9F"/>
    <w:rsid w:val="00613C0D"/>
    <w:rsid w:val="00614721"/>
    <w:rsid w:val="0065189C"/>
    <w:rsid w:val="00671A27"/>
    <w:rsid w:val="006A3011"/>
    <w:rsid w:val="006C6728"/>
    <w:rsid w:val="006D0D5C"/>
    <w:rsid w:val="006D5BF3"/>
    <w:rsid w:val="006E3528"/>
    <w:rsid w:val="0070684C"/>
    <w:rsid w:val="007243D3"/>
    <w:rsid w:val="00726E84"/>
    <w:rsid w:val="00756CD5"/>
    <w:rsid w:val="00757A4C"/>
    <w:rsid w:val="00783EE7"/>
    <w:rsid w:val="00794B4F"/>
    <w:rsid w:val="007A113D"/>
    <w:rsid w:val="007A4923"/>
    <w:rsid w:val="007A56DB"/>
    <w:rsid w:val="007B1926"/>
    <w:rsid w:val="007B53C1"/>
    <w:rsid w:val="007C7063"/>
    <w:rsid w:val="007D4F26"/>
    <w:rsid w:val="007F015D"/>
    <w:rsid w:val="007F6885"/>
    <w:rsid w:val="008A51CB"/>
    <w:rsid w:val="008B1B33"/>
    <w:rsid w:val="008C2A97"/>
    <w:rsid w:val="008E6173"/>
    <w:rsid w:val="00901865"/>
    <w:rsid w:val="00910602"/>
    <w:rsid w:val="009335EC"/>
    <w:rsid w:val="0094168E"/>
    <w:rsid w:val="00962F20"/>
    <w:rsid w:val="00970D89"/>
    <w:rsid w:val="00971EF8"/>
    <w:rsid w:val="00997CA0"/>
    <w:rsid w:val="009B4AA9"/>
    <w:rsid w:val="009C5425"/>
    <w:rsid w:val="009D6A50"/>
    <w:rsid w:val="00A101BF"/>
    <w:rsid w:val="00A11219"/>
    <w:rsid w:val="00A1257E"/>
    <w:rsid w:val="00A40AC6"/>
    <w:rsid w:val="00A45CE1"/>
    <w:rsid w:val="00A53D4E"/>
    <w:rsid w:val="00A55823"/>
    <w:rsid w:val="00A81E20"/>
    <w:rsid w:val="00AB5B54"/>
    <w:rsid w:val="00AB63DE"/>
    <w:rsid w:val="00B048B6"/>
    <w:rsid w:val="00B048DC"/>
    <w:rsid w:val="00B261D3"/>
    <w:rsid w:val="00B27238"/>
    <w:rsid w:val="00B35A54"/>
    <w:rsid w:val="00B43FBD"/>
    <w:rsid w:val="00B476EC"/>
    <w:rsid w:val="00B51FC7"/>
    <w:rsid w:val="00B70915"/>
    <w:rsid w:val="00B70A3D"/>
    <w:rsid w:val="00B71AB8"/>
    <w:rsid w:val="00B91143"/>
    <w:rsid w:val="00BB2B00"/>
    <w:rsid w:val="00BD0A45"/>
    <w:rsid w:val="00BD3285"/>
    <w:rsid w:val="00BF63EF"/>
    <w:rsid w:val="00C07714"/>
    <w:rsid w:val="00C228DD"/>
    <w:rsid w:val="00C2406A"/>
    <w:rsid w:val="00C27A1F"/>
    <w:rsid w:val="00C46280"/>
    <w:rsid w:val="00C53880"/>
    <w:rsid w:val="00C5564E"/>
    <w:rsid w:val="00C8028E"/>
    <w:rsid w:val="00CD1E2E"/>
    <w:rsid w:val="00CD7898"/>
    <w:rsid w:val="00CE7EF7"/>
    <w:rsid w:val="00D11E64"/>
    <w:rsid w:val="00D27AFF"/>
    <w:rsid w:val="00D45AC0"/>
    <w:rsid w:val="00D51BA4"/>
    <w:rsid w:val="00D5624A"/>
    <w:rsid w:val="00D57D42"/>
    <w:rsid w:val="00D601AF"/>
    <w:rsid w:val="00D6657A"/>
    <w:rsid w:val="00D66C7E"/>
    <w:rsid w:val="00D709C4"/>
    <w:rsid w:val="00DC4948"/>
    <w:rsid w:val="00E50D17"/>
    <w:rsid w:val="00E63E09"/>
    <w:rsid w:val="00E957A9"/>
    <w:rsid w:val="00EC2428"/>
    <w:rsid w:val="00EC5E79"/>
    <w:rsid w:val="00ED790E"/>
    <w:rsid w:val="00EE4FA9"/>
    <w:rsid w:val="00EE5CF0"/>
    <w:rsid w:val="00EF3867"/>
    <w:rsid w:val="00F34811"/>
    <w:rsid w:val="00F35265"/>
    <w:rsid w:val="00F9004A"/>
    <w:rsid w:val="00F95876"/>
    <w:rsid w:val="00FA2D55"/>
    <w:rsid w:val="00FF302D"/>
    <w:rsid w:val="46D52015"/>
    <w:rsid w:val="66849155"/>
    <w:rsid w:val="6F3F0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64D46"/>
  <w15:docId w15:val="{560EB7D4-D06C-4732-8394-2C7055FC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7A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A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2ED1"/>
    <w:rPr>
      <w:color w:val="605E5C"/>
      <w:shd w:val="clear" w:color="auto" w:fill="E1DFDD"/>
    </w:rPr>
  </w:style>
  <w:style w:type="paragraph" w:styleId="ListParagraph">
    <w:name w:val="List Paragraph"/>
    <w:basedOn w:val="Normal"/>
    <w:uiPriority w:val="34"/>
    <w:qFormat/>
    <w:rsid w:val="002D3294"/>
    <w:pPr>
      <w:ind w:left="720"/>
      <w:contextualSpacing/>
    </w:pPr>
  </w:style>
  <w:style w:type="character" w:styleId="CommentReference">
    <w:name w:val="annotation reference"/>
    <w:basedOn w:val="DefaultParagraphFont"/>
    <w:uiPriority w:val="99"/>
    <w:semiHidden/>
    <w:unhideWhenUsed/>
    <w:rsid w:val="0047107A"/>
    <w:rPr>
      <w:sz w:val="16"/>
      <w:szCs w:val="16"/>
    </w:rPr>
  </w:style>
  <w:style w:type="paragraph" w:styleId="CommentText">
    <w:name w:val="annotation text"/>
    <w:basedOn w:val="Normal"/>
    <w:link w:val="CommentTextChar"/>
    <w:uiPriority w:val="99"/>
    <w:semiHidden/>
    <w:unhideWhenUsed/>
    <w:rsid w:val="0047107A"/>
    <w:pPr>
      <w:spacing w:line="240" w:lineRule="auto"/>
    </w:pPr>
    <w:rPr>
      <w:sz w:val="20"/>
      <w:szCs w:val="20"/>
    </w:rPr>
  </w:style>
  <w:style w:type="character" w:customStyle="1" w:styleId="CommentTextChar">
    <w:name w:val="Comment Text Char"/>
    <w:basedOn w:val="DefaultParagraphFont"/>
    <w:link w:val="CommentText"/>
    <w:uiPriority w:val="99"/>
    <w:semiHidden/>
    <w:rsid w:val="0047107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7107A"/>
    <w:rPr>
      <w:b/>
      <w:bCs/>
    </w:rPr>
  </w:style>
  <w:style w:type="character" w:customStyle="1" w:styleId="CommentSubjectChar">
    <w:name w:val="Comment Subject Char"/>
    <w:basedOn w:val="CommentTextChar"/>
    <w:link w:val="CommentSubject"/>
    <w:uiPriority w:val="99"/>
    <w:semiHidden/>
    <w:rsid w:val="0047107A"/>
    <w:rPr>
      <w:rFonts w:ascii="Arial" w:hAnsi="Arial"/>
      <w:b/>
      <w:bCs/>
      <w:sz w:val="20"/>
      <w:szCs w:val="20"/>
    </w:rPr>
  </w:style>
  <w:style w:type="paragraph" w:styleId="NormalWeb">
    <w:name w:val="Normal (Web)"/>
    <w:basedOn w:val="Normal"/>
    <w:uiPriority w:val="99"/>
    <w:semiHidden/>
    <w:unhideWhenUsed/>
    <w:rsid w:val="003539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69282">
      <w:bodyDiv w:val="1"/>
      <w:marLeft w:val="0"/>
      <w:marRight w:val="0"/>
      <w:marTop w:val="0"/>
      <w:marBottom w:val="0"/>
      <w:divBdr>
        <w:top w:val="none" w:sz="0" w:space="0" w:color="auto"/>
        <w:left w:val="none" w:sz="0" w:space="0" w:color="auto"/>
        <w:bottom w:val="none" w:sz="0" w:space="0" w:color="auto"/>
        <w:right w:val="none" w:sz="0" w:space="0" w:color="auto"/>
      </w:divBdr>
    </w:div>
    <w:div w:id="21379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1346ce0715ed4a2a"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lie.rogers@xoserv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A7E9C-81AA-40CB-930A-197B46B50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cc19-a6a2-4477-822b-8358f9edc374"/>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Rachel Taggart</cp:lastModifiedBy>
  <cp:revision>3</cp:revision>
  <dcterms:created xsi:type="dcterms:W3CDTF">2022-02-28T16:21:00Z</dcterms:created>
  <dcterms:modified xsi:type="dcterms:W3CDTF">2022-02-28T17:35:00Z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Order">
    <vt:r8>553500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