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EA73B3" w:rsidRPr="001F6049" w14:paraId="1601AE27" w14:textId="77777777" w:rsidTr="0F7188F0"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994624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10542D76" w:rsidR="00EA73B3" w:rsidRPr="00994624" w:rsidRDefault="00E45431" w:rsidP="0A57A14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Gemini Replatform</w:t>
            </w:r>
          </w:p>
        </w:tc>
      </w:tr>
      <w:tr w:rsidR="00EA73B3" w:rsidRPr="001F6049" w14:paraId="06D4D571" w14:textId="77777777" w:rsidTr="0F7188F0"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994624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60BEDF18" w:rsidR="00EA73B3" w:rsidRPr="00994624" w:rsidRDefault="00E45431" w:rsidP="00195A3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XRN4550</w:t>
            </w:r>
          </w:p>
        </w:tc>
      </w:tr>
      <w:tr w:rsidR="00EA73B3" w:rsidRPr="001F6049" w14:paraId="1D6C8AD7" w14:textId="77777777" w:rsidTr="0F7188F0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994624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75F66692" w:rsidR="00EA73B3" w:rsidRPr="00994624" w:rsidRDefault="00A41E10" w:rsidP="0A57A14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Steve Butler</w:t>
            </w:r>
          </w:p>
        </w:tc>
      </w:tr>
      <w:tr w:rsidR="00EA73B3" w:rsidRPr="001F6049" w14:paraId="2390A8AC" w14:textId="77777777" w:rsidTr="0F7188F0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994624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58695587" w:rsidR="00EA73B3" w:rsidRPr="00994624" w:rsidRDefault="00A41E10" w:rsidP="0A57A14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Steve.butler@correla.com</w:t>
            </w:r>
          </w:p>
        </w:tc>
      </w:tr>
      <w:tr w:rsidR="00EA73B3" w:rsidRPr="001F6049" w14:paraId="3B9ABC1E" w14:textId="77777777" w:rsidTr="0F7188F0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994624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500CEAE3" w:rsidR="00EA73B3" w:rsidRPr="00994624" w:rsidRDefault="00E30B07" w:rsidP="0A57A14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0121 229 2665</w:t>
            </w:r>
          </w:p>
        </w:tc>
      </w:tr>
      <w:tr w:rsidR="00EA73B3" w:rsidRPr="001F6049" w14:paraId="0B495390" w14:textId="77777777" w:rsidTr="0F7188F0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994624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000844F7" w:rsidR="00EA73B3" w:rsidRPr="00994624" w:rsidRDefault="00DB2F97" w:rsidP="00EA73B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13/04</w:t>
            </w:r>
            <w:r w:rsidR="00691AD7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/22</w:t>
            </w:r>
          </w:p>
        </w:tc>
      </w:tr>
      <w:tr w:rsidR="00EA73B3" w:rsidRPr="001F6049" w14:paraId="70D298E7" w14:textId="77777777" w:rsidTr="0F7188F0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994624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0336A68E" w:rsidR="00EA73B3" w:rsidRPr="00994624" w:rsidRDefault="00AD5B59" w:rsidP="0A57A14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  <w:r w:rsidR="00185291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5/</w:t>
            </w: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  <w:r w:rsidR="00185291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7/20</w:t>
            </w:r>
          </w:p>
        </w:tc>
      </w:tr>
      <w:tr w:rsidR="00EA73B3" w:rsidRPr="001F6049" w14:paraId="0327033D" w14:textId="77777777" w:rsidTr="0F7188F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</w:rPr>
            </w:pPr>
            <w:r w:rsidRPr="00994624">
              <w:rPr>
                <w:rFonts w:asciiTheme="minorHAnsi" w:eastAsia="Arial" w:hAnsiTheme="minorHAnsi" w:cstheme="minorHAnsi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C001D5" w:rsidRPr="001F6049" w14:paraId="0CEE08D9" w14:textId="77777777" w:rsidTr="0F7188F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687D6" w14:textId="4A95B3EE" w:rsidR="00477792" w:rsidRPr="00994624" w:rsidRDefault="00E3444E" w:rsidP="00C001D5">
            <w:pPr>
              <w:spacing w:beforeLines="40" w:before="96" w:afterLines="40" w:after="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Following the completion of a </w:t>
            </w:r>
            <w:r w:rsidR="00FE5436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ealth </w:t>
            </w:r>
            <w:r w:rsidR="00FE5436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ssessment of Gemini</w:t>
            </w:r>
            <w:r w:rsidR="00FE5436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National Grid selected the option to </w:t>
            </w:r>
            <w:proofErr w:type="spellStart"/>
            <w:r w:rsidR="00FE5436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replatform</w:t>
            </w:r>
            <w:proofErr w:type="spellEnd"/>
            <w:r w:rsidR="00FE5436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the system onto</w:t>
            </w:r>
            <w:r w:rsidR="00BF77C7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private cloud solution.</w:t>
            </w:r>
          </w:p>
          <w:p w14:paraId="6C248288" w14:textId="4FB089C6" w:rsidR="007E2C25" w:rsidRPr="00994624" w:rsidRDefault="007E2C25" w:rsidP="00C001D5">
            <w:pPr>
              <w:spacing w:beforeLines="40" w:before="96" w:afterLines="40" w:after="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A7C7CA" w14:textId="7834C5F5" w:rsidR="0010618D" w:rsidRPr="00994624" w:rsidRDefault="007E2C25" w:rsidP="007E2C2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parallel to this assessment, Xoserve undertook a review of its Data Centre Strategy and chose to</w:t>
            </w:r>
            <w:r w:rsidR="004D48AA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exit from</w:t>
            </w:r>
            <w:r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two of its data centres </w:t>
            </w:r>
            <w:r w:rsidR="007240AE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with</w:t>
            </w:r>
            <w:r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all elements </w:t>
            </w:r>
            <w:r w:rsidR="007240AE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being</w:t>
            </w:r>
            <w:r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migrated to a new Platform </w:t>
            </w:r>
            <w:proofErr w:type="gramStart"/>
            <w:r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</w:t>
            </w:r>
            <w:proofErr w:type="gramEnd"/>
            <w:r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Service model</w:t>
            </w:r>
            <w:r w:rsidR="00E21984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Hence Gemini </w:t>
            </w:r>
            <w:proofErr w:type="spellStart"/>
            <w:r w:rsidR="00E21984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Replatform</w:t>
            </w:r>
            <w:proofErr w:type="spellEnd"/>
            <w:r w:rsidR="00E21984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was delivered as part of the wider </w:t>
            </w:r>
            <w:proofErr w:type="spellStart"/>
            <w:r w:rsidR="00E21984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DCExit</w:t>
            </w:r>
            <w:proofErr w:type="spellEnd"/>
            <w:r w:rsidR="00E21984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programme.</w:t>
            </w:r>
          </w:p>
          <w:p w14:paraId="1B9B2E5C" w14:textId="1B02CA77" w:rsidR="00827A1F" w:rsidRPr="00994624" w:rsidRDefault="00827A1F" w:rsidP="007E2C2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46B8C30" w14:textId="2BBAF595" w:rsidR="00C001D5" w:rsidRPr="00994624" w:rsidRDefault="00827A1F" w:rsidP="008A4A65">
            <w:pPr>
              <w:rPr>
                <w:rFonts w:asciiTheme="minorHAnsi" w:hAnsiTheme="minorHAnsi" w:cstheme="minorHAnsi"/>
                <w:color w:val="000000"/>
              </w:rPr>
            </w:pPr>
            <w:r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programme was delivered in </w:t>
            </w:r>
            <w:proofErr w:type="gramStart"/>
            <w:r w:rsidR="00E842A2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number of</w:t>
            </w:r>
            <w:proofErr w:type="gramEnd"/>
            <w:r w:rsidR="00E842A2" w:rsidRPr="00994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streams with each element following</w:t>
            </w:r>
            <w:r w:rsidR="00E842A2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the Waterfall project management methodology. The </w:t>
            </w:r>
            <w:proofErr w:type="spellStart"/>
            <w:r w:rsidR="00F650D3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replatformed</w:t>
            </w:r>
            <w:proofErr w:type="spellEnd"/>
            <w:r w:rsidR="00F650D3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="00E842A2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Gemini </w:t>
            </w:r>
            <w:r w:rsidR="00F650D3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system</w:t>
            </w:r>
            <w:r w:rsidR="00E842A2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="005D2B3C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was implemented </w:t>
            </w:r>
            <w:r w:rsidR="00F650D3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on 5</w:t>
            </w:r>
            <w:r w:rsidR="00F650D3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  <w:vertAlign w:val="superscript"/>
              </w:rPr>
              <w:t>th</w:t>
            </w:r>
            <w:r w:rsidR="00F650D3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July 2020</w:t>
            </w:r>
            <w:r w:rsidR="00483F6B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="001870B1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with the legacy system being decommissioned</w:t>
            </w:r>
            <w:r w:rsidR="008A4A65" w:rsidRPr="00994624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Autumn/Winter 2020.</w:t>
            </w:r>
            <w:r w:rsidR="00C001D5" w:rsidRPr="009946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C001D5" w:rsidRPr="001F6049" w14:paraId="0C90DDA4" w14:textId="77777777" w:rsidTr="0F7188F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C001D5" w:rsidRPr="00994624" w:rsidRDefault="00C001D5" w:rsidP="00C001D5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</w:rPr>
            </w:pPr>
            <w:r w:rsidRPr="00994624">
              <w:rPr>
                <w:rFonts w:asciiTheme="minorHAnsi" w:eastAsia="Arial" w:hAnsiTheme="minorHAnsi" w:cstheme="minorHAnsi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C001D5" w:rsidRPr="001F6049" w14:paraId="45233572" w14:textId="77777777" w:rsidTr="0F7188F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C001D5" w:rsidRPr="00994624" w14:paraId="6E11255F" w14:textId="77777777" w:rsidTr="0A57A144">
              <w:tc>
                <w:tcPr>
                  <w:tcW w:w="2547" w:type="dxa"/>
                </w:tcPr>
                <w:p w14:paraId="2C9392D4" w14:textId="77777777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347495F9" w14:textId="77777777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BER Share </w:t>
                  </w:r>
                  <w:proofErr w:type="gramStart"/>
                  <w:r w:rsidRPr="009946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of  Cost</w:t>
                  </w:r>
                  <w:proofErr w:type="gramEnd"/>
                </w:p>
              </w:tc>
              <w:tc>
                <w:tcPr>
                  <w:tcW w:w="1729" w:type="dxa"/>
                </w:tcPr>
                <w:p w14:paraId="77AA4BD1" w14:textId="77777777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B2B9360" w14:textId="77777777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31C1ACDB" w14:textId="77777777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C001D5" w:rsidRPr="00994624" w14:paraId="26F15468" w14:textId="77777777" w:rsidTr="0A57A144">
              <w:tc>
                <w:tcPr>
                  <w:tcW w:w="2547" w:type="dxa"/>
                </w:tcPr>
                <w:p w14:paraId="7FC01E34" w14:textId="7B5E251A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  <w:p w14:paraId="22D3A938" w14:textId="42CD666B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D0F9EFD" w14:textId="0D0F919A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4B531AFD" w14:textId="0FC2C6A4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4E3F35E6" w14:textId="2923DAE8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£0</w:t>
                  </w:r>
                </w:p>
              </w:tc>
              <w:tc>
                <w:tcPr>
                  <w:tcW w:w="2264" w:type="dxa"/>
                  <w:vAlign w:val="center"/>
                </w:tcPr>
                <w:p w14:paraId="6A039829" w14:textId="0E6216EA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£0</w:t>
                  </w:r>
                </w:p>
              </w:tc>
            </w:tr>
            <w:tr w:rsidR="00C001D5" w:rsidRPr="00994624" w14:paraId="199F5DC6" w14:textId="77777777" w:rsidTr="0A57A144">
              <w:tc>
                <w:tcPr>
                  <w:tcW w:w="2547" w:type="dxa"/>
                </w:tcPr>
                <w:p w14:paraId="133FE8C2" w14:textId="77777777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D11F30" w14:textId="532D045D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12A63D92" w14:textId="16B7A96F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0E94C84F" w14:textId="73DF357D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£0</w:t>
                  </w:r>
                </w:p>
              </w:tc>
              <w:tc>
                <w:tcPr>
                  <w:tcW w:w="2264" w:type="dxa"/>
                  <w:vAlign w:val="center"/>
                </w:tcPr>
                <w:p w14:paraId="7CD53000" w14:textId="345F635D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£0</w:t>
                  </w:r>
                </w:p>
              </w:tc>
            </w:tr>
            <w:tr w:rsidR="00C001D5" w:rsidRPr="00994624" w14:paraId="634F441F" w14:textId="77777777" w:rsidTr="0A57A144">
              <w:tc>
                <w:tcPr>
                  <w:tcW w:w="2547" w:type="dxa"/>
                </w:tcPr>
                <w:p w14:paraId="11DD2C74" w14:textId="77777777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FF2878" w14:textId="7261278C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13C064A1" w14:textId="15485018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56E130A8" w14:textId="78DABB48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£0</w:t>
                  </w:r>
                </w:p>
              </w:tc>
              <w:tc>
                <w:tcPr>
                  <w:tcW w:w="2264" w:type="dxa"/>
                  <w:vAlign w:val="center"/>
                </w:tcPr>
                <w:p w14:paraId="18147167" w14:textId="7268FA55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£0</w:t>
                  </w:r>
                </w:p>
              </w:tc>
            </w:tr>
            <w:tr w:rsidR="00C001D5" w:rsidRPr="00994624" w14:paraId="66A0BF97" w14:textId="77777777" w:rsidTr="0A57A144">
              <w:tc>
                <w:tcPr>
                  <w:tcW w:w="2547" w:type="dxa"/>
                </w:tcPr>
                <w:p w14:paraId="72F552F1" w14:textId="77777777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7BE727" w14:textId="18713C69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545FA9E5" w14:textId="0EBDD72A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75059127" w14:textId="6B58FD86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£9,300,000</w:t>
                  </w:r>
                </w:p>
              </w:tc>
              <w:tc>
                <w:tcPr>
                  <w:tcW w:w="2264" w:type="dxa"/>
                  <w:vAlign w:val="center"/>
                </w:tcPr>
                <w:p w14:paraId="719E72A3" w14:textId="564975A9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£7,759,626.73</w:t>
                  </w:r>
                </w:p>
              </w:tc>
            </w:tr>
            <w:tr w:rsidR="00C001D5" w:rsidRPr="00994624" w14:paraId="620BFD5F" w14:textId="77777777" w:rsidTr="0A57A144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880586" w14:textId="1306D270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6648D219" w14:textId="4684D097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12B102FE" w14:textId="5EBAB946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£0</w:t>
                  </w:r>
                </w:p>
              </w:tc>
              <w:tc>
                <w:tcPr>
                  <w:tcW w:w="2264" w:type="dxa"/>
                  <w:vAlign w:val="center"/>
                </w:tcPr>
                <w:p w14:paraId="2BCC920E" w14:textId="1CB2F5A1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£0</w:t>
                  </w:r>
                </w:p>
              </w:tc>
            </w:tr>
          </w:tbl>
          <w:p w14:paraId="1672974D" w14:textId="77777777" w:rsidR="00C001D5" w:rsidRPr="00994624" w:rsidRDefault="00C001D5" w:rsidP="00C001D5">
            <w:pPr>
              <w:contextualSpacing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C001D5" w:rsidRPr="001F6049" w14:paraId="3A67F60A" w14:textId="77777777" w:rsidTr="0F7188F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C001D5" w:rsidRPr="00994624" w:rsidRDefault="00C001D5" w:rsidP="00C001D5">
            <w:pPr>
              <w:jc w:val="center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994624">
              <w:rPr>
                <w:rFonts w:asciiTheme="minorHAnsi" w:eastAsia="Arial" w:hAnsiTheme="minorHAnsi" w:cstheme="minorHAnsi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C001D5" w:rsidRPr="001F6049" w14:paraId="373C6975" w14:textId="77777777" w:rsidTr="0F7188F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74F67" w14:textId="49BBEF56" w:rsidR="00C001D5" w:rsidRPr="00994624" w:rsidRDefault="002D10C5" w:rsidP="00BC23B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Early Environment handover for GB Charging Usage</w:t>
            </w:r>
            <w:r w:rsidR="00AD143B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£</w:t>
            </w:r>
            <w:r w:rsidR="00EA74EB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28,620</w:t>
            </w:r>
          </w:p>
          <w:p w14:paraId="1C64401C" w14:textId="1F7497FF" w:rsidR="00E55CA2" w:rsidRPr="00994624" w:rsidRDefault="00E55CA2" w:rsidP="00BC23B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UAT Extension</w:t>
            </w:r>
            <w:r w:rsidR="00EA74EB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£9,288</w:t>
            </w:r>
          </w:p>
          <w:p w14:paraId="4663D029" w14:textId="2C814FF7" w:rsidR="00DF1661" w:rsidRPr="00994624" w:rsidRDefault="00DF1661" w:rsidP="00BC23B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PET/KET Datacentre extension</w:t>
            </w:r>
            <w:r w:rsidR="00EA74EB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="00C946B1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£274,559</w:t>
            </w:r>
          </w:p>
          <w:p w14:paraId="301C25E2" w14:textId="3FCB4161" w:rsidR="00D65B75" w:rsidRPr="00994624" w:rsidRDefault="00D65B75" w:rsidP="00BC23B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Oracle Licence extensio</w:t>
            </w:r>
            <w:r w:rsidR="00D1430A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n = £164,012</w:t>
            </w:r>
          </w:p>
          <w:p w14:paraId="44C88FC2" w14:textId="3FF19BA9" w:rsidR="00DF1661" w:rsidRPr="00994624" w:rsidRDefault="00DF1661" w:rsidP="00BC23B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XP1 Migration delays</w:t>
            </w:r>
            <w:r w:rsidR="00C946B1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£19,580</w:t>
            </w:r>
          </w:p>
          <w:p w14:paraId="7EDA2353" w14:textId="15D5CFB2" w:rsidR="00ED1782" w:rsidRPr="00994624" w:rsidRDefault="00ED1782" w:rsidP="00BC23B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Feltham/</w:t>
            </w:r>
            <w:proofErr w:type="spellStart"/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Milharbour</w:t>
            </w:r>
            <w:proofErr w:type="spellEnd"/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connectivity delays</w:t>
            </w:r>
            <w:r w:rsidR="00C946B1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£6,335</w:t>
            </w:r>
          </w:p>
          <w:p w14:paraId="4156BA78" w14:textId="312B04F4" w:rsidR="00C001D5" w:rsidRPr="00994624" w:rsidRDefault="00D65B75" w:rsidP="00C001D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Decommissioning delays</w:t>
            </w:r>
            <w:r w:rsidR="00C946B1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="00CC6D06"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£13,061</w:t>
            </w:r>
          </w:p>
        </w:tc>
      </w:tr>
      <w:tr w:rsidR="00C001D5" w:rsidRPr="001F6049" w14:paraId="44DCE113" w14:textId="77777777" w:rsidTr="0F7188F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C001D5" w:rsidRPr="00994624" w:rsidRDefault="00C001D5" w:rsidP="00C001D5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Cs w:val="16"/>
              </w:rPr>
            </w:pPr>
            <w:r w:rsidRPr="00994624">
              <w:rPr>
                <w:rFonts w:asciiTheme="minorHAnsi" w:eastAsia="Arial" w:hAnsiTheme="minorHAnsi" w:cstheme="minorHAnsi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C001D5" w:rsidRPr="001F6049" w14:paraId="7B78493D" w14:textId="77777777" w:rsidTr="0F7188F0">
        <w:tc>
          <w:tcPr>
            <w:tcW w:w="5000" w:type="pct"/>
            <w:gridSpan w:val="2"/>
            <w:shd w:val="clear" w:color="auto" w:fill="auto"/>
          </w:tcPr>
          <w:p w14:paraId="46992048" w14:textId="72842115" w:rsidR="00C001D5" w:rsidRPr="00994624" w:rsidRDefault="00C001D5" w:rsidP="00C001D5">
            <w:pPr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16"/>
              </w:rPr>
              <w:t>None</w:t>
            </w:r>
          </w:p>
        </w:tc>
      </w:tr>
      <w:tr w:rsidR="00C001D5" w:rsidRPr="001F6049" w14:paraId="6EF7276F" w14:textId="77777777" w:rsidTr="0F7188F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C001D5" w:rsidRPr="001F6049" w:rsidRDefault="00C001D5" w:rsidP="00C001D5">
            <w:pPr>
              <w:jc w:val="center"/>
              <w:rPr>
                <w:rFonts w:ascii="Poppins" w:eastAsia="Times New Roman" w:hAnsi="Poppins" w:cs="Poppins"/>
                <w:b/>
                <w:color w:val="FFFFFF"/>
                <w:szCs w:val="16"/>
              </w:rPr>
            </w:pPr>
            <w:r w:rsidRPr="001F6049">
              <w:rPr>
                <w:rFonts w:ascii="Poppins" w:eastAsia="Arial" w:hAnsi="Poppins" w:cs="Poppins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C001D5" w:rsidRPr="001F6049" w14:paraId="083A4EDD" w14:textId="77777777" w:rsidTr="0F7188F0">
        <w:tc>
          <w:tcPr>
            <w:tcW w:w="5000" w:type="pct"/>
            <w:gridSpan w:val="2"/>
            <w:shd w:val="clear" w:color="auto" w:fill="auto"/>
          </w:tcPr>
          <w:p w14:paraId="1AB0B5C7" w14:textId="3F6709F2" w:rsidR="00C001D5" w:rsidRPr="001F6049" w:rsidRDefault="00C001D5" w:rsidP="00C001D5">
            <w:pPr>
              <w:spacing w:line="276" w:lineRule="auto"/>
              <w:contextualSpacing/>
              <w:rPr>
                <w:rFonts w:ascii="Poppins" w:eastAsia="Times New Roman" w:hAnsi="Poppins" w:cs="Poppins"/>
                <w:b/>
                <w:color w:val="FF0000"/>
                <w:szCs w:val="16"/>
              </w:rPr>
            </w:pPr>
            <w:r w:rsidRPr="001F6049">
              <w:rPr>
                <w:rFonts w:ascii="Poppins" w:eastAsia="Times New Roman" w:hAnsi="Poppins" w:cs="Poppins"/>
                <w:b/>
                <w:szCs w:val="16"/>
              </w:rPr>
              <w:t>None</w:t>
            </w:r>
          </w:p>
        </w:tc>
      </w:tr>
      <w:tr w:rsidR="00C001D5" w:rsidRPr="001F6049" w14:paraId="7D853ABD" w14:textId="77777777" w:rsidTr="0F7188F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491091D6" w:rsidR="00C001D5" w:rsidRPr="001F6049" w:rsidRDefault="00C001D5" w:rsidP="00C001D5">
            <w:pPr>
              <w:jc w:val="center"/>
              <w:rPr>
                <w:rFonts w:ascii="Poppins" w:eastAsia="Times New Roman" w:hAnsi="Poppins" w:cs="Poppins"/>
                <w:b/>
                <w:color w:val="0070C0"/>
              </w:rPr>
            </w:pPr>
            <w:r w:rsidRPr="001F6049">
              <w:rPr>
                <w:rFonts w:ascii="Poppins" w:eastAsia="Arial" w:hAnsi="Poppins" w:cs="Poppins"/>
                <w:b/>
                <w:color w:val="FFFFFF"/>
                <w:sz w:val="20"/>
                <w:lang w:eastAsia="en-US"/>
              </w:rPr>
              <w:t>Section 6: Lessons Learnt / Key Points</w:t>
            </w:r>
          </w:p>
        </w:tc>
      </w:tr>
      <w:tr w:rsidR="00C001D5" w:rsidRPr="00994624" w14:paraId="495C3462" w14:textId="77777777" w:rsidTr="0F7188F0">
        <w:tc>
          <w:tcPr>
            <w:tcW w:w="5000" w:type="pct"/>
            <w:gridSpan w:val="2"/>
            <w:shd w:val="clear" w:color="auto" w:fill="auto"/>
          </w:tcPr>
          <w:p w14:paraId="67AB1C65" w14:textId="5DE63CBE" w:rsidR="00C001D5" w:rsidRPr="00994624" w:rsidRDefault="00C001D5" w:rsidP="00C001D5">
            <w:pPr>
              <w:spacing w:after="200"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07"/>
              <w:gridCol w:w="6515"/>
            </w:tblGrid>
            <w:tr w:rsidR="00C001D5" w:rsidRPr="00994624" w14:paraId="0A320027" w14:textId="77777777" w:rsidTr="000F3B08">
              <w:tc>
                <w:tcPr>
                  <w:tcW w:w="1129" w:type="dxa"/>
                </w:tcPr>
                <w:p w14:paraId="20D32763" w14:textId="66B0A8EA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</w:t>
                  </w:r>
                </w:p>
              </w:tc>
              <w:tc>
                <w:tcPr>
                  <w:tcW w:w="1707" w:type="dxa"/>
                </w:tcPr>
                <w:p w14:paraId="5F9AC885" w14:textId="41558B2F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6515" w:type="dxa"/>
                </w:tcPr>
                <w:p w14:paraId="6489814B" w14:textId="1EED07B0" w:rsidR="00C001D5" w:rsidRPr="00994624" w:rsidRDefault="00C001D5" w:rsidP="00C001D5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Lessons learned / suggestions</w:t>
                  </w:r>
                </w:p>
              </w:tc>
            </w:tr>
            <w:tr w:rsidR="00C001D5" w:rsidRPr="00994624" w14:paraId="5D15B5B4" w14:textId="77777777" w:rsidTr="000F3B08">
              <w:tc>
                <w:tcPr>
                  <w:tcW w:w="1129" w:type="dxa"/>
                </w:tcPr>
                <w:p w14:paraId="59F2A991" w14:textId="71836902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Design &amp; Planning</w:t>
                  </w:r>
                </w:p>
              </w:tc>
              <w:tc>
                <w:tcPr>
                  <w:tcW w:w="1707" w:type="dxa"/>
                </w:tcPr>
                <w:p w14:paraId="4D60092D" w14:textId="504C9DF4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Planning</w:t>
                  </w:r>
                </w:p>
              </w:tc>
              <w:tc>
                <w:tcPr>
                  <w:tcW w:w="6515" w:type="dxa"/>
                </w:tcPr>
                <w:p w14:paraId="365E5CAA" w14:textId="791C7596" w:rsidR="00C001D5" w:rsidRPr="00994624" w:rsidRDefault="59F4D182" w:rsidP="0F7188F0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The review and approval cycle</w:t>
                  </w:r>
                  <w:r w:rsidR="1290EA9E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</w:t>
                  </w: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were challenging due to the large number of stakeholders and documents. Future mitigation and approach to be discussed. Need to further challenge </w:t>
                  </w:r>
                  <w:r w:rsidR="49C6330C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&amp; reduce </w:t>
                  </w:r>
                  <w:r w:rsidRPr="009946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the large volume of deliverables and requirements from stakeholders identified in the RACI. </w:t>
                  </w:r>
                  <w:r w:rsidR="49C6330C" w:rsidRPr="009946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Over 150 stakeholders were initially identified.</w:t>
                  </w:r>
                </w:p>
              </w:tc>
            </w:tr>
            <w:tr w:rsidR="00C001D5" w:rsidRPr="00994624" w14:paraId="4514BA48" w14:textId="77777777" w:rsidTr="000F3B08">
              <w:tc>
                <w:tcPr>
                  <w:tcW w:w="1129" w:type="dxa"/>
                </w:tcPr>
                <w:p w14:paraId="1F993EB5" w14:textId="2F70836F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UAT</w:t>
                  </w:r>
                </w:p>
              </w:tc>
              <w:tc>
                <w:tcPr>
                  <w:tcW w:w="1707" w:type="dxa"/>
                </w:tcPr>
                <w:p w14:paraId="55076631" w14:textId="4539602A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Testing</w:t>
                  </w:r>
                </w:p>
              </w:tc>
              <w:tc>
                <w:tcPr>
                  <w:tcW w:w="6515" w:type="dxa"/>
                </w:tcPr>
                <w:p w14:paraId="17E847BC" w14:textId="72108FB8" w:rsidR="00C001D5" w:rsidRPr="00994624" w:rsidRDefault="007F4167" w:rsidP="00FC2FAD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To</w:t>
                  </w:r>
                  <w:r w:rsidR="00324348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hit the fixed implementation schedule</w:t>
                  </w:r>
                  <w:r w:rsidR="002224AF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, it became necessary to run multiple </w:t>
                  </w:r>
                  <w:r w:rsidR="00BA1E34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project </w:t>
                  </w:r>
                  <w:r w:rsidR="002224AF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phases (SIT, UAT, OAT, PT &amp; Implementation Planning) in parallel</w:t>
                  </w:r>
                  <w:r w:rsidR="001C035E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.</w:t>
                  </w:r>
                  <w:r w:rsidR="00DB1D23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This c</w:t>
                  </w:r>
                  <w:r w:rsidR="00C001D5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aus</w:t>
                  </w:r>
                  <w:r w:rsidR="00DB1D23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ed</w:t>
                  </w:r>
                  <w:r w:rsidR="00C001D5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additional challenges and </w:t>
                  </w:r>
                  <w:r w:rsidR="00DB1D23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pressure on the teams as </w:t>
                  </w:r>
                  <w:r w:rsidR="00C001D5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normally </w:t>
                  </w:r>
                  <w:r w:rsidR="00DB1D23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each stage would be completed before the next star</w:t>
                  </w:r>
                  <w:r w:rsidR="006636A1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ted</w:t>
                  </w:r>
                  <w:r w:rsidR="00FC2FAD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.  </w:t>
                  </w:r>
                  <w:r w:rsidR="00C001D5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While it is sometimes necessary to run stages in parallel, this should be avoided where possible. </w:t>
                  </w:r>
                </w:p>
              </w:tc>
            </w:tr>
            <w:tr w:rsidR="00C001D5" w:rsidRPr="00994624" w14:paraId="5F39890C" w14:textId="77777777" w:rsidTr="000F3B08">
              <w:tc>
                <w:tcPr>
                  <w:tcW w:w="1129" w:type="dxa"/>
                </w:tcPr>
                <w:p w14:paraId="58F03841" w14:textId="00D625DD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All</w:t>
                  </w:r>
                </w:p>
              </w:tc>
              <w:tc>
                <w:tcPr>
                  <w:tcW w:w="1707" w:type="dxa"/>
                </w:tcPr>
                <w:p w14:paraId="12AAF380" w14:textId="1F0CA6B3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6515" w:type="dxa"/>
                </w:tcPr>
                <w:p w14:paraId="2D96F581" w14:textId="77777777" w:rsidR="00C336EA" w:rsidRDefault="00C001D5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The plan was executed to time and quality by approximately 50 people working from home </w:t>
                  </w:r>
                  <w:r w:rsidR="00714E1C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&amp; international </w:t>
                  </w: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locations due to </w:t>
                  </w:r>
                  <w:r w:rsidR="00714E1C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the </w:t>
                  </w: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Covid-19 restrictions</w:t>
                  </w:r>
                  <w:r w:rsidR="00714E1C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.</w:t>
                  </w:r>
                </w:p>
                <w:p w14:paraId="2F4CC818" w14:textId="71DC5ADE" w:rsidR="00C001D5" w:rsidRPr="00994624" w:rsidRDefault="00714E1C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434C3FD4" w14:textId="2FA50AAD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Whilst it is preferable for teams to operate from a small number of offices, it is possible to collaborate and deliver from multiple home locations</w:t>
                  </w:r>
                </w:p>
              </w:tc>
            </w:tr>
            <w:tr w:rsidR="00C001D5" w:rsidRPr="00994624" w14:paraId="6FEB258E" w14:textId="77777777" w:rsidTr="000F3B08">
              <w:tc>
                <w:tcPr>
                  <w:tcW w:w="1129" w:type="dxa"/>
                </w:tcPr>
                <w:p w14:paraId="60A456EB" w14:textId="4E24A8F9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External Connectivity Testing</w:t>
                  </w:r>
                </w:p>
              </w:tc>
              <w:tc>
                <w:tcPr>
                  <w:tcW w:w="1707" w:type="dxa"/>
                </w:tcPr>
                <w:p w14:paraId="1BA7568E" w14:textId="50965C3E" w:rsidR="00C001D5" w:rsidRPr="00994624" w:rsidRDefault="00C001D5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Testing </w:t>
                  </w:r>
                </w:p>
              </w:tc>
              <w:tc>
                <w:tcPr>
                  <w:tcW w:w="6515" w:type="dxa"/>
                </w:tcPr>
                <w:p w14:paraId="7DB04F9D" w14:textId="33B1505E" w:rsidR="00C001D5" w:rsidRPr="00994624" w:rsidRDefault="007773BD" w:rsidP="00C001D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The </w:t>
                  </w:r>
                  <w:r w:rsidR="00C001D5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Citrix </w:t>
                  </w:r>
                  <w:r w:rsidR="000443CD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testing missed some usability issues for the Industry.</w:t>
                  </w:r>
                  <w:r w:rsidR="00C001D5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AE6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It is recommended to extend the </w:t>
                  </w:r>
                  <w:r w:rsidR="009047A4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scope of Citrix </w:t>
                  </w:r>
                  <w:r w:rsidR="00AD1AE6" w:rsidRPr="009946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testing for future changes</w:t>
                  </w:r>
                  <w:r w:rsidR="00C336EA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and ensure that</w:t>
                  </w:r>
                  <w:r w:rsidR="00745317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the testing approach includes</w:t>
                  </w:r>
                  <w:r w:rsidR="00A414A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r w:rsidR="005B1E0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external testing to identify and prove the external user experience.</w:t>
                  </w:r>
                </w:p>
              </w:tc>
            </w:tr>
          </w:tbl>
          <w:p w14:paraId="7B2B5B58" w14:textId="7E2ED8CA" w:rsidR="00C001D5" w:rsidRPr="00994624" w:rsidRDefault="00C001D5" w:rsidP="00C001D5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CC1E547" w14:textId="77777777" w:rsidR="001C2268" w:rsidRPr="00994624" w:rsidRDefault="001C2268" w:rsidP="00EA73B3">
      <w:pPr>
        <w:rPr>
          <w:rFonts w:asciiTheme="minorHAnsi" w:eastAsia="Arial" w:hAnsiTheme="minorHAnsi" w:cstheme="minorHAnsi"/>
          <w:b/>
        </w:rPr>
      </w:pPr>
    </w:p>
    <w:p w14:paraId="54F4265B" w14:textId="3E896289" w:rsidR="00EA73B3" w:rsidRPr="00994624" w:rsidRDefault="00EA73B3" w:rsidP="00EA73B3">
      <w:pPr>
        <w:rPr>
          <w:rFonts w:asciiTheme="minorHAnsi" w:eastAsia="Arial" w:hAnsiTheme="minorHAnsi" w:cstheme="minorHAnsi"/>
          <w:b/>
        </w:rPr>
      </w:pPr>
      <w:r w:rsidRPr="00994624">
        <w:rPr>
          <w:rFonts w:asciiTheme="minorHAnsi" w:eastAsia="Arial" w:hAnsiTheme="minorHAnsi" w:cstheme="minorHAnsi"/>
          <w:b/>
        </w:rPr>
        <w:t xml:space="preserve">Please send completed form to: </w:t>
      </w:r>
      <w:hyperlink r:id="rId11" w:history="1">
        <w:r w:rsidRPr="00994624">
          <w:rPr>
            <w:rFonts w:asciiTheme="minorHAnsi" w:eastAsia="Arial" w:hAnsiTheme="minorHAnsi" w:cstheme="minorHAnsi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994624" w:rsidRDefault="001C2268" w:rsidP="001C2268">
      <w:pPr>
        <w:pStyle w:val="NoSpacing"/>
        <w:rPr>
          <w:rFonts w:asciiTheme="minorHAnsi" w:eastAsia="Arial" w:hAnsiTheme="minorHAnsi" w:cstheme="minorHAnsi"/>
        </w:rPr>
      </w:pPr>
    </w:p>
    <w:p w14:paraId="0AF2244E" w14:textId="77777777" w:rsidR="00EA73B3" w:rsidRPr="00994624" w:rsidRDefault="00EA73B3" w:rsidP="00EA73B3">
      <w:pPr>
        <w:rPr>
          <w:rFonts w:asciiTheme="minorHAnsi" w:eastAsia="Arial" w:hAnsiTheme="minorHAnsi" w:cstheme="minorHAnsi"/>
          <w:b/>
          <w:sz w:val="20"/>
          <w:szCs w:val="20"/>
        </w:rPr>
      </w:pPr>
      <w:r w:rsidRPr="00994624">
        <w:rPr>
          <w:rFonts w:asciiTheme="minorHAnsi" w:eastAsia="Arial" w:hAnsiTheme="minorHAnsi" w:cstheme="minorHAnsi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EA73B3" w:rsidRPr="00994624" w14:paraId="3208E80C" w14:textId="77777777" w:rsidTr="0A57A144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Summary of Changes</w:t>
            </w:r>
          </w:p>
        </w:tc>
      </w:tr>
      <w:tr w:rsidR="00EA73B3" w:rsidRPr="00994624" w14:paraId="622CB1EF" w14:textId="77777777" w:rsidTr="0A57A144">
        <w:tc>
          <w:tcPr>
            <w:tcW w:w="902" w:type="pct"/>
          </w:tcPr>
          <w:p w14:paraId="1ABADCE5" w14:textId="4D6F023A" w:rsidR="00EA73B3" w:rsidRPr="00994624" w:rsidRDefault="0A57A144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0DB8F594" w14:textId="3E7E9A7D" w:rsidR="00EA73B3" w:rsidRPr="00994624" w:rsidRDefault="003757C1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Draft</w:t>
            </w:r>
          </w:p>
        </w:tc>
        <w:tc>
          <w:tcPr>
            <w:tcW w:w="556" w:type="pct"/>
          </w:tcPr>
          <w:p w14:paraId="0BB1E953" w14:textId="5FB01B19" w:rsidR="00EA73B3" w:rsidRPr="00994624" w:rsidRDefault="000118F7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4/10/21</w:t>
            </w:r>
          </w:p>
        </w:tc>
        <w:tc>
          <w:tcPr>
            <w:tcW w:w="763" w:type="pct"/>
          </w:tcPr>
          <w:p w14:paraId="4350D9F9" w14:textId="766DDB00" w:rsidR="00EA73B3" w:rsidRPr="00994624" w:rsidRDefault="000118F7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Steve Butler</w:t>
            </w:r>
          </w:p>
        </w:tc>
        <w:tc>
          <w:tcPr>
            <w:tcW w:w="1944" w:type="pct"/>
          </w:tcPr>
          <w:p w14:paraId="0FC70C39" w14:textId="6B57581A" w:rsidR="00EA73B3" w:rsidRPr="00994624" w:rsidRDefault="00F05E9B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Created</w:t>
            </w:r>
          </w:p>
        </w:tc>
      </w:tr>
      <w:tr w:rsidR="000118F7" w:rsidRPr="00994624" w14:paraId="13E23400" w14:textId="77777777" w:rsidTr="0A57A144">
        <w:tc>
          <w:tcPr>
            <w:tcW w:w="902" w:type="pct"/>
          </w:tcPr>
          <w:p w14:paraId="5969E352" w14:textId="56AD9B9A" w:rsidR="000118F7" w:rsidRPr="00994624" w:rsidRDefault="000118F7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835" w:type="pct"/>
          </w:tcPr>
          <w:p w14:paraId="4E42AD82" w14:textId="77777777" w:rsidR="000118F7" w:rsidRPr="00994624" w:rsidRDefault="000118F7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6" w:type="pct"/>
          </w:tcPr>
          <w:p w14:paraId="6F074391" w14:textId="3E7419BF" w:rsidR="000118F7" w:rsidRPr="00994624" w:rsidRDefault="00F05E9B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31/1/22</w:t>
            </w:r>
          </w:p>
        </w:tc>
        <w:tc>
          <w:tcPr>
            <w:tcW w:w="763" w:type="pct"/>
          </w:tcPr>
          <w:p w14:paraId="04B80EBC" w14:textId="3F48D656" w:rsidR="000118F7" w:rsidRPr="00994624" w:rsidRDefault="00F05E9B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Hannah Reddy</w:t>
            </w:r>
          </w:p>
        </w:tc>
        <w:tc>
          <w:tcPr>
            <w:tcW w:w="1944" w:type="pct"/>
          </w:tcPr>
          <w:p w14:paraId="2419FBEB" w14:textId="459AC279" w:rsidR="000118F7" w:rsidRPr="00994624" w:rsidRDefault="00F05E9B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  <w:szCs w:val="20"/>
              </w:rPr>
              <w:t>Review</w:t>
            </w:r>
          </w:p>
        </w:tc>
      </w:tr>
      <w:tr w:rsidR="00EB0C9A" w:rsidRPr="00994624" w14:paraId="18E4EEBF" w14:textId="77777777" w:rsidTr="0A57A144">
        <w:tc>
          <w:tcPr>
            <w:tcW w:w="902" w:type="pct"/>
          </w:tcPr>
          <w:p w14:paraId="5F6934A3" w14:textId="76E142A1" w:rsidR="00EB0C9A" w:rsidRPr="00994624" w:rsidRDefault="00EB0C9A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835" w:type="pct"/>
          </w:tcPr>
          <w:p w14:paraId="62152FD9" w14:textId="77777777" w:rsidR="00EB0C9A" w:rsidRPr="00994624" w:rsidRDefault="00EB0C9A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6" w:type="pct"/>
          </w:tcPr>
          <w:p w14:paraId="61D9817B" w14:textId="537F2477" w:rsidR="00EB0C9A" w:rsidRPr="00994624" w:rsidRDefault="00EB0C9A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10/03/22</w:t>
            </w:r>
          </w:p>
        </w:tc>
        <w:tc>
          <w:tcPr>
            <w:tcW w:w="763" w:type="pct"/>
          </w:tcPr>
          <w:p w14:paraId="734B62B9" w14:textId="77777777" w:rsidR="00EB0C9A" w:rsidRDefault="00EB0C9A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Hannah Reddy</w:t>
            </w:r>
          </w:p>
          <w:p w14:paraId="704929DE" w14:textId="086F40ED" w:rsidR="00EB0C9A" w:rsidRPr="00994624" w:rsidRDefault="00EB0C9A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Andy Simpson</w:t>
            </w:r>
          </w:p>
        </w:tc>
        <w:tc>
          <w:tcPr>
            <w:tcW w:w="1944" w:type="pct"/>
          </w:tcPr>
          <w:p w14:paraId="41D80FDA" w14:textId="458E17E4" w:rsidR="00EB0C9A" w:rsidRPr="00994624" w:rsidRDefault="00EB0C9A" w:rsidP="0A57A1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Updates following internal review</w:t>
            </w:r>
            <w:bookmarkStart w:id="0" w:name="_GoBack"/>
            <w:bookmarkEnd w:id="0"/>
          </w:p>
        </w:tc>
      </w:tr>
    </w:tbl>
    <w:p w14:paraId="67B305BF" w14:textId="77777777" w:rsidR="00EA73B3" w:rsidRPr="00994624" w:rsidRDefault="00EA73B3" w:rsidP="00EA73B3">
      <w:pPr>
        <w:rPr>
          <w:rFonts w:asciiTheme="minorHAnsi" w:eastAsia="Arial" w:hAnsiTheme="minorHAnsi" w:cstheme="minorHAnsi"/>
          <w:sz w:val="20"/>
          <w:szCs w:val="20"/>
        </w:rPr>
      </w:pPr>
    </w:p>
    <w:p w14:paraId="59F06E1D" w14:textId="77777777" w:rsidR="00EA73B3" w:rsidRPr="00994624" w:rsidRDefault="00EA73B3" w:rsidP="00EA73B3">
      <w:pPr>
        <w:rPr>
          <w:rFonts w:asciiTheme="minorHAnsi" w:eastAsia="Arial" w:hAnsiTheme="minorHAnsi" w:cstheme="minorHAnsi"/>
          <w:b/>
          <w:sz w:val="20"/>
          <w:szCs w:val="20"/>
        </w:rPr>
      </w:pPr>
      <w:r w:rsidRPr="00994624">
        <w:rPr>
          <w:rFonts w:asciiTheme="minorHAnsi" w:eastAsia="Arial" w:hAnsiTheme="minorHAnsi" w:cstheme="minorHAnsi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EA73B3" w:rsidRPr="00994624" w14:paraId="448EF1F8" w14:textId="77777777" w:rsidTr="0098325E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462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Summary of Changes</w:t>
            </w:r>
          </w:p>
        </w:tc>
      </w:tr>
      <w:tr w:rsidR="00EA73B3" w:rsidRPr="00994624" w14:paraId="1A840032" w14:textId="77777777" w:rsidTr="0098325E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994624" w:rsidRDefault="00EA73B3" w:rsidP="00EA73B3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</w:rPr>
              <w:t xml:space="preserve">Template approved at </w:t>
            </w:r>
            <w:proofErr w:type="spellStart"/>
            <w:r w:rsidRPr="00994624">
              <w:rPr>
                <w:rFonts w:asciiTheme="minorHAnsi" w:eastAsia="Times New Roman" w:hAnsiTheme="minorHAnsi" w:cstheme="minorHAnsi"/>
                <w:sz w:val="20"/>
              </w:rPr>
              <w:t>ChMC</w:t>
            </w:r>
            <w:proofErr w:type="spellEnd"/>
            <w:r w:rsidRPr="00994624">
              <w:rPr>
                <w:rFonts w:asciiTheme="minorHAnsi" w:eastAsia="Times New Roman" w:hAnsiTheme="minorHAnsi" w:cstheme="minorHAnsi"/>
                <w:sz w:val="20"/>
              </w:rPr>
              <w:t xml:space="preserve"> on 11</w:t>
            </w:r>
            <w:r w:rsidRPr="00994624">
              <w:rPr>
                <w:rFonts w:asciiTheme="minorHAnsi" w:eastAsia="Times New Roman" w:hAnsiTheme="minorHAnsi" w:cstheme="minorHAnsi"/>
                <w:sz w:val="20"/>
                <w:vertAlign w:val="superscript"/>
              </w:rPr>
              <w:t>th</w:t>
            </w:r>
            <w:r w:rsidRPr="00994624">
              <w:rPr>
                <w:rFonts w:asciiTheme="minorHAnsi" w:eastAsia="Times New Roman" w:hAnsiTheme="minorHAnsi" w:cstheme="minorHAnsi"/>
                <w:sz w:val="20"/>
              </w:rPr>
              <w:t xml:space="preserve"> July</w:t>
            </w:r>
          </w:p>
        </w:tc>
      </w:tr>
      <w:tr w:rsidR="00EA73B3" w:rsidRPr="00994624" w14:paraId="19151F85" w14:textId="77777777" w:rsidTr="0098325E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994624" w:rsidRDefault="007E7C5B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994624" w:rsidRDefault="007E7C5B" w:rsidP="007E7C5B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994624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</w:rPr>
              <w:t xml:space="preserve">Heather </w:t>
            </w:r>
            <w:proofErr w:type="spellStart"/>
            <w:r w:rsidRPr="00994624">
              <w:rPr>
                <w:rFonts w:asciiTheme="minorHAnsi" w:eastAsia="Times New Roman" w:hAnsiTheme="minorHAnsi" w:cstheme="minorHAnsi"/>
                <w:sz w:val="20"/>
              </w:rPr>
              <w:t>Spensley</w:t>
            </w:r>
            <w:proofErr w:type="spellEnd"/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994624" w:rsidRDefault="00EA73B3" w:rsidP="00EA73B3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994624">
              <w:rPr>
                <w:rFonts w:asciiTheme="minorHAnsi" w:eastAsia="Times New Roman" w:hAnsiTheme="minorHAnsi" w:cstheme="minorHAnsi"/>
                <w:sz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994624" w:rsidRDefault="00D66C7E" w:rsidP="00EA73B3">
      <w:pPr>
        <w:rPr>
          <w:rFonts w:asciiTheme="minorHAnsi" w:hAnsiTheme="minorHAnsi" w:cstheme="minorHAnsi"/>
        </w:rPr>
      </w:pPr>
    </w:p>
    <w:sectPr w:rsidR="00D66C7E" w:rsidRPr="0099462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53B9A" w14:textId="77777777" w:rsidR="004A2D5A" w:rsidRDefault="004A2D5A" w:rsidP="00324744">
      <w:pPr>
        <w:spacing w:after="0" w:line="240" w:lineRule="auto"/>
      </w:pPr>
      <w:r>
        <w:separator/>
      </w:r>
    </w:p>
  </w:endnote>
  <w:endnote w:type="continuationSeparator" w:id="0">
    <w:p w14:paraId="2EFA8825" w14:textId="77777777" w:rsidR="004A2D5A" w:rsidRDefault="004A2D5A" w:rsidP="00324744">
      <w:pPr>
        <w:spacing w:after="0" w:line="240" w:lineRule="auto"/>
      </w:pPr>
      <w:r>
        <w:continuationSeparator/>
      </w:r>
    </w:p>
  </w:endnote>
  <w:endnote w:type="continuationNotice" w:id="1">
    <w:p w14:paraId="7D5F8F22" w14:textId="77777777" w:rsidR="004A2D5A" w:rsidRDefault="004A2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D0D51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7309" w14:textId="77777777" w:rsidR="004A2D5A" w:rsidRDefault="004A2D5A" w:rsidP="00324744">
      <w:pPr>
        <w:spacing w:after="0" w:line="240" w:lineRule="auto"/>
      </w:pPr>
      <w:r>
        <w:separator/>
      </w:r>
    </w:p>
  </w:footnote>
  <w:footnote w:type="continuationSeparator" w:id="0">
    <w:p w14:paraId="55EAF4C5" w14:textId="77777777" w:rsidR="004A2D5A" w:rsidRDefault="004A2D5A" w:rsidP="00324744">
      <w:pPr>
        <w:spacing w:after="0" w:line="240" w:lineRule="auto"/>
      </w:pPr>
      <w:r>
        <w:continuationSeparator/>
      </w:r>
    </w:p>
  </w:footnote>
  <w:footnote w:type="continuationNotice" w:id="1">
    <w:p w14:paraId="3A470951" w14:textId="77777777" w:rsidR="004A2D5A" w:rsidRDefault="004A2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6AD3D7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6220"/>
    <w:multiLevelType w:val="hybridMultilevel"/>
    <w:tmpl w:val="5A24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7D96"/>
    <w:multiLevelType w:val="hybridMultilevel"/>
    <w:tmpl w:val="8F624A72"/>
    <w:lvl w:ilvl="0" w:tplc="F1DC1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0B7F"/>
    <w:multiLevelType w:val="hybridMultilevel"/>
    <w:tmpl w:val="383E0652"/>
    <w:lvl w:ilvl="0" w:tplc="C3041C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118F7"/>
    <w:rsid w:val="00037DF7"/>
    <w:rsid w:val="000443CD"/>
    <w:rsid w:val="000A1AD1"/>
    <w:rsid w:val="000A2F75"/>
    <w:rsid w:val="000B076E"/>
    <w:rsid w:val="000B4953"/>
    <w:rsid w:val="000B6719"/>
    <w:rsid w:val="000B75A5"/>
    <w:rsid w:val="000D1580"/>
    <w:rsid w:val="000D1D29"/>
    <w:rsid w:val="000D5DE0"/>
    <w:rsid w:val="000F1CD7"/>
    <w:rsid w:val="000F3B08"/>
    <w:rsid w:val="0010618D"/>
    <w:rsid w:val="00115D12"/>
    <w:rsid w:val="00125135"/>
    <w:rsid w:val="00125B61"/>
    <w:rsid w:val="001325F6"/>
    <w:rsid w:val="00134957"/>
    <w:rsid w:val="00144E00"/>
    <w:rsid w:val="00150CDB"/>
    <w:rsid w:val="0016622F"/>
    <w:rsid w:val="00173469"/>
    <w:rsid w:val="0018212A"/>
    <w:rsid w:val="00185291"/>
    <w:rsid w:val="001870B1"/>
    <w:rsid w:val="00195A39"/>
    <w:rsid w:val="001A7744"/>
    <w:rsid w:val="001C035E"/>
    <w:rsid w:val="001C2268"/>
    <w:rsid w:val="001C49A5"/>
    <w:rsid w:val="001F0080"/>
    <w:rsid w:val="001F5374"/>
    <w:rsid w:val="001F6049"/>
    <w:rsid w:val="002068B9"/>
    <w:rsid w:val="002224AF"/>
    <w:rsid w:val="00226D34"/>
    <w:rsid w:val="00231570"/>
    <w:rsid w:val="002352A3"/>
    <w:rsid w:val="002361FB"/>
    <w:rsid w:val="0025174A"/>
    <w:rsid w:val="00267AAF"/>
    <w:rsid w:val="002849F4"/>
    <w:rsid w:val="002A067A"/>
    <w:rsid w:val="002B6089"/>
    <w:rsid w:val="002B666F"/>
    <w:rsid w:val="002B6A5A"/>
    <w:rsid w:val="002D10C5"/>
    <w:rsid w:val="002D4A56"/>
    <w:rsid w:val="002F1E28"/>
    <w:rsid w:val="003025DE"/>
    <w:rsid w:val="00324348"/>
    <w:rsid w:val="00324744"/>
    <w:rsid w:val="00334A20"/>
    <w:rsid w:val="0034566D"/>
    <w:rsid w:val="00347BD1"/>
    <w:rsid w:val="003757C1"/>
    <w:rsid w:val="00390F5C"/>
    <w:rsid w:val="003A624B"/>
    <w:rsid w:val="003B7FB3"/>
    <w:rsid w:val="003C6B68"/>
    <w:rsid w:val="003D1A2D"/>
    <w:rsid w:val="003E3582"/>
    <w:rsid w:val="003E3597"/>
    <w:rsid w:val="003F0110"/>
    <w:rsid w:val="003F322D"/>
    <w:rsid w:val="003F6319"/>
    <w:rsid w:val="00407E29"/>
    <w:rsid w:val="00414474"/>
    <w:rsid w:val="00420AAD"/>
    <w:rsid w:val="00426807"/>
    <w:rsid w:val="00430A3F"/>
    <w:rsid w:val="004317F7"/>
    <w:rsid w:val="0043630C"/>
    <w:rsid w:val="00441982"/>
    <w:rsid w:val="004440F1"/>
    <w:rsid w:val="00450269"/>
    <w:rsid w:val="00477792"/>
    <w:rsid w:val="0048017A"/>
    <w:rsid w:val="00483F6B"/>
    <w:rsid w:val="00485C5B"/>
    <w:rsid w:val="004A143C"/>
    <w:rsid w:val="004A2D5A"/>
    <w:rsid w:val="004B70EE"/>
    <w:rsid w:val="004D48AA"/>
    <w:rsid w:val="004D791D"/>
    <w:rsid w:val="004F00E3"/>
    <w:rsid w:val="004F3362"/>
    <w:rsid w:val="004F5361"/>
    <w:rsid w:val="004F6F87"/>
    <w:rsid w:val="004F798A"/>
    <w:rsid w:val="00503C83"/>
    <w:rsid w:val="005173ED"/>
    <w:rsid w:val="00517F6F"/>
    <w:rsid w:val="00527179"/>
    <w:rsid w:val="00533810"/>
    <w:rsid w:val="0053638B"/>
    <w:rsid w:val="0055298E"/>
    <w:rsid w:val="00560039"/>
    <w:rsid w:val="00581A9D"/>
    <w:rsid w:val="0058672E"/>
    <w:rsid w:val="005878FD"/>
    <w:rsid w:val="005A0C36"/>
    <w:rsid w:val="005B1E01"/>
    <w:rsid w:val="005B2FF9"/>
    <w:rsid w:val="005C6382"/>
    <w:rsid w:val="005D2B3C"/>
    <w:rsid w:val="005E1899"/>
    <w:rsid w:val="00601ED6"/>
    <w:rsid w:val="006037EF"/>
    <w:rsid w:val="006245F9"/>
    <w:rsid w:val="00635E82"/>
    <w:rsid w:val="00636C0A"/>
    <w:rsid w:val="00642889"/>
    <w:rsid w:val="0064724D"/>
    <w:rsid w:val="00657DF9"/>
    <w:rsid w:val="006636A1"/>
    <w:rsid w:val="006668D7"/>
    <w:rsid w:val="00676251"/>
    <w:rsid w:val="00676CE7"/>
    <w:rsid w:val="00691AD7"/>
    <w:rsid w:val="006B51FA"/>
    <w:rsid w:val="00714E1C"/>
    <w:rsid w:val="00720B93"/>
    <w:rsid w:val="00722662"/>
    <w:rsid w:val="007240AE"/>
    <w:rsid w:val="007243D3"/>
    <w:rsid w:val="00745317"/>
    <w:rsid w:val="00751475"/>
    <w:rsid w:val="00763788"/>
    <w:rsid w:val="007773BD"/>
    <w:rsid w:val="00782BD1"/>
    <w:rsid w:val="0078435A"/>
    <w:rsid w:val="00793CBF"/>
    <w:rsid w:val="00793FBF"/>
    <w:rsid w:val="00794079"/>
    <w:rsid w:val="007965E3"/>
    <w:rsid w:val="007A56DB"/>
    <w:rsid w:val="007B3D53"/>
    <w:rsid w:val="007D4F26"/>
    <w:rsid w:val="007E0F39"/>
    <w:rsid w:val="007E2C25"/>
    <w:rsid w:val="007E6265"/>
    <w:rsid w:val="007E7C5B"/>
    <w:rsid w:val="007F4167"/>
    <w:rsid w:val="00817A62"/>
    <w:rsid w:val="00827A1F"/>
    <w:rsid w:val="00830AAC"/>
    <w:rsid w:val="00844E00"/>
    <w:rsid w:val="00847FA3"/>
    <w:rsid w:val="00876F0A"/>
    <w:rsid w:val="008A4A65"/>
    <w:rsid w:val="008B357A"/>
    <w:rsid w:val="008D1F18"/>
    <w:rsid w:val="008D5887"/>
    <w:rsid w:val="008D6394"/>
    <w:rsid w:val="00900C07"/>
    <w:rsid w:val="00901826"/>
    <w:rsid w:val="00903EAA"/>
    <w:rsid w:val="009047A4"/>
    <w:rsid w:val="009152B1"/>
    <w:rsid w:val="00922797"/>
    <w:rsid w:val="00922EEE"/>
    <w:rsid w:val="009255C5"/>
    <w:rsid w:val="00930A03"/>
    <w:rsid w:val="009472CC"/>
    <w:rsid w:val="009576C4"/>
    <w:rsid w:val="00965865"/>
    <w:rsid w:val="009661BF"/>
    <w:rsid w:val="00976E09"/>
    <w:rsid w:val="0098325E"/>
    <w:rsid w:val="00984202"/>
    <w:rsid w:val="0098581B"/>
    <w:rsid w:val="00994624"/>
    <w:rsid w:val="00994F55"/>
    <w:rsid w:val="009957C5"/>
    <w:rsid w:val="00997D79"/>
    <w:rsid w:val="009A069A"/>
    <w:rsid w:val="009C224A"/>
    <w:rsid w:val="009C3C89"/>
    <w:rsid w:val="009D50EF"/>
    <w:rsid w:val="009E3492"/>
    <w:rsid w:val="009F1BC2"/>
    <w:rsid w:val="00A04266"/>
    <w:rsid w:val="00A1495B"/>
    <w:rsid w:val="00A151C4"/>
    <w:rsid w:val="00A270B2"/>
    <w:rsid w:val="00A375D2"/>
    <w:rsid w:val="00A40465"/>
    <w:rsid w:val="00A414A3"/>
    <w:rsid w:val="00A417A2"/>
    <w:rsid w:val="00A41E10"/>
    <w:rsid w:val="00A43180"/>
    <w:rsid w:val="00A43589"/>
    <w:rsid w:val="00A50075"/>
    <w:rsid w:val="00A6231A"/>
    <w:rsid w:val="00A66D8B"/>
    <w:rsid w:val="00AB5945"/>
    <w:rsid w:val="00AB5B54"/>
    <w:rsid w:val="00AB63DE"/>
    <w:rsid w:val="00AC3601"/>
    <w:rsid w:val="00AD143B"/>
    <w:rsid w:val="00AD1AE6"/>
    <w:rsid w:val="00AD5B59"/>
    <w:rsid w:val="00AF1E7C"/>
    <w:rsid w:val="00B06851"/>
    <w:rsid w:val="00B10B74"/>
    <w:rsid w:val="00B23EA1"/>
    <w:rsid w:val="00B4219A"/>
    <w:rsid w:val="00B53C93"/>
    <w:rsid w:val="00B64F4F"/>
    <w:rsid w:val="00B8770C"/>
    <w:rsid w:val="00B96568"/>
    <w:rsid w:val="00BA056E"/>
    <w:rsid w:val="00BA1E34"/>
    <w:rsid w:val="00BC23B8"/>
    <w:rsid w:val="00BC7952"/>
    <w:rsid w:val="00BD0092"/>
    <w:rsid w:val="00BD0A45"/>
    <w:rsid w:val="00BE1BFB"/>
    <w:rsid w:val="00BE24F2"/>
    <w:rsid w:val="00BE61AA"/>
    <w:rsid w:val="00BF4247"/>
    <w:rsid w:val="00BF77C7"/>
    <w:rsid w:val="00C001D5"/>
    <w:rsid w:val="00C00D20"/>
    <w:rsid w:val="00C01E52"/>
    <w:rsid w:val="00C0448B"/>
    <w:rsid w:val="00C1249B"/>
    <w:rsid w:val="00C1466F"/>
    <w:rsid w:val="00C15D19"/>
    <w:rsid w:val="00C160A2"/>
    <w:rsid w:val="00C258B6"/>
    <w:rsid w:val="00C336EA"/>
    <w:rsid w:val="00C3659E"/>
    <w:rsid w:val="00C55871"/>
    <w:rsid w:val="00C61044"/>
    <w:rsid w:val="00C75F52"/>
    <w:rsid w:val="00C83FBD"/>
    <w:rsid w:val="00C90AB7"/>
    <w:rsid w:val="00C926D6"/>
    <w:rsid w:val="00C946B1"/>
    <w:rsid w:val="00CC6D06"/>
    <w:rsid w:val="00CD484D"/>
    <w:rsid w:val="00CF2A28"/>
    <w:rsid w:val="00D118C5"/>
    <w:rsid w:val="00D11D80"/>
    <w:rsid w:val="00D1430A"/>
    <w:rsid w:val="00D20994"/>
    <w:rsid w:val="00D2516C"/>
    <w:rsid w:val="00D26E4C"/>
    <w:rsid w:val="00D54E56"/>
    <w:rsid w:val="00D56900"/>
    <w:rsid w:val="00D60B19"/>
    <w:rsid w:val="00D61AB9"/>
    <w:rsid w:val="00D64A1E"/>
    <w:rsid w:val="00D65B75"/>
    <w:rsid w:val="00D66C7E"/>
    <w:rsid w:val="00D75155"/>
    <w:rsid w:val="00D82DD5"/>
    <w:rsid w:val="00D953BB"/>
    <w:rsid w:val="00DB1D23"/>
    <w:rsid w:val="00DB1D84"/>
    <w:rsid w:val="00DB2F97"/>
    <w:rsid w:val="00DB6A83"/>
    <w:rsid w:val="00DD3F8C"/>
    <w:rsid w:val="00DD4435"/>
    <w:rsid w:val="00DE090C"/>
    <w:rsid w:val="00DE21B2"/>
    <w:rsid w:val="00DF1661"/>
    <w:rsid w:val="00E0161C"/>
    <w:rsid w:val="00E21984"/>
    <w:rsid w:val="00E30B07"/>
    <w:rsid w:val="00E3444E"/>
    <w:rsid w:val="00E434F1"/>
    <w:rsid w:val="00E438DA"/>
    <w:rsid w:val="00E44BA0"/>
    <w:rsid w:val="00E45431"/>
    <w:rsid w:val="00E45A5A"/>
    <w:rsid w:val="00E5174C"/>
    <w:rsid w:val="00E55CA2"/>
    <w:rsid w:val="00E61C7F"/>
    <w:rsid w:val="00E75D7F"/>
    <w:rsid w:val="00E842A2"/>
    <w:rsid w:val="00E85B98"/>
    <w:rsid w:val="00EA6640"/>
    <w:rsid w:val="00EA73B3"/>
    <w:rsid w:val="00EA74EB"/>
    <w:rsid w:val="00EB0C9A"/>
    <w:rsid w:val="00EB6B55"/>
    <w:rsid w:val="00ED1782"/>
    <w:rsid w:val="00ED28ED"/>
    <w:rsid w:val="00EE0CC7"/>
    <w:rsid w:val="00EF15C4"/>
    <w:rsid w:val="00EF1914"/>
    <w:rsid w:val="00EF1DB4"/>
    <w:rsid w:val="00EF6D9F"/>
    <w:rsid w:val="00EF7FB6"/>
    <w:rsid w:val="00F02130"/>
    <w:rsid w:val="00F05E9B"/>
    <w:rsid w:val="00F204AF"/>
    <w:rsid w:val="00F4021D"/>
    <w:rsid w:val="00F650D3"/>
    <w:rsid w:val="00F71EC3"/>
    <w:rsid w:val="00F7536D"/>
    <w:rsid w:val="00F76F7D"/>
    <w:rsid w:val="00F773C2"/>
    <w:rsid w:val="00F83A10"/>
    <w:rsid w:val="00F8578A"/>
    <w:rsid w:val="00F90E6E"/>
    <w:rsid w:val="00F95876"/>
    <w:rsid w:val="00FA7CC1"/>
    <w:rsid w:val="00FC2FAD"/>
    <w:rsid w:val="00FD26CD"/>
    <w:rsid w:val="00FE4292"/>
    <w:rsid w:val="00FE5436"/>
    <w:rsid w:val="00FF20C0"/>
    <w:rsid w:val="00FF2CB0"/>
    <w:rsid w:val="00FF2D95"/>
    <w:rsid w:val="02B3D5F1"/>
    <w:rsid w:val="0722AF0C"/>
    <w:rsid w:val="0A57A144"/>
    <w:rsid w:val="0F7188F0"/>
    <w:rsid w:val="1290EA9E"/>
    <w:rsid w:val="19DFA598"/>
    <w:rsid w:val="49C6330C"/>
    <w:rsid w:val="59F4D182"/>
    <w:rsid w:val="5CF2A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79F40"/>
  <w15:docId w15:val="{29D476B5-7022-4F88-B589-1761F7BF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441982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3589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0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B1F93-1DEF-4221-B5BE-43597C2EB51B}"/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bf9d48c0-3fb6-4ed7-a7f5-694bb9231734"/>
    <ds:schemaRef ds:uri="http://purl.org/dc/dcmitype/"/>
    <ds:schemaRef ds:uri="96c62218-d085-4097-ae9c-d3a1c6eefef6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Hannah Reddy</cp:lastModifiedBy>
  <cp:revision>48</cp:revision>
  <dcterms:created xsi:type="dcterms:W3CDTF">2022-03-03T15:40:00Z</dcterms:created>
  <dcterms:modified xsi:type="dcterms:W3CDTF">2022-03-10T18:45:00Z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