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500" w:type="pct"/>
        <w:tblLayout w:type="fixed"/>
        <w:tblLook w:val="04A0" w:firstRow="1" w:lastRow="0" w:firstColumn="1" w:lastColumn="0" w:noHBand="0" w:noVBand="1"/>
      </w:tblPr>
      <w:tblGrid>
        <w:gridCol w:w="4394"/>
        <w:gridCol w:w="5524"/>
      </w:tblGrid>
      <w:tr w:rsidR="00EA73B3" w:rsidRPr="00DB5177" w14:paraId="1601AE27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4180B42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Title</w:t>
            </w:r>
          </w:p>
        </w:tc>
        <w:tc>
          <w:tcPr>
            <w:tcW w:w="2785" w:type="pct"/>
          </w:tcPr>
          <w:p w14:paraId="018CEA35" w14:textId="6E9D0E0D" w:rsidR="00EA73B3" w:rsidRPr="00DB5177" w:rsidRDefault="00581EDD" w:rsidP="00A101D9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Hy</w:t>
            </w:r>
            <w:r w:rsidR="00564F15" w:rsidRPr="00DB5177">
              <w:rPr>
                <w:rFonts w:eastAsia="Times New Roman" w:cs="Arial"/>
                <w:sz w:val="20"/>
                <w:szCs w:val="20"/>
              </w:rPr>
              <w:t>D</w:t>
            </w:r>
            <w:r w:rsidRPr="00DB5177">
              <w:rPr>
                <w:rFonts w:eastAsia="Times New Roman" w:cs="Arial"/>
                <w:sz w:val="20"/>
                <w:szCs w:val="20"/>
              </w:rPr>
              <w:t>eploy Closedown</w:t>
            </w:r>
          </w:p>
        </w:tc>
      </w:tr>
      <w:tr w:rsidR="00EA73B3" w:rsidRPr="00DB5177" w14:paraId="06D4D571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5982B8C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reference number (XRN)</w:t>
            </w:r>
          </w:p>
        </w:tc>
        <w:tc>
          <w:tcPr>
            <w:tcW w:w="2785" w:type="pct"/>
          </w:tcPr>
          <w:p w14:paraId="06F88361" w14:textId="5DDDD5D6" w:rsidR="00EA73B3" w:rsidRPr="00DB5177" w:rsidRDefault="00581EDD" w:rsidP="00195A39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5515</w:t>
            </w:r>
          </w:p>
        </w:tc>
      </w:tr>
      <w:tr w:rsidR="00EA73B3" w:rsidRPr="00DB5177" w14:paraId="1D6C8AD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 xml:space="preserve">Xoserve Project Manager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419660B" w14:textId="23847C32" w:rsidR="00EA73B3" w:rsidRPr="00DB5177" w:rsidRDefault="00B06FD6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</w:tr>
      <w:tr w:rsidR="00EA73B3" w:rsidRPr="00DB5177" w14:paraId="2390A8AC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A705C45" w14:textId="657BB058" w:rsidR="00EA73B3" w:rsidRPr="00DB5177" w:rsidRDefault="00E8740C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5D51E0" w:rsidRPr="00DB5177">
                <w:rPr>
                  <w:rStyle w:val="Hyperlink"/>
                  <w:rFonts w:eastAsia="Times New Roman" w:cs="Arial"/>
                  <w:sz w:val="20"/>
                  <w:szCs w:val="20"/>
                </w:rPr>
                <w:t>r</w:t>
              </w:r>
              <w:r w:rsidR="005D51E0" w:rsidRPr="00DB5177">
                <w:rPr>
                  <w:rStyle w:val="Hyperlink"/>
                  <w:rFonts w:cs="Arial"/>
                  <w:sz w:val="20"/>
                  <w:szCs w:val="20"/>
                </w:rPr>
                <w:t>ichard.hadfield@correla.com</w:t>
              </w:r>
            </w:hyperlink>
          </w:p>
        </w:tc>
      </w:tr>
      <w:tr w:rsidR="00EA73B3" w:rsidRPr="00DB5177" w14:paraId="3B9ABC1E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07DF7DD" w14:textId="3351CA70" w:rsidR="00EA73B3" w:rsidRPr="00DB5177" w:rsidRDefault="00FF152A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0121 229 2559</w:t>
            </w:r>
          </w:p>
        </w:tc>
      </w:tr>
      <w:tr w:rsidR="00EA73B3" w:rsidRPr="00DB5177" w14:paraId="0B495390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Target Change Management Committee date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E6B73E1" w14:textId="09B9499E" w:rsidR="00EA73B3" w:rsidRPr="00DB5177" w:rsidRDefault="00695375" w:rsidP="00EA73B3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14</w:t>
            </w:r>
            <w:r w:rsidRPr="00DB5177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Pr="00DB5177">
              <w:rPr>
                <w:rFonts w:eastAsia="Times New Roman" w:cs="Arial"/>
                <w:sz w:val="20"/>
                <w:szCs w:val="20"/>
              </w:rPr>
              <w:t xml:space="preserve"> September 2022</w:t>
            </w:r>
          </w:p>
        </w:tc>
      </w:tr>
      <w:tr w:rsidR="00EA73B3" w:rsidRPr="00DB5177" w14:paraId="70D298E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Date of Solution Implementation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76CEA666" w14:textId="1F4C9164" w:rsidR="00EA73B3" w:rsidRPr="00DB5177" w:rsidRDefault="004A7E66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18</w:t>
            </w:r>
            <w:r w:rsidRPr="00DB5177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Pr="00DB5177">
              <w:rPr>
                <w:rFonts w:eastAsia="Times New Roman" w:cs="Arial"/>
                <w:sz w:val="20"/>
                <w:szCs w:val="20"/>
              </w:rPr>
              <w:t xml:space="preserve"> July 2022</w:t>
            </w:r>
          </w:p>
        </w:tc>
      </w:tr>
      <w:tr w:rsidR="00EA73B3" w:rsidRPr="00DB5177" w14:paraId="0327033D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Overview of Change Delivery</w:t>
            </w:r>
          </w:p>
        </w:tc>
      </w:tr>
      <w:tr w:rsidR="00EA73B3" w:rsidRPr="00DB5177" w14:paraId="0CEE08D9" w14:textId="77777777" w:rsidTr="00946CF9">
        <w:trPr>
          <w:trHeight w:val="11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30E4453A" w:rsidR="00195A39" w:rsidRPr="00DB5177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5CF6170F" w14:textId="6927A752" w:rsidR="00FE157A" w:rsidRPr="00DB5177" w:rsidRDefault="00FE157A" w:rsidP="00FE157A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All planned activities under Change Proposal </w:t>
            </w:r>
            <w:hyperlink r:id="rId12" w:history="1">
              <w:r w:rsidRPr="00DB5177">
                <w:rPr>
                  <w:rStyle w:val="Hyperlink"/>
                  <w:rFonts w:cs="Arial"/>
                  <w:color w:val="3E5AA8" w:themeColor="accent1"/>
                  <w:sz w:val="20"/>
                  <w:szCs w:val="20"/>
                </w:rPr>
                <w:t>XRN5</w:t>
              </w:r>
              <w:r w:rsidR="001403B8" w:rsidRPr="00DB5177">
                <w:rPr>
                  <w:rStyle w:val="Hyperlink"/>
                  <w:rFonts w:cs="Arial"/>
                  <w:color w:val="3E5AA8" w:themeColor="accent1"/>
                  <w:sz w:val="20"/>
                  <w:szCs w:val="20"/>
                </w:rPr>
                <w:t>515</w:t>
              </w:r>
            </w:hyperlink>
            <w:r w:rsidRPr="00DB5177">
              <w:rPr>
                <w:rFonts w:cs="Arial"/>
                <w:sz w:val="20"/>
                <w:szCs w:val="20"/>
              </w:rPr>
              <w:t xml:space="preserve"> (</w:t>
            </w:r>
            <w:r w:rsidR="00564F15" w:rsidRPr="00DB5177">
              <w:rPr>
                <w:rFonts w:cs="Arial"/>
                <w:sz w:val="20"/>
                <w:szCs w:val="20"/>
              </w:rPr>
              <w:t>HyDeploy Closedown</w:t>
            </w:r>
            <w:r w:rsidRPr="00DB5177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DB5177">
              <w:rPr>
                <w:rFonts w:cs="Arial"/>
                <w:sz w:val="20"/>
                <w:szCs w:val="20"/>
              </w:rPr>
              <w:t xml:space="preserve"> have now been completed. </w:t>
            </w:r>
          </w:p>
          <w:p w14:paraId="67DF74A9" w14:textId="77777777" w:rsidR="00FE157A" w:rsidRPr="00DB5177" w:rsidRDefault="00FE157A" w:rsidP="00FE157A">
            <w:pPr>
              <w:rPr>
                <w:rFonts w:cs="Arial"/>
                <w:sz w:val="20"/>
                <w:szCs w:val="20"/>
              </w:rPr>
            </w:pPr>
          </w:p>
          <w:p w14:paraId="570F0FE2" w14:textId="7F66DB95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The </w:t>
            </w:r>
            <w:r w:rsidRPr="00DB5177">
              <w:rPr>
                <w:rFonts w:eastAsiaTheme="minorHAnsi" w:cs="Arial"/>
                <w:sz w:val="20"/>
                <w:szCs w:val="20"/>
                <w:lang w:val="en-US"/>
              </w:rPr>
              <w:t>HyDeploy2 (second phase) live demonstration</w:t>
            </w:r>
            <w:r w:rsidRPr="00DB5177">
              <w:rPr>
                <w:rFonts w:cs="Arial"/>
                <w:sz w:val="20"/>
                <w:szCs w:val="20"/>
              </w:rPr>
              <w:t xml:space="preserve"> came to an end on 30 June 2022 </w:t>
            </w:r>
            <w:r w:rsidR="00697D4B" w:rsidRPr="00DB5177">
              <w:rPr>
                <w:rFonts w:cs="Arial"/>
                <w:sz w:val="20"/>
                <w:szCs w:val="20"/>
              </w:rPr>
              <w:t xml:space="preserve">after </w:t>
            </w:r>
            <w:r w:rsidRPr="00DB5177">
              <w:rPr>
                <w:rFonts w:cs="Arial"/>
                <w:sz w:val="20"/>
                <w:szCs w:val="20"/>
              </w:rPr>
              <w:t xml:space="preserve">when Supply Meter Points </w:t>
            </w:r>
            <w:r w:rsidR="00697D4B" w:rsidRPr="00DB5177">
              <w:rPr>
                <w:rFonts w:cs="Arial"/>
                <w:sz w:val="20"/>
                <w:szCs w:val="20"/>
              </w:rPr>
              <w:t>are</w:t>
            </w:r>
            <w:r w:rsidRPr="00DB5177">
              <w:rPr>
                <w:rFonts w:cs="Arial"/>
                <w:sz w:val="20"/>
                <w:szCs w:val="20"/>
              </w:rPr>
              <w:t xml:space="preserve"> no longer receiv</w:t>
            </w:r>
            <w:r w:rsidR="00697D4B" w:rsidRPr="00DB5177">
              <w:rPr>
                <w:rFonts w:cs="Arial"/>
                <w:sz w:val="20"/>
                <w:szCs w:val="20"/>
              </w:rPr>
              <w:t>ing</w:t>
            </w:r>
            <w:r w:rsidRPr="00DB5177">
              <w:rPr>
                <w:rFonts w:cs="Arial"/>
                <w:sz w:val="20"/>
                <w:szCs w:val="20"/>
              </w:rPr>
              <w:t xml:space="preserve"> a blend of natural gas and hydrogen, but again flow 100% natural gas.</w:t>
            </w:r>
          </w:p>
          <w:p w14:paraId="77E1440A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17FC25E7" w14:textId="3C0AAA35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To support the end of the demonstration the CDSP </w:t>
            </w:r>
            <w:r w:rsidR="0084109B" w:rsidRPr="00DB5177">
              <w:rPr>
                <w:rFonts w:cs="Arial"/>
                <w:sz w:val="20"/>
                <w:szCs w:val="20"/>
              </w:rPr>
              <w:t>have</w:t>
            </w:r>
            <w:r w:rsidRPr="00DB5177">
              <w:rPr>
                <w:rFonts w:cs="Arial"/>
                <w:sz w:val="20"/>
                <w:szCs w:val="20"/>
              </w:rPr>
              <w:t xml:space="preserve"> carr</w:t>
            </w:r>
            <w:r w:rsidR="0084109B" w:rsidRPr="00DB5177">
              <w:rPr>
                <w:rFonts w:cs="Arial"/>
                <w:sz w:val="20"/>
                <w:szCs w:val="20"/>
              </w:rPr>
              <w:t>ied</w:t>
            </w:r>
            <w:r w:rsidRPr="00DB5177">
              <w:rPr>
                <w:rFonts w:cs="Arial"/>
                <w:sz w:val="20"/>
                <w:szCs w:val="20"/>
              </w:rPr>
              <w:t xml:space="preserve"> out the following activities:</w:t>
            </w:r>
          </w:p>
          <w:p w14:paraId="3F46C28B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18A22E1B" w14:textId="77777777" w:rsidR="006C64D2" w:rsidRPr="00DB5177" w:rsidRDefault="006C64D2" w:rsidP="006C64D2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DB5177">
              <w:rPr>
                <w:rFonts w:cs="Arial"/>
                <w:b/>
                <w:bCs/>
                <w:sz w:val="20"/>
                <w:szCs w:val="20"/>
                <w:u w:val="single"/>
              </w:rPr>
              <w:t>AQ Backstop:</w:t>
            </w:r>
          </w:p>
          <w:p w14:paraId="20CF92F5" w14:textId="064A379E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A further AQ Backstop </w:t>
            </w:r>
            <w:r w:rsidR="0084109B" w:rsidRPr="00DB5177">
              <w:rPr>
                <w:rFonts w:cs="Arial"/>
                <w:sz w:val="20"/>
                <w:szCs w:val="20"/>
              </w:rPr>
              <w:t>has</w:t>
            </w:r>
            <w:r w:rsidRPr="00DB5177">
              <w:rPr>
                <w:rFonts w:cs="Arial"/>
                <w:sz w:val="20"/>
                <w:szCs w:val="20"/>
              </w:rPr>
              <w:t xml:space="preserve"> be</w:t>
            </w:r>
            <w:r w:rsidR="0084109B" w:rsidRPr="00DB5177">
              <w:rPr>
                <w:rFonts w:cs="Arial"/>
                <w:sz w:val="20"/>
                <w:szCs w:val="20"/>
              </w:rPr>
              <w:t>en</w:t>
            </w:r>
            <w:r w:rsidRPr="00DB5177">
              <w:rPr>
                <w:rFonts w:cs="Arial"/>
                <w:sz w:val="20"/>
                <w:szCs w:val="20"/>
              </w:rPr>
              <w:t xml:space="preserve"> set within UK Link with an effective date of 01/07/2022. This will prevent any potentially overstated consumption, recorded whilst within the demonstration, from being used to calculate any future AQs. Only reads submitted post 01/07/2022 will be used in the rolling AQ Calculation moving forward for these SMPs. </w:t>
            </w:r>
          </w:p>
          <w:p w14:paraId="56458FFA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45B154E5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>For completeness, an AQ Backstop prevents an AQ from being calculated at a SMP for a minimum of 9 months.</w:t>
            </w:r>
          </w:p>
          <w:p w14:paraId="3F129E52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4850946B" w14:textId="021BC4F3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>Please note, Shippers should, for these SMPs, continue to submit reads to the CDSP as per UNC obligations.</w:t>
            </w:r>
          </w:p>
          <w:p w14:paraId="6E670989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01E5D0F2" w14:textId="77777777" w:rsidR="006C64D2" w:rsidRPr="00DB5177" w:rsidRDefault="006C64D2" w:rsidP="006C64D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B5177">
              <w:rPr>
                <w:rFonts w:cs="Arial"/>
                <w:b/>
                <w:sz w:val="20"/>
                <w:szCs w:val="20"/>
                <w:u w:val="single"/>
              </w:rPr>
              <w:t xml:space="preserve">Network Innovation </w:t>
            </w:r>
            <w:r w:rsidRPr="00DB5177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Flag </w:t>
            </w:r>
          </w:p>
          <w:p w14:paraId="688D9746" w14:textId="7C307334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For the Network Innovation Flag, the Project details have </w:t>
            </w:r>
            <w:r w:rsidR="00FC4EDF" w:rsidRPr="00DB5177">
              <w:rPr>
                <w:rFonts w:cs="Arial"/>
                <w:sz w:val="20"/>
                <w:szCs w:val="20"/>
              </w:rPr>
              <w:t xml:space="preserve">had </w:t>
            </w:r>
            <w:r w:rsidRPr="00DB5177">
              <w:rPr>
                <w:rFonts w:cs="Arial"/>
                <w:sz w:val="20"/>
                <w:szCs w:val="20"/>
              </w:rPr>
              <w:t>the Network End Date set to 30/06/2022. This is to allow system users to identify that the demonstration has ended.</w:t>
            </w:r>
          </w:p>
          <w:p w14:paraId="1AF13D96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33D47637" w14:textId="7FCA1252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For awareness the full project details </w:t>
            </w:r>
            <w:r w:rsidR="00FC4EDF" w:rsidRPr="00DB5177">
              <w:rPr>
                <w:rFonts w:cs="Arial"/>
                <w:sz w:val="20"/>
                <w:szCs w:val="20"/>
              </w:rPr>
              <w:t>are</w:t>
            </w:r>
            <w:r w:rsidRPr="00DB5177">
              <w:rPr>
                <w:rFonts w:cs="Arial"/>
                <w:sz w:val="20"/>
                <w:szCs w:val="20"/>
              </w:rPr>
              <w:t xml:space="preserve"> available and shown as:</w:t>
            </w:r>
          </w:p>
          <w:p w14:paraId="78C7E3D5" w14:textId="77777777" w:rsidR="006C64D2" w:rsidRPr="00DB5177" w:rsidRDefault="006C64D2" w:rsidP="006C64D2">
            <w:pPr>
              <w:pStyle w:val="ListParagraph"/>
              <w:numPr>
                <w:ilvl w:val="1"/>
                <w:numId w:val="4"/>
              </w:numPr>
              <w:spacing w:after="92" w:line="216" w:lineRule="auto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DB5177">
              <w:rPr>
                <w:rFonts w:eastAsiaTheme="minorHAnsi" w:cs="Arial"/>
                <w:sz w:val="20"/>
                <w:szCs w:val="20"/>
                <w:lang w:val="en-US"/>
              </w:rPr>
              <w:t xml:space="preserve">Network Project Name: </w:t>
            </w:r>
            <w:r w:rsidRPr="00DB5177">
              <w:rPr>
                <w:rFonts w:eastAsiaTheme="minorHAnsi" w:cs="Arial"/>
                <w:b/>
                <w:sz w:val="20"/>
                <w:szCs w:val="20"/>
                <w:lang w:val="en-US"/>
              </w:rPr>
              <w:t>NGN 20% H2 BLEND WINLATON</w:t>
            </w:r>
          </w:p>
          <w:p w14:paraId="277C6A00" w14:textId="77777777" w:rsidR="006C64D2" w:rsidRPr="00DB5177" w:rsidRDefault="006C64D2" w:rsidP="006C64D2">
            <w:pPr>
              <w:pStyle w:val="ListParagraph"/>
              <w:numPr>
                <w:ilvl w:val="1"/>
                <w:numId w:val="4"/>
              </w:numPr>
              <w:spacing w:after="92" w:line="216" w:lineRule="auto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DB5177">
              <w:rPr>
                <w:rFonts w:eastAsiaTheme="minorHAnsi" w:cs="Arial"/>
                <w:sz w:val="20"/>
                <w:szCs w:val="20"/>
                <w:lang w:val="en-US"/>
              </w:rPr>
              <w:t xml:space="preserve">Network Indicator: </w:t>
            </w:r>
            <w:r w:rsidRPr="00DB5177">
              <w:rPr>
                <w:rFonts w:eastAsiaTheme="minorHAnsi" w:cs="Arial"/>
                <w:b/>
                <w:sz w:val="20"/>
                <w:szCs w:val="20"/>
                <w:lang w:val="en-US"/>
              </w:rPr>
              <w:t>HYDEP2NGN</w:t>
            </w:r>
          </w:p>
          <w:p w14:paraId="6AFB5325" w14:textId="77777777" w:rsidR="006C64D2" w:rsidRPr="00DB5177" w:rsidRDefault="006C64D2" w:rsidP="006C64D2">
            <w:pPr>
              <w:pStyle w:val="ListParagraph"/>
              <w:numPr>
                <w:ilvl w:val="1"/>
                <w:numId w:val="4"/>
              </w:numPr>
              <w:spacing w:after="92" w:line="216" w:lineRule="auto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DB5177">
              <w:rPr>
                <w:rFonts w:eastAsiaTheme="minorHAnsi" w:cs="Arial"/>
                <w:sz w:val="20"/>
                <w:szCs w:val="20"/>
                <w:lang w:val="en-US"/>
              </w:rPr>
              <w:t xml:space="preserve">Network Start Date: </w:t>
            </w:r>
            <w:r w:rsidRPr="00DB5177">
              <w:rPr>
                <w:rFonts w:eastAsiaTheme="minorHAnsi" w:cs="Arial"/>
                <w:b/>
                <w:sz w:val="20"/>
                <w:szCs w:val="20"/>
                <w:lang w:val="en-US"/>
              </w:rPr>
              <w:t>13/08/</w:t>
            </w:r>
            <w:r w:rsidRPr="00DB5177">
              <w:rPr>
                <w:rFonts w:eastAsiaTheme="minorHAnsi" w:cs="Arial"/>
                <w:b/>
                <w:bCs/>
                <w:sz w:val="20"/>
                <w:szCs w:val="20"/>
                <w:lang w:val="en-US"/>
              </w:rPr>
              <w:t>2021</w:t>
            </w:r>
          </w:p>
          <w:p w14:paraId="46B1A7C7" w14:textId="77777777" w:rsidR="006C64D2" w:rsidRPr="00DB5177" w:rsidRDefault="006C64D2" w:rsidP="006C64D2">
            <w:pPr>
              <w:pStyle w:val="ListParagraph"/>
              <w:numPr>
                <w:ilvl w:val="1"/>
                <w:numId w:val="4"/>
              </w:numPr>
              <w:spacing w:after="92" w:line="216" w:lineRule="auto"/>
              <w:rPr>
                <w:rFonts w:cs="Arial"/>
                <w:sz w:val="20"/>
                <w:szCs w:val="20"/>
              </w:rPr>
            </w:pPr>
            <w:r w:rsidRPr="00DB5177">
              <w:rPr>
                <w:rFonts w:eastAsiaTheme="minorHAnsi" w:cs="Arial"/>
                <w:sz w:val="20"/>
                <w:szCs w:val="20"/>
                <w:lang w:val="en-US"/>
              </w:rPr>
              <w:t xml:space="preserve">Network End Date: </w:t>
            </w:r>
            <w:r w:rsidRPr="00DB5177">
              <w:rPr>
                <w:rFonts w:eastAsiaTheme="minorHAnsi" w:cs="Arial"/>
                <w:b/>
                <w:sz w:val="20"/>
                <w:szCs w:val="20"/>
                <w:lang w:val="en-US"/>
              </w:rPr>
              <w:t>30/06/</w:t>
            </w:r>
            <w:r w:rsidRPr="00DB5177">
              <w:rPr>
                <w:rFonts w:eastAsiaTheme="minorHAnsi" w:cs="Arial"/>
                <w:b/>
                <w:bCs/>
                <w:sz w:val="20"/>
                <w:szCs w:val="20"/>
                <w:lang w:val="en-US"/>
              </w:rPr>
              <w:t>2022</w:t>
            </w:r>
          </w:p>
          <w:p w14:paraId="147C6706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03890735" w14:textId="77777777" w:rsidR="006C64D2" w:rsidRPr="00DB5177" w:rsidRDefault="006C64D2" w:rsidP="006C64D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B5177">
              <w:rPr>
                <w:rFonts w:cs="Arial"/>
                <w:b/>
                <w:sz w:val="20"/>
                <w:szCs w:val="20"/>
                <w:u w:val="single"/>
              </w:rPr>
              <w:t xml:space="preserve">Xoserve Website </w:t>
            </w:r>
          </w:p>
          <w:p w14:paraId="3AE62E4F" w14:textId="4F41B7E0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The HyDeploy page, </w:t>
            </w:r>
            <w:hyperlink r:id="rId13" w:history="1">
              <w:r w:rsidRPr="00DB5177">
                <w:rPr>
                  <w:rStyle w:val="Hyperlink"/>
                  <w:rFonts w:cs="Arial"/>
                  <w:sz w:val="20"/>
                  <w:szCs w:val="20"/>
                </w:rPr>
                <w:t>Hydeploy Project</w:t>
              </w:r>
            </w:hyperlink>
            <w:r w:rsidRPr="00DB5177">
              <w:rPr>
                <w:rFonts w:cs="Arial"/>
                <w:sz w:val="20"/>
                <w:szCs w:val="20"/>
              </w:rPr>
              <w:t xml:space="preserve">, on Xoserve.com </w:t>
            </w:r>
            <w:r w:rsidR="006D6971" w:rsidRPr="00DB5177">
              <w:rPr>
                <w:rFonts w:cs="Arial"/>
                <w:sz w:val="20"/>
                <w:szCs w:val="20"/>
              </w:rPr>
              <w:t>has</w:t>
            </w:r>
            <w:r w:rsidRPr="00DB5177">
              <w:rPr>
                <w:rFonts w:cs="Arial"/>
                <w:sz w:val="20"/>
                <w:szCs w:val="20"/>
              </w:rPr>
              <w:t xml:space="preserve"> be</w:t>
            </w:r>
            <w:r w:rsidR="006D6971" w:rsidRPr="00DB5177">
              <w:rPr>
                <w:rFonts w:cs="Arial"/>
                <w:sz w:val="20"/>
                <w:szCs w:val="20"/>
              </w:rPr>
              <w:t>en</w:t>
            </w:r>
            <w:r w:rsidRPr="00DB5177">
              <w:rPr>
                <w:rFonts w:cs="Arial"/>
                <w:sz w:val="20"/>
                <w:szCs w:val="20"/>
              </w:rPr>
              <w:t xml:space="preserve"> updated to reflect that this demonstration has now concluded.</w:t>
            </w:r>
          </w:p>
          <w:p w14:paraId="2B8B4D10" w14:textId="77777777" w:rsidR="006C64D2" w:rsidRPr="00DB5177" w:rsidRDefault="006C64D2" w:rsidP="006C64D2">
            <w:pPr>
              <w:rPr>
                <w:rFonts w:cs="Arial"/>
                <w:sz w:val="20"/>
                <w:szCs w:val="20"/>
                <w:u w:val="single"/>
              </w:rPr>
            </w:pPr>
          </w:p>
          <w:p w14:paraId="1A1839C7" w14:textId="77777777" w:rsidR="006C64D2" w:rsidRPr="00DB5177" w:rsidRDefault="006C64D2" w:rsidP="006C64D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B5177">
              <w:rPr>
                <w:rFonts w:cs="Arial"/>
                <w:b/>
                <w:sz w:val="20"/>
                <w:szCs w:val="20"/>
                <w:u w:val="single"/>
              </w:rPr>
              <w:t>Voluntary Consumer Payments (Invoicing)</w:t>
            </w:r>
          </w:p>
          <w:p w14:paraId="2E6D4E67" w14:textId="20EDF856" w:rsidR="006C64D2" w:rsidRPr="00DB5177" w:rsidRDefault="00FA48DF" w:rsidP="006C64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A process was established for HyDeploy2 </w:t>
            </w:r>
            <w:r w:rsidR="004F783B">
              <w:rPr>
                <w:rFonts w:cs="Arial"/>
                <w:sz w:val="20"/>
                <w:szCs w:val="20"/>
              </w:rPr>
              <w:t xml:space="preserve">demonstration </w:t>
            </w:r>
            <w:r>
              <w:rPr>
                <w:rFonts w:cs="Arial"/>
                <w:sz w:val="20"/>
                <w:szCs w:val="20"/>
              </w:rPr>
              <w:t xml:space="preserve">to ensure </w:t>
            </w:r>
            <w:r w:rsidR="006C64D2" w:rsidRPr="00DB5177">
              <w:rPr>
                <w:rFonts w:cs="Arial"/>
                <w:sz w:val="20"/>
                <w:szCs w:val="20"/>
              </w:rPr>
              <w:t xml:space="preserve">Voluntary Consumer Payments (VCP) </w:t>
            </w:r>
            <w:r>
              <w:rPr>
                <w:rFonts w:cs="Arial"/>
                <w:sz w:val="20"/>
                <w:szCs w:val="20"/>
              </w:rPr>
              <w:t xml:space="preserve">were </w:t>
            </w:r>
            <w:r w:rsidR="004F783B">
              <w:rPr>
                <w:rFonts w:cs="Arial"/>
                <w:sz w:val="20"/>
                <w:szCs w:val="20"/>
              </w:rPr>
              <w:t xml:space="preserve">supplied to Shippers (for onward transfer to Suppliers and end consumers) </w:t>
            </w:r>
            <w:r w:rsidR="007319EA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actioned </w:t>
            </w:r>
            <w:r w:rsidR="006C64D2" w:rsidRPr="00DB5177">
              <w:rPr>
                <w:rFonts w:cs="Arial"/>
                <w:sz w:val="20"/>
                <w:szCs w:val="20"/>
              </w:rPr>
              <w:t>via</w:t>
            </w:r>
            <w:r w:rsidR="00385CC8">
              <w:rPr>
                <w:rFonts w:cs="Arial"/>
                <w:sz w:val="20"/>
                <w:szCs w:val="20"/>
              </w:rPr>
              <w:t xml:space="preserve"> </w:t>
            </w:r>
            <w:r w:rsidR="007319EA">
              <w:rPr>
                <w:rFonts w:cs="Arial"/>
                <w:sz w:val="20"/>
                <w:szCs w:val="20"/>
              </w:rPr>
              <w:t xml:space="preserve">the Request to Bill (RTB) </w:t>
            </w:r>
            <w:r w:rsidR="006C64D2" w:rsidRPr="00DB5177">
              <w:rPr>
                <w:rFonts w:cs="Arial"/>
                <w:sz w:val="20"/>
                <w:szCs w:val="20"/>
              </w:rPr>
              <w:t xml:space="preserve">invoice process) </w:t>
            </w:r>
            <w:r w:rsidR="004F783B">
              <w:rPr>
                <w:rFonts w:cs="Arial"/>
                <w:sz w:val="20"/>
                <w:szCs w:val="20"/>
              </w:rPr>
              <w:t>– following the completion of HyDeploy 2 demonstration this process has now concluded</w:t>
            </w:r>
            <w:r w:rsidR="006C64D2" w:rsidRPr="00DB5177">
              <w:rPr>
                <w:rFonts w:cs="Arial"/>
                <w:sz w:val="20"/>
                <w:szCs w:val="20"/>
              </w:rPr>
              <w:t>.</w:t>
            </w:r>
          </w:p>
          <w:p w14:paraId="3265875B" w14:textId="77777777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</w:p>
          <w:p w14:paraId="7C0681E6" w14:textId="62A52841" w:rsidR="006C64D2" w:rsidRPr="00DB5177" w:rsidRDefault="006C64D2" w:rsidP="006C64D2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>Please note that the last VCP invoice was issued to Shippers at the beginning of June 2022. There will be no further payments made to Shippers in relation to th</w:t>
            </w:r>
            <w:r w:rsidR="007916D7" w:rsidRPr="00DB5177">
              <w:rPr>
                <w:rFonts w:cs="Arial"/>
                <w:sz w:val="20"/>
                <w:szCs w:val="20"/>
              </w:rPr>
              <w:t>e</w:t>
            </w:r>
            <w:r w:rsidRPr="00DB5177">
              <w:rPr>
                <w:rFonts w:cs="Arial"/>
                <w:sz w:val="20"/>
                <w:szCs w:val="20"/>
              </w:rPr>
              <w:t xml:space="preserve"> second phase demonstration.</w:t>
            </w:r>
          </w:p>
          <w:p w14:paraId="4D1126BA" w14:textId="77777777" w:rsidR="00816E9E" w:rsidRPr="00DB5177" w:rsidRDefault="00816E9E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  <w:p w14:paraId="646B8C30" w14:textId="372622C8" w:rsidR="00630E49" w:rsidRPr="00DB5177" w:rsidRDefault="00630E49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EA73B3" w:rsidRPr="00DB5177" w14:paraId="0C90DDA4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DB5177" w14:paraId="45233572" w14:textId="77777777" w:rsidTr="00946CF9">
        <w:trPr>
          <w:trHeight w:val="9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B070E8" w14:textId="77777777" w:rsidR="00271B97" w:rsidRDefault="00271B97" w:rsidP="00EA73B3">
            <w:pPr>
              <w:contextualSpacing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  <w:p w14:paraId="1672974D" w14:textId="64BD16E2" w:rsidR="00FB26BC" w:rsidRPr="000D1D05" w:rsidRDefault="00FB26BC" w:rsidP="00EA73B3">
            <w:pPr>
              <w:contextualSpacing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0D1D05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There was no funding required for this change. All activities were carried out by </w:t>
            </w:r>
            <w:r w:rsidR="000D1D05" w:rsidRPr="000D1D05">
              <w:rPr>
                <w:rFonts w:eastAsia="Times New Roman" w:cs="Arial"/>
                <w:bCs/>
                <w:iCs/>
                <w:sz w:val="20"/>
                <w:szCs w:val="20"/>
              </w:rPr>
              <w:t>the CDSP as part of their BAU activities</w:t>
            </w:r>
            <w:r w:rsidR="005A5FBB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, utilising </w:t>
            </w:r>
            <w:r w:rsidR="0076104B">
              <w:rPr>
                <w:rFonts w:eastAsia="Times New Roman" w:cs="Arial"/>
                <w:bCs/>
                <w:iCs/>
                <w:sz w:val="20"/>
                <w:szCs w:val="20"/>
              </w:rPr>
              <w:t>Decarbonisation</w:t>
            </w:r>
            <w:r w:rsidR="0017221E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investment funded </w:t>
            </w:r>
            <w:r w:rsidR="005A5FBB">
              <w:rPr>
                <w:rFonts w:eastAsia="Times New Roman" w:cs="Arial"/>
                <w:bCs/>
                <w:iCs/>
                <w:sz w:val="20"/>
                <w:szCs w:val="20"/>
              </w:rPr>
              <w:t>resource</w:t>
            </w:r>
            <w:r w:rsidR="0034167F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in conjunction with relevant Business Operations and Technical support BAU resource</w:t>
            </w:r>
            <w:r w:rsidR="000D1D05" w:rsidRPr="000D1D05">
              <w:rPr>
                <w:rFonts w:eastAsia="Times New Roman" w:cs="Arial"/>
                <w:bCs/>
                <w:iCs/>
                <w:sz w:val="20"/>
                <w:szCs w:val="20"/>
              </w:rPr>
              <w:t>.</w:t>
            </w:r>
          </w:p>
        </w:tc>
      </w:tr>
      <w:tr w:rsidR="00EA73B3" w:rsidRPr="00DB5177" w14:paraId="3A67F60A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Provide a summary of any agreed scope changes</w:t>
            </w:r>
          </w:p>
        </w:tc>
      </w:tr>
      <w:tr w:rsidR="00EA73B3" w:rsidRPr="00DB5177" w14:paraId="373C6975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3F8B0" w14:textId="77777777" w:rsidR="00BD49F3" w:rsidRPr="00DB5177" w:rsidRDefault="00DB5177" w:rsidP="00DB51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n/a</w:t>
            </w:r>
          </w:p>
          <w:p w14:paraId="4156BA78" w14:textId="56B3D876" w:rsidR="00DB5177" w:rsidRPr="00DB5177" w:rsidRDefault="00DB5177" w:rsidP="00DB51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DB5177" w14:paraId="44DCE113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DB5177" w14:paraId="7B78493D" w14:textId="77777777" w:rsidTr="00F352D7">
        <w:tc>
          <w:tcPr>
            <w:tcW w:w="5000" w:type="pct"/>
            <w:gridSpan w:val="2"/>
            <w:shd w:val="clear" w:color="auto" w:fill="auto"/>
          </w:tcPr>
          <w:p w14:paraId="277304A5" w14:textId="2067872B" w:rsidR="009522FE" w:rsidRPr="00DB5177" w:rsidRDefault="001824C1" w:rsidP="00195A39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DB5177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  <w:p w14:paraId="46992048" w14:textId="42106D9D" w:rsidR="00BD49F3" w:rsidRPr="00DB5177" w:rsidRDefault="00BD49F3" w:rsidP="00195A3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A73B3" w:rsidRPr="00DB5177" w14:paraId="6EF7276F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DB5177" w14:paraId="083A4EDD" w14:textId="77777777" w:rsidTr="00F352D7">
        <w:tc>
          <w:tcPr>
            <w:tcW w:w="5000" w:type="pct"/>
            <w:gridSpan w:val="2"/>
            <w:shd w:val="clear" w:color="auto" w:fill="auto"/>
          </w:tcPr>
          <w:p w14:paraId="1DD2DFE4" w14:textId="113F8676" w:rsidR="00617EF6" w:rsidRPr="00DB5177" w:rsidRDefault="001824C1" w:rsidP="0A57A144">
            <w:pPr>
              <w:spacing w:line="276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r w:rsidRPr="00DB5177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  <w:p w14:paraId="1AB0B5C7" w14:textId="4EBC032E" w:rsidR="00617EF6" w:rsidRPr="00DB5177" w:rsidRDefault="00617EF6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EA73B3" w:rsidRPr="00DB5177" w14:paraId="7D853ABD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Lessons Learnt</w:t>
            </w:r>
          </w:p>
        </w:tc>
      </w:tr>
      <w:tr w:rsidR="00EA73B3" w:rsidRPr="00DB5177" w14:paraId="495C3462" w14:textId="77777777" w:rsidTr="00F352D7">
        <w:tc>
          <w:tcPr>
            <w:tcW w:w="5000" w:type="pct"/>
            <w:gridSpan w:val="2"/>
            <w:shd w:val="clear" w:color="auto" w:fill="auto"/>
          </w:tcPr>
          <w:p w14:paraId="7B2B5B58" w14:textId="7D0AA507" w:rsidR="00EA73B3" w:rsidRPr="00DB5177" w:rsidRDefault="001824C1" w:rsidP="0A57A144">
            <w:pPr>
              <w:spacing w:after="200" w:line="276" w:lineRule="auto"/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768B31D0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4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03" w:type="pct"/>
        <w:tblInd w:w="-5" w:type="dxa"/>
        <w:tblLook w:val="04A0" w:firstRow="1" w:lastRow="0" w:firstColumn="1" w:lastColumn="0" w:noHBand="0" w:noVBand="1"/>
      </w:tblPr>
      <w:tblGrid>
        <w:gridCol w:w="1316"/>
        <w:gridCol w:w="1635"/>
        <w:gridCol w:w="1217"/>
        <w:gridCol w:w="1490"/>
        <w:gridCol w:w="4265"/>
      </w:tblGrid>
      <w:tr w:rsidR="00EA73B3" w:rsidRPr="00EA73B3" w14:paraId="3208E80C" w14:textId="77777777" w:rsidTr="008348A9">
        <w:trPr>
          <w:trHeight w:val="611"/>
        </w:trPr>
        <w:tc>
          <w:tcPr>
            <w:tcW w:w="677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8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7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5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2163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08348A9">
        <w:tc>
          <w:tcPr>
            <w:tcW w:w="677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8" w:type="pct"/>
          </w:tcPr>
          <w:p w14:paraId="0DB8F594" w14:textId="6C0F553B" w:rsidR="00EA73B3" w:rsidRPr="00EA73B3" w:rsidRDefault="001824C1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0BB1E953" w14:textId="26BCFCB5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18/08/2022</w:t>
            </w:r>
          </w:p>
        </w:tc>
        <w:tc>
          <w:tcPr>
            <w:tcW w:w="765" w:type="pct"/>
          </w:tcPr>
          <w:p w14:paraId="4350D9F9" w14:textId="70DFE867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2163" w:type="pct"/>
          </w:tcPr>
          <w:p w14:paraId="0FC70C39" w14:textId="73A9D67D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</w:tr>
      <w:tr w:rsidR="005E3E8C" w:rsidRPr="00EA73B3" w14:paraId="213E138B" w14:textId="77777777" w:rsidTr="008348A9">
        <w:tc>
          <w:tcPr>
            <w:tcW w:w="677" w:type="pct"/>
          </w:tcPr>
          <w:p w14:paraId="4C979993" w14:textId="7C4E7FDD" w:rsidR="005E3E8C" w:rsidRPr="0A57A144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8" w:type="pct"/>
          </w:tcPr>
          <w:p w14:paraId="6EEB8659" w14:textId="32D83358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5C8DFE64" w14:textId="4D92D7C8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23/08/2022</w:t>
            </w:r>
          </w:p>
        </w:tc>
        <w:tc>
          <w:tcPr>
            <w:tcW w:w="765" w:type="pct"/>
          </w:tcPr>
          <w:p w14:paraId="4E65181F" w14:textId="24081CC6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  <w:tc>
          <w:tcPr>
            <w:tcW w:w="2163" w:type="pct"/>
          </w:tcPr>
          <w:p w14:paraId="175B3648" w14:textId="26EFC1F7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</w:tr>
      <w:tr w:rsidR="00E37B9D" w:rsidRPr="00EA73B3" w14:paraId="25C10241" w14:textId="77777777" w:rsidTr="008348A9">
        <w:tc>
          <w:tcPr>
            <w:tcW w:w="677" w:type="pct"/>
          </w:tcPr>
          <w:p w14:paraId="2AC3AE75" w14:textId="40B88108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8" w:type="pct"/>
          </w:tcPr>
          <w:p w14:paraId="30087B33" w14:textId="619CDB6E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7" w:type="pct"/>
          </w:tcPr>
          <w:p w14:paraId="506B22F3" w14:textId="5CAF48A0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25/08/2022</w:t>
            </w:r>
          </w:p>
        </w:tc>
        <w:tc>
          <w:tcPr>
            <w:tcW w:w="765" w:type="pct"/>
          </w:tcPr>
          <w:p w14:paraId="3928B2CC" w14:textId="46BB6F30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  <w:tc>
          <w:tcPr>
            <w:tcW w:w="2163" w:type="pct"/>
          </w:tcPr>
          <w:p w14:paraId="696012E0" w14:textId="46016C6E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changes accepted – version Approved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0AB4" w14:textId="77777777" w:rsidR="00E8740C" w:rsidRDefault="00E8740C" w:rsidP="00324744">
      <w:pPr>
        <w:spacing w:after="0" w:line="240" w:lineRule="auto"/>
      </w:pPr>
      <w:r>
        <w:separator/>
      </w:r>
    </w:p>
  </w:endnote>
  <w:endnote w:type="continuationSeparator" w:id="0">
    <w:p w14:paraId="5E4390A5" w14:textId="77777777" w:rsidR="00E8740C" w:rsidRDefault="00E8740C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C03E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6F3A" w14:textId="77777777" w:rsidR="00E8740C" w:rsidRDefault="00E8740C" w:rsidP="00324744">
      <w:pPr>
        <w:spacing w:after="0" w:line="240" w:lineRule="auto"/>
      </w:pPr>
      <w:r>
        <w:separator/>
      </w:r>
    </w:p>
  </w:footnote>
  <w:footnote w:type="continuationSeparator" w:id="0">
    <w:p w14:paraId="73CF65C2" w14:textId="77777777" w:rsidR="00E8740C" w:rsidRDefault="00E8740C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51EC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D0C"/>
    <w:multiLevelType w:val="hybridMultilevel"/>
    <w:tmpl w:val="B00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67A"/>
    <w:multiLevelType w:val="hybridMultilevel"/>
    <w:tmpl w:val="C7B4F798"/>
    <w:lvl w:ilvl="0" w:tplc="1A14D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7158F"/>
    <w:multiLevelType w:val="hybridMultilevel"/>
    <w:tmpl w:val="775EC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510F"/>
    <w:rsid w:val="000166B3"/>
    <w:rsid w:val="000179CB"/>
    <w:rsid w:val="00032353"/>
    <w:rsid w:val="0003282C"/>
    <w:rsid w:val="00037DF7"/>
    <w:rsid w:val="000424E0"/>
    <w:rsid w:val="000948BD"/>
    <w:rsid w:val="000A1AD1"/>
    <w:rsid w:val="000B6719"/>
    <w:rsid w:val="000D1D05"/>
    <w:rsid w:val="00114C7C"/>
    <w:rsid w:val="00117629"/>
    <w:rsid w:val="00122631"/>
    <w:rsid w:val="0012414B"/>
    <w:rsid w:val="00125B61"/>
    <w:rsid w:val="001403B8"/>
    <w:rsid w:val="001413CA"/>
    <w:rsid w:val="00144E00"/>
    <w:rsid w:val="001542E0"/>
    <w:rsid w:val="00156FF5"/>
    <w:rsid w:val="0017221E"/>
    <w:rsid w:val="00176503"/>
    <w:rsid w:val="001824C1"/>
    <w:rsid w:val="00195A39"/>
    <w:rsid w:val="001A05AE"/>
    <w:rsid w:val="001A1C12"/>
    <w:rsid w:val="001B06A9"/>
    <w:rsid w:val="001C148F"/>
    <w:rsid w:val="001C2268"/>
    <w:rsid w:val="00225144"/>
    <w:rsid w:val="00226D34"/>
    <w:rsid w:val="002508DC"/>
    <w:rsid w:val="00271B97"/>
    <w:rsid w:val="00290C87"/>
    <w:rsid w:val="0029122F"/>
    <w:rsid w:val="002A63DC"/>
    <w:rsid w:val="002C0324"/>
    <w:rsid w:val="002C4C64"/>
    <w:rsid w:val="002C6DE1"/>
    <w:rsid w:val="002D0EC7"/>
    <w:rsid w:val="00306626"/>
    <w:rsid w:val="00324744"/>
    <w:rsid w:val="00332F16"/>
    <w:rsid w:val="0034167F"/>
    <w:rsid w:val="00346EBF"/>
    <w:rsid w:val="0035590D"/>
    <w:rsid w:val="00377416"/>
    <w:rsid w:val="00385CC8"/>
    <w:rsid w:val="0038629F"/>
    <w:rsid w:val="00396B92"/>
    <w:rsid w:val="00396E33"/>
    <w:rsid w:val="003E1C91"/>
    <w:rsid w:val="00406579"/>
    <w:rsid w:val="00417CF6"/>
    <w:rsid w:val="0042622B"/>
    <w:rsid w:val="00426807"/>
    <w:rsid w:val="00457EF4"/>
    <w:rsid w:val="00463316"/>
    <w:rsid w:val="004759B7"/>
    <w:rsid w:val="00491022"/>
    <w:rsid w:val="004914C9"/>
    <w:rsid w:val="004A5083"/>
    <w:rsid w:val="004A7D5D"/>
    <w:rsid w:val="004A7E66"/>
    <w:rsid w:val="004C48B4"/>
    <w:rsid w:val="004E1888"/>
    <w:rsid w:val="004F1212"/>
    <w:rsid w:val="004F3362"/>
    <w:rsid w:val="004F783B"/>
    <w:rsid w:val="00517F6F"/>
    <w:rsid w:val="00536B09"/>
    <w:rsid w:val="00537100"/>
    <w:rsid w:val="00546DA8"/>
    <w:rsid w:val="0055298E"/>
    <w:rsid w:val="00553C7A"/>
    <w:rsid w:val="00564F15"/>
    <w:rsid w:val="005755F3"/>
    <w:rsid w:val="00581EDD"/>
    <w:rsid w:val="005A550E"/>
    <w:rsid w:val="005A5FBB"/>
    <w:rsid w:val="005C1653"/>
    <w:rsid w:val="005C52A8"/>
    <w:rsid w:val="005D3E5D"/>
    <w:rsid w:val="005D4D27"/>
    <w:rsid w:val="005D51E0"/>
    <w:rsid w:val="005E3E8C"/>
    <w:rsid w:val="00601B94"/>
    <w:rsid w:val="00617EF6"/>
    <w:rsid w:val="00624ECD"/>
    <w:rsid w:val="0062713F"/>
    <w:rsid w:val="00630E49"/>
    <w:rsid w:val="0063207C"/>
    <w:rsid w:val="00635862"/>
    <w:rsid w:val="006538B6"/>
    <w:rsid w:val="006862C7"/>
    <w:rsid w:val="00695375"/>
    <w:rsid w:val="00697D4B"/>
    <w:rsid w:val="006A15EA"/>
    <w:rsid w:val="006C64D2"/>
    <w:rsid w:val="006D6971"/>
    <w:rsid w:val="006F1CA7"/>
    <w:rsid w:val="00714B1C"/>
    <w:rsid w:val="00715F21"/>
    <w:rsid w:val="007243D3"/>
    <w:rsid w:val="007319EA"/>
    <w:rsid w:val="0076104B"/>
    <w:rsid w:val="00766B98"/>
    <w:rsid w:val="007916D7"/>
    <w:rsid w:val="007A56DB"/>
    <w:rsid w:val="007D4F26"/>
    <w:rsid w:val="007E7C5B"/>
    <w:rsid w:val="00805A32"/>
    <w:rsid w:val="008149B0"/>
    <w:rsid w:val="00816E9E"/>
    <w:rsid w:val="00817A62"/>
    <w:rsid w:val="008348A9"/>
    <w:rsid w:val="00836ED3"/>
    <w:rsid w:val="0084109B"/>
    <w:rsid w:val="0085359E"/>
    <w:rsid w:val="00875361"/>
    <w:rsid w:val="00883A01"/>
    <w:rsid w:val="008F0A1E"/>
    <w:rsid w:val="00923C81"/>
    <w:rsid w:val="009258C8"/>
    <w:rsid w:val="00927302"/>
    <w:rsid w:val="00946CF9"/>
    <w:rsid w:val="009522FE"/>
    <w:rsid w:val="009814B1"/>
    <w:rsid w:val="00997709"/>
    <w:rsid w:val="009B7862"/>
    <w:rsid w:val="009C2485"/>
    <w:rsid w:val="009C65C6"/>
    <w:rsid w:val="009D5938"/>
    <w:rsid w:val="009D7DC7"/>
    <w:rsid w:val="00A00FA8"/>
    <w:rsid w:val="00A101D9"/>
    <w:rsid w:val="00A12E5B"/>
    <w:rsid w:val="00A4184A"/>
    <w:rsid w:val="00AA6D00"/>
    <w:rsid w:val="00AB5B54"/>
    <w:rsid w:val="00AB63DE"/>
    <w:rsid w:val="00AE2095"/>
    <w:rsid w:val="00AF045D"/>
    <w:rsid w:val="00AF0B1F"/>
    <w:rsid w:val="00B053D6"/>
    <w:rsid w:val="00B06FD6"/>
    <w:rsid w:val="00B55A37"/>
    <w:rsid w:val="00B8770C"/>
    <w:rsid w:val="00BD056D"/>
    <w:rsid w:val="00BD0A45"/>
    <w:rsid w:val="00BD49F3"/>
    <w:rsid w:val="00BF36D5"/>
    <w:rsid w:val="00BF4279"/>
    <w:rsid w:val="00C014B7"/>
    <w:rsid w:val="00C065DF"/>
    <w:rsid w:val="00C75346"/>
    <w:rsid w:val="00C812A2"/>
    <w:rsid w:val="00C873F0"/>
    <w:rsid w:val="00D00DB8"/>
    <w:rsid w:val="00D11D80"/>
    <w:rsid w:val="00D14517"/>
    <w:rsid w:val="00D42188"/>
    <w:rsid w:val="00D43255"/>
    <w:rsid w:val="00D55EEB"/>
    <w:rsid w:val="00D66C7E"/>
    <w:rsid w:val="00D71282"/>
    <w:rsid w:val="00D86195"/>
    <w:rsid w:val="00DB5177"/>
    <w:rsid w:val="00E074F2"/>
    <w:rsid w:val="00E22C10"/>
    <w:rsid w:val="00E23E32"/>
    <w:rsid w:val="00E37B9D"/>
    <w:rsid w:val="00E562DE"/>
    <w:rsid w:val="00E761A1"/>
    <w:rsid w:val="00E8740C"/>
    <w:rsid w:val="00EA26EB"/>
    <w:rsid w:val="00EA73B3"/>
    <w:rsid w:val="00EC34D7"/>
    <w:rsid w:val="00EC4204"/>
    <w:rsid w:val="00EF0C6F"/>
    <w:rsid w:val="00F07B1B"/>
    <w:rsid w:val="00F352D7"/>
    <w:rsid w:val="00F37C57"/>
    <w:rsid w:val="00F95876"/>
    <w:rsid w:val="00FA23B2"/>
    <w:rsid w:val="00FA48DF"/>
    <w:rsid w:val="00FB26BC"/>
    <w:rsid w:val="00FC4EDF"/>
    <w:rsid w:val="00FE04DF"/>
    <w:rsid w:val="00FE157A"/>
    <w:rsid w:val="00FF152A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1282"/>
  </w:style>
  <w:style w:type="character" w:customStyle="1" w:styleId="eop">
    <w:name w:val="eop"/>
    <w:basedOn w:val="DefaultParagraphFont"/>
    <w:rsid w:val="00D71282"/>
  </w:style>
  <w:style w:type="character" w:styleId="UnresolvedMention">
    <w:name w:val="Unresolved Mention"/>
    <w:basedOn w:val="DefaultParagraphFont"/>
    <w:uiPriority w:val="99"/>
    <w:semiHidden/>
    <w:unhideWhenUsed/>
    <w:rsid w:val="00D71282"/>
    <w:rPr>
      <w:color w:val="605E5C"/>
      <w:shd w:val="clear" w:color="auto" w:fill="E1DFDD"/>
    </w:r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rsid w:val="00C873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D27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oserve.com/decarbonisation/decarbonising-gas/hydeploy-projec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oserve.com/media/43370/xrn5515-hydeploy-close-dow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hadfield@correla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x.xoserve.portfoliooffice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D901-29C6-4DE6-8E51-952CAF3FB273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Paul Orsler</cp:lastModifiedBy>
  <cp:revision>5</cp:revision>
  <cp:lastPrinted>2022-04-13T16:10:00Z</cp:lastPrinted>
  <dcterms:created xsi:type="dcterms:W3CDTF">2022-08-25T13:04:00Z</dcterms:created>
  <dcterms:modified xsi:type="dcterms:W3CDTF">2022-08-26T10:35:00Z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