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1F34"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E1CD6"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5504A6">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112855B8" w:rsidR="007855B1" w:rsidRPr="00BC3CAC" w:rsidRDefault="00BE2EFD" w:rsidP="00FA3F4F">
            <w:pPr>
              <w:rPr>
                <w:rFonts w:cs="Arial"/>
              </w:rPr>
            </w:pPr>
            <w:r>
              <w:rPr>
                <w:rFonts w:cs="Arial"/>
              </w:rPr>
              <w:t>XRN</w:t>
            </w:r>
            <w:r w:rsidR="008F2612">
              <w:rPr>
                <w:rFonts w:cs="Arial"/>
              </w:rPr>
              <w:t xml:space="preserve"> </w:t>
            </w:r>
            <w:r w:rsidR="00B211AC">
              <w:rPr>
                <w:rFonts w:cs="Arial"/>
              </w:rPr>
              <w:t>5595</w:t>
            </w:r>
          </w:p>
        </w:tc>
      </w:tr>
      <w:tr w:rsidR="00ED342B" w:rsidRPr="00BC3CAC" w14:paraId="66C5F567" w14:textId="77777777" w:rsidTr="005504A6">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52F4CAC3" w:rsidR="00ED342B" w:rsidRPr="00BC3CAC" w:rsidRDefault="00277F06" w:rsidP="00ED342B">
            <w:pPr>
              <w:rPr>
                <w:rFonts w:cs="Arial"/>
              </w:rPr>
            </w:pPr>
            <w:r>
              <w:rPr>
                <w:rFonts w:cs="Arial"/>
              </w:rPr>
              <w:t>Changes to the REC Switching Operator Outage Notification Lead Time (R0055)</w:t>
            </w:r>
          </w:p>
        </w:tc>
      </w:tr>
      <w:tr w:rsidR="00ED342B" w:rsidRPr="00BC3CAC" w14:paraId="66C5F56A" w14:textId="77777777" w:rsidTr="005504A6">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03321C69" w:rsidR="6982D0D0" w:rsidRPr="00A830EB" w:rsidRDefault="00277F06">
            <w:pPr>
              <w:rPr>
                <w:rFonts w:cs="Arial"/>
              </w:rPr>
            </w:pPr>
            <w:r>
              <w:rPr>
                <w:rFonts w:cs="Arial"/>
              </w:rPr>
              <w:t>02/11/2022</w:t>
            </w:r>
          </w:p>
        </w:tc>
      </w:tr>
      <w:tr w:rsidR="008075EF" w:rsidRPr="00BC3CAC" w14:paraId="66C5F56E" w14:textId="77777777" w:rsidTr="00FF79AE">
        <w:trPr>
          <w:trHeight w:val="403"/>
        </w:trPr>
        <w:tc>
          <w:tcPr>
            <w:tcW w:w="1226" w:type="pct"/>
            <w:vMerge w:val="restart"/>
            <w:shd w:val="clear" w:color="auto" w:fill="FDE4BA" w:themeFill="accent6" w:themeFillTint="66"/>
            <w:vAlign w:val="center"/>
          </w:tcPr>
          <w:p w14:paraId="66C5F56B" w14:textId="77777777" w:rsidR="008075EF" w:rsidRDefault="008075EF" w:rsidP="008075EF">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8075EF" w:rsidRDefault="008075EF" w:rsidP="008075EF">
            <w:pPr>
              <w:jc w:val="right"/>
              <w:rPr>
                <w:rFonts w:cs="Arial"/>
              </w:rPr>
            </w:pPr>
            <w:r>
              <w:rPr>
                <w:rFonts w:cs="Arial"/>
              </w:rPr>
              <w:t>Organisation:</w:t>
            </w:r>
          </w:p>
        </w:tc>
        <w:tc>
          <w:tcPr>
            <w:tcW w:w="2868" w:type="pct"/>
            <w:gridSpan w:val="3"/>
            <w:vAlign w:val="center"/>
          </w:tcPr>
          <w:p w14:paraId="66C5F56D" w14:textId="17F28520" w:rsidR="008075EF" w:rsidRPr="00BC3CAC" w:rsidRDefault="008075EF" w:rsidP="008075EF">
            <w:pPr>
              <w:rPr>
                <w:rFonts w:cs="Arial"/>
              </w:rPr>
            </w:pPr>
            <w:r>
              <w:rPr>
                <w:rFonts w:cs="Arial"/>
              </w:rPr>
              <w:t>Xoserve</w:t>
            </w:r>
          </w:p>
        </w:tc>
      </w:tr>
      <w:tr w:rsidR="008075EF" w:rsidRPr="00BC3CAC" w14:paraId="66C5F572" w14:textId="77777777" w:rsidTr="00FF79AE">
        <w:trPr>
          <w:trHeight w:val="403"/>
        </w:trPr>
        <w:tc>
          <w:tcPr>
            <w:tcW w:w="1226" w:type="pct"/>
            <w:vMerge/>
            <w:vAlign w:val="center"/>
          </w:tcPr>
          <w:p w14:paraId="66C5F56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0" w14:textId="77777777" w:rsidR="008075EF" w:rsidRDefault="008075EF" w:rsidP="008075EF">
            <w:pPr>
              <w:jc w:val="right"/>
              <w:rPr>
                <w:rFonts w:cs="Arial"/>
              </w:rPr>
            </w:pPr>
            <w:r>
              <w:rPr>
                <w:rFonts w:cs="Arial"/>
              </w:rPr>
              <w:t>Name:</w:t>
            </w:r>
          </w:p>
        </w:tc>
        <w:tc>
          <w:tcPr>
            <w:tcW w:w="2868" w:type="pct"/>
            <w:gridSpan w:val="3"/>
            <w:vAlign w:val="center"/>
          </w:tcPr>
          <w:p w14:paraId="66C5F571" w14:textId="4DE9CDED" w:rsidR="008075EF" w:rsidRPr="00BC3CAC" w:rsidRDefault="008075EF" w:rsidP="008075EF">
            <w:pPr>
              <w:rPr>
                <w:rFonts w:cs="Arial"/>
              </w:rPr>
            </w:pPr>
            <w:r>
              <w:rPr>
                <w:rFonts w:cs="Arial"/>
              </w:rPr>
              <w:t>Sharon Dudley</w:t>
            </w:r>
          </w:p>
        </w:tc>
      </w:tr>
      <w:tr w:rsidR="008075EF" w:rsidRPr="00BC3CAC" w14:paraId="66C5F576" w14:textId="77777777" w:rsidTr="00FF79AE">
        <w:trPr>
          <w:trHeight w:val="403"/>
        </w:trPr>
        <w:tc>
          <w:tcPr>
            <w:tcW w:w="1226" w:type="pct"/>
            <w:vMerge/>
            <w:vAlign w:val="center"/>
          </w:tcPr>
          <w:p w14:paraId="66C5F57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4" w14:textId="77777777" w:rsidR="008075EF" w:rsidRDefault="008075EF" w:rsidP="008075EF">
            <w:pPr>
              <w:jc w:val="right"/>
              <w:rPr>
                <w:rFonts w:cs="Arial"/>
              </w:rPr>
            </w:pPr>
            <w:r>
              <w:rPr>
                <w:rFonts w:cs="Arial"/>
              </w:rPr>
              <w:t>Email:</w:t>
            </w:r>
          </w:p>
        </w:tc>
        <w:tc>
          <w:tcPr>
            <w:tcW w:w="2868" w:type="pct"/>
            <w:gridSpan w:val="3"/>
            <w:vAlign w:val="center"/>
          </w:tcPr>
          <w:p w14:paraId="66C5F575" w14:textId="1D8DEADF" w:rsidR="008075EF" w:rsidRPr="00BC3CAC" w:rsidRDefault="008075EF" w:rsidP="008075EF">
            <w:pPr>
              <w:rPr>
                <w:rFonts w:cs="Arial"/>
              </w:rPr>
            </w:pPr>
            <w:r>
              <w:rPr>
                <w:rFonts w:cs="Arial"/>
              </w:rPr>
              <w:t>Sharon.Dudley@xoserve.com</w:t>
            </w:r>
          </w:p>
        </w:tc>
      </w:tr>
      <w:tr w:rsidR="008075EF" w:rsidRPr="00BC3CAC" w14:paraId="66C5F57A" w14:textId="77777777" w:rsidTr="00FF79AE">
        <w:trPr>
          <w:trHeight w:val="403"/>
        </w:trPr>
        <w:tc>
          <w:tcPr>
            <w:tcW w:w="1226" w:type="pct"/>
            <w:vMerge/>
            <w:vAlign w:val="center"/>
          </w:tcPr>
          <w:p w14:paraId="66C5F577"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78" w14:textId="77777777" w:rsidR="008075EF" w:rsidRDefault="008075EF" w:rsidP="008075EF">
            <w:pPr>
              <w:jc w:val="right"/>
              <w:rPr>
                <w:rFonts w:cs="Arial"/>
              </w:rPr>
            </w:pPr>
            <w:r>
              <w:rPr>
                <w:rFonts w:cs="Arial"/>
              </w:rPr>
              <w:t>Telephone:</w:t>
            </w:r>
          </w:p>
        </w:tc>
        <w:tc>
          <w:tcPr>
            <w:tcW w:w="2868" w:type="pct"/>
            <w:gridSpan w:val="3"/>
            <w:vAlign w:val="center"/>
          </w:tcPr>
          <w:p w14:paraId="66C5F579" w14:textId="68782475" w:rsidR="008075EF" w:rsidRPr="00BC3CAC" w:rsidRDefault="008075EF" w:rsidP="008075EF">
            <w:pPr>
              <w:rPr>
                <w:rFonts w:cs="Arial"/>
              </w:rPr>
            </w:pPr>
            <w:r>
              <w:rPr>
                <w:rFonts w:cs="Arial"/>
              </w:rPr>
              <w:t>01212292769</w:t>
            </w:r>
          </w:p>
        </w:tc>
      </w:tr>
      <w:tr w:rsidR="008075EF" w:rsidRPr="00BC3CAC" w14:paraId="66C5F57E" w14:textId="77777777" w:rsidTr="00FF79AE">
        <w:trPr>
          <w:trHeight w:val="403"/>
        </w:trPr>
        <w:tc>
          <w:tcPr>
            <w:tcW w:w="1226" w:type="pct"/>
            <w:vMerge w:val="restart"/>
            <w:shd w:val="clear" w:color="auto" w:fill="FDE4BA" w:themeFill="accent6" w:themeFillTint="66"/>
            <w:vAlign w:val="center"/>
          </w:tcPr>
          <w:p w14:paraId="66C5F57B" w14:textId="77777777" w:rsidR="008075EF" w:rsidRDefault="008075EF" w:rsidP="008075EF">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8075EF" w:rsidRDefault="008075EF" w:rsidP="008075EF">
            <w:pPr>
              <w:jc w:val="right"/>
              <w:rPr>
                <w:rFonts w:cs="Arial"/>
              </w:rPr>
            </w:pPr>
            <w:r>
              <w:rPr>
                <w:rFonts w:cs="Arial"/>
              </w:rPr>
              <w:t>Name:</w:t>
            </w:r>
          </w:p>
        </w:tc>
        <w:tc>
          <w:tcPr>
            <w:tcW w:w="2868" w:type="pct"/>
            <w:gridSpan w:val="3"/>
            <w:vAlign w:val="center"/>
          </w:tcPr>
          <w:p w14:paraId="66C5F57D" w14:textId="641B863A" w:rsidR="008075EF" w:rsidRPr="00BC3CAC" w:rsidRDefault="008075EF" w:rsidP="008075EF">
            <w:pPr>
              <w:rPr>
                <w:rFonts w:cs="Arial"/>
              </w:rPr>
            </w:pPr>
            <w:r>
              <w:rPr>
                <w:rFonts w:cs="Arial"/>
              </w:rPr>
              <w:t>Simon Harris</w:t>
            </w:r>
          </w:p>
        </w:tc>
      </w:tr>
      <w:tr w:rsidR="008075EF" w:rsidRPr="00BC3CAC" w14:paraId="66C5F582" w14:textId="77777777" w:rsidTr="00FF79AE">
        <w:trPr>
          <w:trHeight w:val="403"/>
        </w:trPr>
        <w:tc>
          <w:tcPr>
            <w:tcW w:w="1226" w:type="pct"/>
            <w:vMerge/>
            <w:vAlign w:val="center"/>
          </w:tcPr>
          <w:p w14:paraId="66C5F57F"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0" w14:textId="77777777" w:rsidR="008075EF" w:rsidRDefault="008075EF" w:rsidP="008075EF">
            <w:pPr>
              <w:jc w:val="right"/>
              <w:rPr>
                <w:rFonts w:cs="Arial"/>
              </w:rPr>
            </w:pPr>
            <w:r>
              <w:rPr>
                <w:rFonts w:cs="Arial"/>
              </w:rPr>
              <w:t>Email:</w:t>
            </w:r>
          </w:p>
        </w:tc>
        <w:tc>
          <w:tcPr>
            <w:tcW w:w="2868" w:type="pct"/>
            <w:gridSpan w:val="3"/>
            <w:vAlign w:val="center"/>
          </w:tcPr>
          <w:p w14:paraId="66C5F581" w14:textId="0EF9443A" w:rsidR="008075EF" w:rsidRPr="00BC3CAC" w:rsidRDefault="008075EF" w:rsidP="008075EF">
            <w:pPr>
              <w:rPr>
                <w:rFonts w:cs="Arial"/>
              </w:rPr>
            </w:pPr>
            <w:r>
              <w:rPr>
                <w:rFonts w:cs="Arial"/>
              </w:rPr>
              <w:t>Simon.Harris@xoserve.com</w:t>
            </w:r>
          </w:p>
        </w:tc>
      </w:tr>
      <w:tr w:rsidR="008075EF" w:rsidRPr="00BC3CAC" w14:paraId="66C5F586" w14:textId="77777777" w:rsidTr="00FF79AE">
        <w:trPr>
          <w:trHeight w:val="403"/>
        </w:trPr>
        <w:tc>
          <w:tcPr>
            <w:tcW w:w="1226" w:type="pct"/>
            <w:vMerge/>
            <w:vAlign w:val="center"/>
          </w:tcPr>
          <w:p w14:paraId="66C5F583" w14:textId="77777777" w:rsidR="008075EF" w:rsidRDefault="008075EF" w:rsidP="008075EF">
            <w:pPr>
              <w:jc w:val="right"/>
              <w:rPr>
                <w:rFonts w:cs="Arial"/>
                <w:szCs w:val="20"/>
              </w:rPr>
            </w:pPr>
          </w:p>
        </w:tc>
        <w:tc>
          <w:tcPr>
            <w:tcW w:w="906" w:type="pct"/>
            <w:shd w:val="clear" w:color="auto" w:fill="FDE4BA" w:themeFill="accent6" w:themeFillTint="66"/>
            <w:vAlign w:val="center"/>
          </w:tcPr>
          <w:p w14:paraId="66C5F584" w14:textId="77777777" w:rsidR="008075EF" w:rsidRDefault="008075EF" w:rsidP="008075EF">
            <w:pPr>
              <w:jc w:val="right"/>
              <w:rPr>
                <w:rFonts w:cs="Arial"/>
              </w:rPr>
            </w:pPr>
            <w:r>
              <w:rPr>
                <w:rFonts w:cs="Arial"/>
              </w:rPr>
              <w:t>Telephone:</w:t>
            </w:r>
          </w:p>
        </w:tc>
        <w:tc>
          <w:tcPr>
            <w:tcW w:w="2868" w:type="pct"/>
            <w:gridSpan w:val="3"/>
            <w:vAlign w:val="center"/>
          </w:tcPr>
          <w:p w14:paraId="66C5F585" w14:textId="0BBB20CB" w:rsidR="008075EF" w:rsidRPr="00BC3CAC" w:rsidRDefault="008075EF" w:rsidP="008075EF">
            <w:pPr>
              <w:rPr>
                <w:rFonts w:cs="Arial"/>
              </w:rPr>
            </w:pPr>
            <w:r>
              <w:rPr>
                <w:rFonts w:cs="Arial"/>
              </w:rPr>
              <w:t>01212292642</w:t>
            </w:r>
          </w:p>
        </w:tc>
      </w:tr>
      <w:tr w:rsidR="00FF79AE" w:rsidRPr="00BC3CAC" w14:paraId="66C5F58A" w14:textId="77777777" w:rsidTr="00FF79AE">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77777777" w:rsidR="00FF79AE" w:rsidRDefault="00FF79AE" w:rsidP="00FF79AE">
            <w:pPr>
              <w:jc w:val="right"/>
              <w:rPr>
                <w:rFonts w:cs="Arial"/>
              </w:rPr>
            </w:pPr>
            <w:r>
              <w:rPr>
                <w:rFonts w:cs="Arial"/>
              </w:rPr>
              <w:t>Business Owner:</w:t>
            </w:r>
          </w:p>
        </w:tc>
        <w:tc>
          <w:tcPr>
            <w:tcW w:w="2868" w:type="pct"/>
            <w:gridSpan w:val="3"/>
            <w:vAlign w:val="center"/>
          </w:tcPr>
          <w:p w14:paraId="66C5F589" w14:textId="13B21812" w:rsidR="00FF79AE" w:rsidRPr="00BC3CAC" w:rsidRDefault="00641874" w:rsidP="00FF79AE">
            <w:pPr>
              <w:rPr>
                <w:rFonts w:cs="Arial"/>
              </w:rPr>
            </w:pPr>
            <w:r>
              <w:rPr>
                <w:rFonts w:cs="Arial"/>
              </w:rPr>
              <w:t>IS Ops</w:t>
            </w:r>
          </w:p>
        </w:tc>
      </w:tr>
      <w:tr w:rsidR="00FF79AE" w:rsidRPr="00BC3CAC" w14:paraId="66C5F58F" w14:textId="77777777" w:rsidTr="005504A6">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29560443" w:rsidR="00FF79AE" w:rsidRPr="00BC3CAC" w:rsidRDefault="00B30F0A"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511E">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B30F0A"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B30F0A"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005504A6">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B30F0A"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B30F0A"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B30F0A"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48766372" w:rsidR="009C3AAE" w:rsidRPr="00BC3CAC" w:rsidRDefault="00B30F0A"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0E530A9C" w:rsidR="009C3AAE" w:rsidRPr="00BC3CAC" w:rsidRDefault="00B30F0A"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B30F0A"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77777777" w:rsidR="009C3AAE" w:rsidRPr="00BC3CAC" w:rsidRDefault="00B30F0A"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B30F0A"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1A7EBE29" w:rsidR="009C3AAE" w:rsidRDefault="00B30F0A" w:rsidP="000E3E26">
            <w:pPr>
              <w:rPr>
                <w:rFonts w:cs="Arial"/>
                <w:szCs w:val="20"/>
              </w:rPr>
            </w:pPr>
            <w:sdt>
              <w:sdtPr>
                <w:rPr>
                  <w:rFonts w:cs="Arial"/>
                  <w:szCs w:val="20"/>
                </w:rPr>
                <w:id w:val="-2124295731"/>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046BA6">
              <w:rPr>
                <w:rFonts w:cs="Arial"/>
                <w:szCs w:val="20"/>
              </w:rPr>
              <w:t xml:space="preserve"> </w:t>
            </w:r>
            <w:r w:rsidR="008E70D0">
              <w:rPr>
                <w:rFonts w:cs="Arial"/>
                <w:szCs w:val="20"/>
              </w:rPr>
              <w:t>O</w:t>
            </w:r>
            <w:r w:rsidR="008E70D0">
              <w:rPr>
                <w:rFonts w:cs="Arial"/>
              </w:rPr>
              <w:t>ther [CDSP acting as a Switching Data Service Provider (GRDS)]</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4A15DFEA" w:rsidR="005D0AA4" w:rsidRDefault="005D0AA4" w:rsidP="00232B34">
            <w:pPr>
              <w:rPr>
                <w:rFonts w:cs="Arial"/>
                <w:szCs w:val="20"/>
              </w:rPr>
            </w:pP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00F30111">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66C5F5A8" w14:textId="58DED1FC" w:rsidR="0030378A" w:rsidRPr="00494523" w:rsidRDefault="00BE0BE9" w:rsidP="00D83DC8">
            <w:pPr>
              <w:rPr>
                <w:rFonts w:cs="Arial"/>
              </w:rPr>
            </w:pPr>
            <w:r>
              <w:rPr>
                <w:rFonts w:cs="Arial"/>
              </w:rPr>
              <w:t xml:space="preserve">Across REC products it has been noted that an inconsistency is present in the defined lead time for the CSS Provider (DCC) to provide notification of scheduled maintenance and system outages. This may result in uncertainty for Switching Data Service Providers around when they should submit an Operational Switching Service Change. This is to ensure there is sufficient lead time for any change to be included within a planned maintenance release, and for CSS Users planning their operational activity around CSS </w:t>
            </w:r>
            <w:r>
              <w:rPr>
                <w:rFonts w:cs="Arial"/>
              </w:rPr>
              <w:lastRenderedPageBreak/>
              <w:t>availability. REC Change Proposal R0055 (REC Switching Operator Outage Notification Lead Time) has been progressed to address this issue and details can be found within the REC Portal: https://recportal.co.uk/group/guest/-/rec-service-definition-switching-operator-document-outage-notification-leadtime-amendment</w:t>
            </w:r>
          </w:p>
        </w:tc>
      </w:tr>
      <w:tr w:rsidR="00F30111" w:rsidRPr="00BC3CAC" w14:paraId="66C5F5AC" w14:textId="77777777" w:rsidTr="00F30111">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lastRenderedPageBreak/>
              <w:t>Change Description:</w:t>
            </w:r>
          </w:p>
        </w:tc>
        <w:tc>
          <w:tcPr>
            <w:tcW w:w="3777" w:type="pct"/>
            <w:gridSpan w:val="2"/>
            <w:vAlign w:val="center"/>
          </w:tcPr>
          <w:p w14:paraId="19A53B4A" w14:textId="77777777" w:rsidR="00565F66" w:rsidRDefault="00565F66" w:rsidP="00565F66">
            <w:pPr>
              <w:rPr>
                <w:rFonts w:cs="Arial"/>
              </w:rPr>
            </w:pPr>
            <w:r>
              <w:rPr>
                <w:rFonts w:cs="Arial"/>
              </w:rPr>
              <w:t>Within the Switching Operator Service Definition document, the Central Switching Service</w:t>
            </w:r>
          </w:p>
          <w:p w14:paraId="72E04FC2" w14:textId="77777777" w:rsidR="00565F66" w:rsidRDefault="00565F66" w:rsidP="00565F66">
            <w:pPr>
              <w:rPr>
                <w:rFonts w:cs="Times New Roman"/>
              </w:rPr>
            </w:pPr>
            <w:r>
              <w:rPr>
                <w:rFonts w:cs="Arial"/>
              </w:rPr>
              <w:t>(CSS) Provider (DCC) is required to provide 10 Working Days’ (WDs) notice of</w:t>
            </w:r>
          </w:p>
          <w:p w14:paraId="2260C96D" w14:textId="77777777" w:rsidR="00565F66" w:rsidRDefault="00565F66" w:rsidP="00565F66">
            <w:r>
              <w:rPr>
                <w:rFonts w:cs="Arial"/>
              </w:rPr>
              <w:t>planned system outages. However, within the CSS Provider’s processes and</w:t>
            </w:r>
          </w:p>
          <w:p w14:paraId="761C2F7D" w14:textId="77777777" w:rsidR="00565F66" w:rsidRDefault="00565F66" w:rsidP="00565F66">
            <w:r>
              <w:rPr>
                <w:rFonts w:cs="Arial"/>
              </w:rPr>
              <w:t>the Switching Operator Change Management Process Category 3 document,</w:t>
            </w:r>
          </w:p>
          <w:p w14:paraId="3256C6E5" w14:textId="77777777" w:rsidR="00565F66" w:rsidRDefault="00565F66" w:rsidP="00565F66">
            <w:r>
              <w:rPr>
                <w:rFonts w:cs="Arial"/>
              </w:rPr>
              <w:t>an 8 WD lead time is set out. This change seeks to address this discrepancy and align the code documentation.</w:t>
            </w:r>
          </w:p>
          <w:p w14:paraId="46191C07" w14:textId="77777777" w:rsidR="00565F66" w:rsidRDefault="00565F66" w:rsidP="00565F66"/>
          <w:p w14:paraId="4C551468" w14:textId="77777777" w:rsidR="00565F66" w:rsidRDefault="00565F66" w:rsidP="00565F66">
            <w:r>
              <w:rPr>
                <w:rFonts w:cs="Arial"/>
              </w:rPr>
              <w:t xml:space="preserve">The approved Solution that has been agreed under the REC is Solution Option 1, which seeks to amend the notice period from 10WD to 8WD within the Switching Operator Service Definition document. </w:t>
            </w:r>
          </w:p>
          <w:p w14:paraId="76FCA7C7" w14:textId="77777777" w:rsidR="00565F66" w:rsidRDefault="00565F66" w:rsidP="00565F66"/>
          <w:p w14:paraId="66C5F5AB" w14:textId="05030036" w:rsidR="00444C4C" w:rsidRPr="000768BB" w:rsidRDefault="00565F66" w:rsidP="00565F66">
            <w:pPr>
              <w:spacing w:before="100" w:beforeAutospacing="1" w:after="100" w:afterAutospacing="1"/>
              <w:rPr>
                <w:rFonts w:cs="Arial"/>
              </w:rPr>
            </w:pPr>
            <w:r>
              <w:rPr>
                <w:rFonts w:cs="Arial"/>
              </w:rPr>
              <w:t xml:space="preserve">As a result of this, the CDSP, as a Switching Data Service Provider, needs to amend processes surrounding interactions with the CSS Provider to ensure this is reflected. </w:t>
            </w: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2C46D205" w:rsidR="00F30111" w:rsidRPr="00BC3CAC" w:rsidRDefault="00853EE7" w:rsidP="00F30111">
            <w:pPr>
              <w:rPr>
                <w:rFonts w:cs="Arial"/>
              </w:rPr>
            </w:pPr>
            <w:r>
              <w:rPr>
                <w:rFonts w:cs="Arial"/>
              </w:rPr>
              <w:t>24 Feb 2023 (REC Major Release)</w:t>
            </w:r>
          </w:p>
        </w:tc>
      </w:tr>
      <w:tr w:rsidR="00F30111" w:rsidRPr="00BC3CAC" w14:paraId="66C5F5B3" w14:textId="77777777" w:rsidTr="00F30111">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6503578C" w:rsidR="00F30111" w:rsidRPr="00BC3CAC" w:rsidRDefault="00B30F0A"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66C5F5B2" w14:textId="77777777" w:rsidR="00F30111" w:rsidRPr="00BC3CAC" w:rsidRDefault="00B30F0A"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00F30111">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B30F0A"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66C5F5B6" w14:textId="3A7C452F" w:rsidR="00F30111" w:rsidRPr="00BC3CAC" w:rsidRDefault="00B30F0A" w:rsidP="00F3011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Other </w:t>
            </w:r>
            <w:r w:rsidR="00485E77">
              <w:rPr>
                <w:rFonts w:cs="Arial"/>
              </w:rPr>
              <w:t>[</w:t>
            </w:r>
            <w:r w:rsidR="00367BC0">
              <w:rPr>
                <w:rFonts w:cs="Arial"/>
              </w:rPr>
              <w:t>write specific here</w:t>
            </w:r>
            <w:r w:rsidR="00485E7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66C5F5BA" w14:textId="1A8D8B91" w:rsidR="00ED6D3A" w:rsidRPr="00BC3CAC" w:rsidRDefault="00A2050B" w:rsidP="00ED6D3A">
            <w:pPr>
              <w:rPr>
                <w:rFonts w:cs="Arial"/>
              </w:rPr>
            </w:pPr>
            <w:r>
              <w:rPr>
                <w:rFonts w:cs="Arial"/>
              </w:rPr>
              <w:t>The current drafting will cause confusion with the Switching Data Providers as 2 documents reference different lead-times. Also, DCC have built the switching toolset to have an 8-day lead time so this would need to be updated as well as all process documents and Category 3 procedure documents related to Operational Change Management which have already been signed off by REC. Furthermore the External Switching Data Service Providers would need to update their internal processes to feed into DCC’s change process as they have built it following an 8-day lead-time</w:t>
            </w: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3BC46D70" w:rsidR="00084C47" w:rsidRPr="00BC3CAC" w:rsidRDefault="0050049E" w:rsidP="00084C47">
            <w:pPr>
              <w:rPr>
                <w:rFonts w:cs="Arial"/>
              </w:rPr>
            </w:pPr>
            <w:r>
              <w:rPr>
                <w:rFonts w:cs="Arial"/>
              </w:rPr>
              <w:t>As soon as the change is implemented.</w:t>
            </w: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580B6C60" w:rsidR="00084C47" w:rsidRDefault="00412F12" w:rsidP="00084C47">
            <w:pPr>
              <w:rPr>
                <w:rFonts w:cs="Arial"/>
              </w:rPr>
            </w:pPr>
            <w:r>
              <w:rPr>
                <w:rFonts w:cs="Arial"/>
              </w:rPr>
              <w:t>Delivery needs to be in line with REC February 2023 Major Release. This is a document only change, internal to the CDSP.</w:t>
            </w:r>
          </w:p>
        </w:tc>
      </w:tr>
      <w:tr w:rsidR="00084C47"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641874">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7D103D7C" w:rsidR="008E6888" w:rsidRPr="00641874" w:rsidRDefault="00641874" w:rsidP="00641874">
            <w:pPr>
              <w:rPr>
                <w:rFonts w:cs="Arial"/>
              </w:rPr>
            </w:pPr>
            <w:r w:rsidRPr="00641874">
              <w:rPr>
                <w:rFonts w:cs="Arial"/>
              </w:rPr>
              <w:t xml:space="preserve">Service </w:t>
            </w:r>
            <w:r>
              <w:rPr>
                <w:rFonts w:cs="Arial"/>
              </w:rPr>
              <w:t>Area</w:t>
            </w:r>
            <w:r w:rsidRPr="00641874">
              <w:rPr>
                <w:rFonts w:cs="Arial"/>
              </w:rPr>
              <w:t xml:space="preserve"> 1 - </w:t>
            </w:r>
            <w:r w:rsidR="00DD4E1F" w:rsidRPr="00641874">
              <w:rPr>
                <w:rFonts w:cs="Arial"/>
              </w:rPr>
              <w:t>Manage Shipper Transfers</w:t>
            </w:r>
          </w:p>
        </w:tc>
      </w:tr>
      <w:tr w:rsidR="008E6888" w:rsidRPr="00BC3CAC" w14:paraId="66C5F5D2" w14:textId="77777777" w:rsidTr="00641874">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7554CBAC" w:rsidR="008E6888" w:rsidRDefault="00112A91" w:rsidP="009C3AAE">
            <w:pPr>
              <w:rPr>
                <w:rFonts w:cs="Arial"/>
              </w:rPr>
            </w:pPr>
            <w:r>
              <w:rPr>
                <w:rFonts w:cs="Arial"/>
              </w:rPr>
              <w:t>None</w:t>
            </w:r>
          </w:p>
        </w:tc>
      </w:tr>
      <w:tr w:rsidR="008E6888" w:rsidRPr="00BC3CAC" w14:paraId="66C5F5D5" w14:textId="77777777" w:rsidTr="00641874">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18CA143C" w:rsidR="008E6888" w:rsidRDefault="00641874" w:rsidP="009C3AAE">
            <w:pPr>
              <w:rPr>
                <w:rFonts w:cs="Arial"/>
              </w:rPr>
            </w:pPr>
            <w:r>
              <w:rPr>
                <w:rFonts w:cs="Arial"/>
              </w:rPr>
              <w:t>No impacts expected to service lines (Changes internal to CDSP)</w:t>
            </w:r>
          </w:p>
        </w:tc>
      </w:tr>
      <w:tr w:rsidR="00477440" w:rsidRPr="00BC3CAC" w14:paraId="66C5F5D8" w14:textId="77777777" w:rsidTr="00641874">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5F23DB95" w:rsidR="00477440" w:rsidRDefault="00641874" w:rsidP="009C3AAE">
            <w:pPr>
              <w:rPr>
                <w:rFonts w:cs="Arial"/>
              </w:rPr>
            </w:pPr>
            <w:r>
              <w:rPr>
                <w:rFonts w:cs="Arial"/>
              </w:rPr>
              <w:t>None</w:t>
            </w:r>
          </w:p>
        </w:tc>
      </w:tr>
      <w:tr w:rsidR="00112A91" w:rsidRPr="00BC3CAC" w14:paraId="66C5F5DB" w14:textId="77777777" w:rsidTr="00641874">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415A9DCF" w:rsidR="00112A91" w:rsidRDefault="00112A91" w:rsidP="009C3AAE">
            <w:pPr>
              <w:rPr>
                <w:rFonts w:cs="Arial"/>
              </w:rPr>
            </w:pPr>
            <w:r>
              <w:rPr>
                <w:rFonts w:cs="Arial"/>
              </w:rPr>
              <w:t>None</w:t>
            </w:r>
          </w:p>
        </w:tc>
      </w:tr>
      <w:tr w:rsidR="00112A91" w:rsidRPr="00BC3CAC" w14:paraId="66C5F5DE" w14:textId="77777777" w:rsidTr="00641874">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44CD625A" w:rsidR="00112A91" w:rsidRDefault="00641874" w:rsidP="009C3AAE">
            <w:pPr>
              <w:rPr>
                <w:rFonts w:cs="Arial"/>
              </w:rPr>
            </w:pPr>
            <w:r>
              <w:rPr>
                <w:rFonts w:cs="Arial"/>
              </w:rPr>
              <w:t>No changes needed to UK link manual or Data Permissions matrix (Changes internal to CDSP)</w:t>
            </w:r>
          </w:p>
        </w:tc>
      </w:tr>
      <w:tr w:rsidR="00641874" w:rsidRPr="00BC3CAC" w14:paraId="66C5F5E4" w14:textId="77777777" w:rsidTr="00641874">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641874">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5F656361" w:rsidR="00212B1C" w:rsidRPr="00BC3CAC" w:rsidRDefault="00B30F0A"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641874">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4BB8C138" w:rsidR="00212B1C" w:rsidRPr="00BC3CAC" w:rsidRDefault="00641874" w:rsidP="009C3AAE">
            <w:pPr>
              <w:rPr>
                <w:rFonts w:cs="Arial"/>
              </w:rPr>
            </w:pPr>
            <w:r>
              <w:rPr>
                <w:rFonts w:cs="Arial"/>
              </w:rPr>
              <w:t>100</w:t>
            </w:r>
            <w:r w:rsidR="00212B1C">
              <w:rPr>
                <w:rFonts w:cs="Arial"/>
              </w:rPr>
              <w:t xml:space="preserve"> %</w:t>
            </w:r>
          </w:p>
        </w:tc>
        <w:tc>
          <w:tcPr>
            <w:tcW w:w="1027" w:type="pct"/>
            <w:vAlign w:val="center"/>
          </w:tcPr>
          <w:p w14:paraId="66C5F5E8" w14:textId="20469D53" w:rsidR="00212B1C" w:rsidRPr="00BC3CAC" w:rsidRDefault="00641874" w:rsidP="005E4C74">
            <w:pPr>
              <w:rPr>
                <w:rFonts w:cs="Arial"/>
              </w:rPr>
            </w:pPr>
            <w:r>
              <w:rPr>
                <w:rFonts w:cs="Arial"/>
              </w:rPr>
              <w:t>N/A</w:t>
            </w:r>
          </w:p>
        </w:tc>
      </w:tr>
      <w:tr w:rsidR="00212B1C" w:rsidRPr="00BC3CAC" w14:paraId="66C5F5EE" w14:textId="77777777" w:rsidTr="00641874">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B30F0A"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22CE5EC9" w:rsidR="00212B1C" w:rsidRPr="00BC3CAC" w:rsidRDefault="00641874" w:rsidP="009C3AAE">
            <w:pPr>
              <w:rPr>
                <w:rFonts w:cs="Arial"/>
              </w:rPr>
            </w:pPr>
            <w:r>
              <w:rPr>
                <w:rFonts w:cs="Arial"/>
              </w:rPr>
              <w:t>N/A</w:t>
            </w:r>
          </w:p>
        </w:tc>
        <w:tc>
          <w:tcPr>
            <w:tcW w:w="1027" w:type="pct"/>
            <w:vAlign w:val="center"/>
          </w:tcPr>
          <w:p w14:paraId="66C5F5ED" w14:textId="5F6B3798" w:rsidR="00212B1C" w:rsidRPr="00BC3CAC" w:rsidRDefault="00641874" w:rsidP="005E4C74">
            <w:pPr>
              <w:rPr>
                <w:rFonts w:cs="Arial"/>
              </w:rPr>
            </w:pPr>
            <w:r>
              <w:rPr>
                <w:rFonts w:cs="Arial"/>
              </w:rPr>
              <w:t>N/A</w:t>
            </w:r>
          </w:p>
        </w:tc>
      </w:tr>
      <w:tr w:rsidR="00212B1C" w:rsidRPr="00BC3CAC" w14:paraId="66C5F5F3" w14:textId="77777777" w:rsidTr="00641874">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77777777" w:rsidR="00212B1C" w:rsidRPr="00BC3CAC" w:rsidRDefault="00B30F0A"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16D98B4A" w:rsidR="00212B1C" w:rsidRPr="00BC3CAC" w:rsidRDefault="00641874" w:rsidP="009C3AAE">
            <w:pPr>
              <w:rPr>
                <w:rFonts w:cs="Arial"/>
              </w:rPr>
            </w:pPr>
            <w:r>
              <w:rPr>
                <w:rFonts w:cs="Arial"/>
              </w:rPr>
              <w:t>N/A</w:t>
            </w:r>
          </w:p>
        </w:tc>
        <w:tc>
          <w:tcPr>
            <w:tcW w:w="1027" w:type="pct"/>
            <w:vAlign w:val="center"/>
          </w:tcPr>
          <w:p w14:paraId="66C5F5F2" w14:textId="4CD6B9BF" w:rsidR="00212B1C" w:rsidRPr="00BC3CAC" w:rsidRDefault="00641874" w:rsidP="005E4C74">
            <w:pPr>
              <w:rPr>
                <w:rFonts w:cs="Arial"/>
              </w:rPr>
            </w:pPr>
            <w:r>
              <w:rPr>
                <w:rFonts w:cs="Arial"/>
              </w:rPr>
              <w:t>N/A</w:t>
            </w:r>
          </w:p>
        </w:tc>
      </w:tr>
      <w:tr w:rsidR="00212B1C" w:rsidRPr="00BC3CAC" w14:paraId="66C5F5F8" w14:textId="77777777" w:rsidTr="00641874">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B30F0A"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153DC96C" w:rsidR="00212B1C" w:rsidRPr="00BC3CAC" w:rsidRDefault="00641874" w:rsidP="009C3AAE">
            <w:pPr>
              <w:rPr>
                <w:rFonts w:cs="Arial"/>
              </w:rPr>
            </w:pPr>
            <w:r>
              <w:rPr>
                <w:rFonts w:cs="Arial"/>
              </w:rPr>
              <w:t>N/A</w:t>
            </w:r>
          </w:p>
        </w:tc>
        <w:tc>
          <w:tcPr>
            <w:tcW w:w="1027" w:type="pct"/>
            <w:vAlign w:val="center"/>
          </w:tcPr>
          <w:p w14:paraId="66C5F5F7" w14:textId="3396A3F8" w:rsidR="00212B1C" w:rsidRPr="00BC3CAC" w:rsidRDefault="00641874" w:rsidP="005E4C74">
            <w:pPr>
              <w:rPr>
                <w:rFonts w:cs="Arial"/>
              </w:rPr>
            </w:pPr>
            <w:r>
              <w:rPr>
                <w:rFonts w:cs="Arial"/>
              </w:rPr>
              <w:t>N/A</w:t>
            </w:r>
          </w:p>
        </w:tc>
      </w:tr>
      <w:tr w:rsidR="00212B1C" w:rsidRPr="00BC3CAC" w14:paraId="66C5F5FD" w14:textId="77777777" w:rsidTr="00641874">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B30F0A"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524C4479" w:rsidR="00212B1C" w:rsidRPr="00BC3CAC" w:rsidRDefault="00641874" w:rsidP="009C3AAE">
            <w:pPr>
              <w:rPr>
                <w:rFonts w:cs="Arial"/>
              </w:rPr>
            </w:pPr>
            <w:r>
              <w:rPr>
                <w:rFonts w:cs="Arial"/>
              </w:rPr>
              <w:t>N/A</w:t>
            </w:r>
          </w:p>
        </w:tc>
        <w:tc>
          <w:tcPr>
            <w:tcW w:w="1027" w:type="pct"/>
            <w:vAlign w:val="center"/>
          </w:tcPr>
          <w:p w14:paraId="66C5F5FC" w14:textId="564DE528" w:rsidR="00212B1C" w:rsidRPr="00BC3CAC" w:rsidRDefault="00641874" w:rsidP="005E4C74">
            <w:pPr>
              <w:rPr>
                <w:rFonts w:cs="Arial"/>
              </w:rPr>
            </w:pPr>
            <w:r>
              <w:rPr>
                <w:rFonts w:cs="Arial"/>
              </w:rPr>
              <w:t>N/A</w:t>
            </w:r>
          </w:p>
        </w:tc>
      </w:tr>
      <w:tr w:rsidR="008E6888" w:rsidRPr="00BC3CAC" w14:paraId="66C5F600" w14:textId="77777777" w:rsidTr="00641874">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64FD2D6D" w:rsidR="008E6888" w:rsidRDefault="00641874" w:rsidP="009C3AAE">
            <w:pPr>
              <w:rPr>
                <w:rFonts w:cs="Arial"/>
              </w:rPr>
            </w:pPr>
            <w:r>
              <w:rPr>
                <w:rFonts w:cs="Arial"/>
              </w:rPr>
              <w:t>N/A</w:t>
            </w:r>
          </w:p>
        </w:tc>
      </w:tr>
      <w:tr w:rsidR="008E6888" w:rsidRPr="00BC3CAC" w14:paraId="66C5F603" w14:textId="77777777" w:rsidTr="00641874">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0439A94A" w:rsidR="008E6888" w:rsidRDefault="00641874" w:rsidP="009C3AAE">
            <w:pPr>
              <w:rPr>
                <w:rFonts w:cs="Arial"/>
              </w:rPr>
            </w:pPr>
            <w:r>
              <w:rPr>
                <w:rFonts w:cs="Arial"/>
              </w:rPr>
              <w:t>Not expected to be incur any costs</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1"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500" w:type="pct"/>
        <w:tblLayout w:type="fixed"/>
        <w:tblLook w:val="04A0" w:firstRow="1" w:lastRow="0" w:firstColumn="1" w:lastColumn="0" w:noHBand="0" w:noVBand="1"/>
      </w:tblPr>
      <w:tblGrid>
        <w:gridCol w:w="1076"/>
        <w:gridCol w:w="1382"/>
        <w:gridCol w:w="1383"/>
        <w:gridCol w:w="1660"/>
        <w:gridCol w:w="4417"/>
      </w:tblGrid>
      <w:tr w:rsidR="0051349C" w:rsidRPr="006C66CA" w14:paraId="66C5F64A" w14:textId="77777777" w:rsidTr="00412F12">
        <w:trPr>
          <w:trHeight w:val="403"/>
        </w:trPr>
        <w:tc>
          <w:tcPr>
            <w:tcW w:w="542"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69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69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837"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2227"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412F12">
        <w:trPr>
          <w:trHeight w:val="403"/>
        </w:trPr>
        <w:tc>
          <w:tcPr>
            <w:tcW w:w="542" w:type="pct"/>
            <w:shd w:val="clear" w:color="auto" w:fill="auto"/>
            <w:vAlign w:val="center"/>
          </w:tcPr>
          <w:p w14:paraId="66C5F64B" w14:textId="24D1D57D" w:rsidR="0051349C" w:rsidRPr="00470388" w:rsidRDefault="00412F12" w:rsidP="0051349C">
            <w:pPr>
              <w:rPr>
                <w:rFonts w:cs="Arial"/>
                <w:szCs w:val="20"/>
              </w:rPr>
            </w:pPr>
            <w:r>
              <w:rPr>
                <w:rFonts w:cs="Arial"/>
                <w:szCs w:val="20"/>
              </w:rPr>
              <w:t>1.0</w:t>
            </w:r>
          </w:p>
        </w:tc>
        <w:tc>
          <w:tcPr>
            <w:tcW w:w="696" w:type="pct"/>
            <w:shd w:val="clear" w:color="auto" w:fill="auto"/>
            <w:vAlign w:val="center"/>
          </w:tcPr>
          <w:p w14:paraId="66C5F64C" w14:textId="01F4544A" w:rsidR="0051349C" w:rsidRPr="00470388" w:rsidRDefault="005E1608" w:rsidP="0051349C">
            <w:pPr>
              <w:rPr>
                <w:rFonts w:cs="Arial"/>
                <w:szCs w:val="20"/>
              </w:rPr>
            </w:pPr>
            <w:r>
              <w:rPr>
                <w:rFonts w:cs="Arial"/>
                <w:szCs w:val="20"/>
              </w:rPr>
              <w:t>Raised</w:t>
            </w:r>
          </w:p>
        </w:tc>
        <w:tc>
          <w:tcPr>
            <w:tcW w:w="697" w:type="pct"/>
            <w:shd w:val="clear" w:color="auto" w:fill="auto"/>
            <w:vAlign w:val="center"/>
          </w:tcPr>
          <w:p w14:paraId="66C5F64D" w14:textId="359DE0D7" w:rsidR="0051349C" w:rsidRPr="00470388" w:rsidRDefault="005E1608" w:rsidP="0051349C">
            <w:pPr>
              <w:rPr>
                <w:rFonts w:cs="Arial"/>
                <w:szCs w:val="20"/>
              </w:rPr>
            </w:pPr>
            <w:r>
              <w:rPr>
                <w:rFonts w:cs="Arial"/>
                <w:szCs w:val="20"/>
              </w:rPr>
              <w:t>02/11/2022</w:t>
            </w:r>
          </w:p>
        </w:tc>
        <w:tc>
          <w:tcPr>
            <w:tcW w:w="837" w:type="pct"/>
            <w:shd w:val="clear" w:color="auto" w:fill="auto"/>
            <w:vAlign w:val="center"/>
          </w:tcPr>
          <w:p w14:paraId="66C5F64E" w14:textId="456269AC" w:rsidR="0051349C" w:rsidRPr="00470388" w:rsidRDefault="005E1608" w:rsidP="0051349C">
            <w:pPr>
              <w:rPr>
                <w:rFonts w:cs="Arial"/>
                <w:szCs w:val="20"/>
              </w:rPr>
            </w:pPr>
            <w:r>
              <w:rPr>
                <w:rFonts w:cs="Arial"/>
                <w:szCs w:val="20"/>
              </w:rPr>
              <w:t>Sharon Dudley</w:t>
            </w:r>
          </w:p>
        </w:tc>
        <w:tc>
          <w:tcPr>
            <w:tcW w:w="2227" w:type="pct"/>
            <w:shd w:val="clear" w:color="auto" w:fill="auto"/>
            <w:vAlign w:val="center"/>
          </w:tcPr>
          <w:p w14:paraId="66C5F64F" w14:textId="79FEF91D" w:rsidR="0051349C" w:rsidRPr="00470388" w:rsidRDefault="005E1608" w:rsidP="0051349C">
            <w:pPr>
              <w:rPr>
                <w:rFonts w:cs="Arial"/>
                <w:szCs w:val="20"/>
              </w:rPr>
            </w:pPr>
            <w:r>
              <w:rPr>
                <w:rFonts w:cs="Arial"/>
                <w:szCs w:val="20"/>
              </w:rPr>
              <w:t>New CP Raised</w:t>
            </w:r>
          </w:p>
        </w:tc>
      </w:tr>
    </w:tbl>
    <w:p w14:paraId="66C5F693" w14:textId="77777777" w:rsidR="0051349C" w:rsidRPr="0051349C" w:rsidRDefault="0051349C" w:rsidP="00412F12">
      <w:pPr>
        <w:pStyle w:val="Heading1"/>
      </w:pPr>
    </w:p>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B1E3" w14:textId="77777777" w:rsidR="00A50DE5" w:rsidRDefault="00A50DE5" w:rsidP="00324744">
      <w:pPr>
        <w:spacing w:after="0" w:line="240" w:lineRule="auto"/>
      </w:pPr>
      <w:r>
        <w:separator/>
      </w:r>
    </w:p>
  </w:endnote>
  <w:endnote w:type="continuationSeparator" w:id="0">
    <w:p w14:paraId="11A15B2D" w14:textId="77777777" w:rsidR="00A50DE5" w:rsidRDefault="00A50DE5" w:rsidP="00324744">
      <w:pPr>
        <w:spacing w:after="0" w:line="240" w:lineRule="auto"/>
      </w:pPr>
      <w:r>
        <w:continuationSeparator/>
      </w:r>
    </w:p>
  </w:endnote>
  <w:endnote w:type="continuationNotice" w:id="1">
    <w:p w14:paraId="30C5319E" w14:textId="77777777" w:rsidR="00A50DE5" w:rsidRDefault="00A50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1B9AAC"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3F7D" w14:textId="77777777" w:rsidR="00A50DE5" w:rsidRDefault="00A50DE5" w:rsidP="00324744">
      <w:pPr>
        <w:spacing w:after="0" w:line="240" w:lineRule="auto"/>
      </w:pPr>
      <w:r>
        <w:separator/>
      </w:r>
    </w:p>
  </w:footnote>
  <w:footnote w:type="continuationSeparator" w:id="0">
    <w:p w14:paraId="114435B1" w14:textId="77777777" w:rsidR="00A50DE5" w:rsidRDefault="00A50DE5" w:rsidP="00324744">
      <w:pPr>
        <w:spacing w:after="0" w:line="240" w:lineRule="auto"/>
      </w:pPr>
      <w:r>
        <w:continuationSeparator/>
      </w:r>
    </w:p>
  </w:footnote>
  <w:footnote w:type="continuationNotice" w:id="1">
    <w:p w14:paraId="3E80C21F" w14:textId="77777777" w:rsidR="00A50DE5" w:rsidRDefault="00A50D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2"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67C51"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343821"/>
    <w:multiLevelType w:val="hybridMultilevel"/>
    <w:tmpl w:val="E3E09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10"/>
  </w:num>
  <w:num w:numId="6">
    <w:abstractNumId w:val="8"/>
  </w:num>
  <w:num w:numId="7">
    <w:abstractNumId w:val="1"/>
  </w:num>
  <w:num w:numId="8">
    <w:abstractNumId w:val="3"/>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2555E"/>
    <w:rsid w:val="00033212"/>
    <w:rsid w:val="00043E6A"/>
    <w:rsid w:val="00046BA6"/>
    <w:rsid w:val="00050A89"/>
    <w:rsid w:val="000521F3"/>
    <w:rsid w:val="0006690B"/>
    <w:rsid w:val="00066F35"/>
    <w:rsid w:val="000768BB"/>
    <w:rsid w:val="00084C47"/>
    <w:rsid w:val="00093D75"/>
    <w:rsid w:val="000A1AD1"/>
    <w:rsid w:val="000B4820"/>
    <w:rsid w:val="000E3E26"/>
    <w:rsid w:val="000F589F"/>
    <w:rsid w:val="00107BC2"/>
    <w:rsid w:val="00112A91"/>
    <w:rsid w:val="00122449"/>
    <w:rsid w:val="00125B61"/>
    <w:rsid w:val="00132F81"/>
    <w:rsid w:val="00144E00"/>
    <w:rsid w:val="00147035"/>
    <w:rsid w:val="00151C09"/>
    <w:rsid w:val="00156FD9"/>
    <w:rsid w:val="00195C86"/>
    <w:rsid w:val="001A626D"/>
    <w:rsid w:val="001B2D13"/>
    <w:rsid w:val="00212B1C"/>
    <w:rsid w:val="002201FE"/>
    <w:rsid w:val="002247C6"/>
    <w:rsid w:val="00226D34"/>
    <w:rsid w:val="00232B34"/>
    <w:rsid w:val="002365D1"/>
    <w:rsid w:val="00253C79"/>
    <w:rsid w:val="00260BBF"/>
    <w:rsid w:val="00277F06"/>
    <w:rsid w:val="0029036C"/>
    <w:rsid w:val="00290A05"/>
    <w:rsid w:val="002A278D"/>
    <w:rsid w:val="002B3E04"/>
    <w:rsid w:val="002B3FC0"/>
    <w:rsid w:val="002D053D"/>
    <w:rsid w:val="002F0323"/>
    <w:rsid w:val="002F448E"/>
    <w:rsid w:val="0030378A"/>
    <w:rsid w:val="00310A64"/>
    <w:rsid w:val="003201A4"/>
    <w:rsid w:val="00324744"/>
    <w:rsid w:val="00337F65"/>
    <w:rsid w:val="003463C5"/>
    <w:rsid w:val="0035652F"/>
    <w:rsid w:val="00363E3A"/>
    <w:rsid w:val="00367BC0"/>
    <w:rsid w:val="003774C3"/>
    <w:rsid w:val="00377B3E"/>
    <w:rsid w:val="00386287"/>
    <w:rsid w:val="003A32EA"/>
    <w:rsid w:val="003A5CFC"/>
    <w:rsid w:val="003B4D44"/>
    <w:rsid w:val="003B7E16"/>
    <w:rsid w:val="00403D4A"/>
    <w:rsid w:val="00407C41"/>
    <w:rsid w:val="00412F12"/>
    <w:rsid w:val="00426807"/>
    <w:rsid w:val="004313FE"/>
    <w:rsid w:val="004336C5"/>
    <w:rsid w:val="00444C4C"/>
    <w:rsid w:val="00453135"/>
    <w:rsid w:val="00464FAE"/>
    <w:rsid w:val="00470388"/>
    <w:rsid w:val="004730B0"/>
    <w:rsid w:val="00477440"/>
    <w:rsid w:val="00485E77"/>
    <w:rsid w:val="00485F6F"/>
    <w:rsid w:val="00494523"/>
    <w:rsid w:val="004B4891"/>
    <w:rsid w:val="004F2A47"/>
    <w:rsid w:val="004F3362"/>
    <w:rsid w:val="0050049E"/>
    <w:rsid w:val="005027CC"/>
    <w:rsid w:val="00512309"/>
    <w:rsid w:val="005132C1"/>
    <w:rsid w:val="0051349C"/>
    <w:rsid w:val="00516D8E"/>
    <w:rsid w:val="00517F6F"/>
    <w:rsid w:val="00524A8B"/>
    <w:rsid w:val="00525A7D"/>
    <w:rsid w:val="005504A6"/>
    <w:rsid w:val="0055298E"/>
    <w:rsid w:val="00552F64"/>
    <w:rsid w:val="0055478D"/>
    <w:rsid w:val="00565F66"/>
    <w:rsid w:val="00567C13"/>
    <w:rsid w:val="0057075F"/>
    <w:rsid w:val="005746AF"/>
    <w:rsid w:val="00575310"/>
    <w:rsid w:val="00582C46"/>
    <w:rsid w:val="0058557B"/>
    <w:rsid w:val="005A1776"/>
    <w:rsid w:val="005A44DF"/>
    <w:rsid w:val="005A6B14"/>
    <w:rsid w:val="005A6CFA"/>
    <w:rsid w:val="005B3F96"/>
    <w:rsid w:val="005B744C"/>
    <w:rsid w:val="005C15DD"/>
    <w:rsid w:val="005C4554"/>
    <w:rsid w:val="005D0AA4"/>
    <w:rsid w:val="005D4EDB"/>
    <w:rsid w:val="005E1608"/>
    <w:rsid w:val="005E4C74"/>
    <w:rsid w:val="00602977"/>
    <w:rsid w:val="00613BC5"/>
    <w:rsid w:val="00641874"/>
    <w:rsid w:val="0064277C"/>
    <w:rsid w:val="006471D5"/>
    <w:rsid w:val="006514E4"/>
    <w:rsid w:val="00667338"/>
    <w:rsid w:val="006718CF"/>
    <w:rsid w:val="00674DE5"/>
    <w:rsid w:val="0067534D"/>
    <w:rsid w:val="0068210E"/>
    <w:rsid w:val="006953DA"/>
    <w:rsid w:val="006A2B81"/>
    <w:rsid w:val="006A2C69"/>
    <w:rsid w:val="006A7E10"/>
    <w:rsid w:val="006B18D0"/>
    <w:rsid w:val="006B2C14"/>
    <w:rsid w:val="006B5363"/>
    <w:rsid w:val="006C5AB1"/>
    <w:rsid w:val="006C5DC1"/>
    <w:rsid w:val="006C66CA"/>
    <w:rsid w:val="006F3657"/>
    <w:rsid w:val="007204AB"/>
    <w:rsid w:val="00722970"/>
    <w:rsid w:val="007229EF"/>
    <w:rsid w:val="007243D3"/>
    <w:rsid w:val="00727180"/>
    <w:rsid w:val="00733FF7"/>
    <w:rsid w:val="00734A65"/>
    <w:rsid w:val="00734DC4"/>
    <w:rsid w:val="0075531C"/>
    <w:rsid w:val="007715F3"/>
    <w:rsid w:val="00771B44"/>
    <w:rsid w:val="007836E3"/>
    <w:rsid w:val="007855B1"/>
    <w:rsid w:val="00786E61"/>
    <w:rsid w:val="007A2F99"/>
    <w:rsid w:val="007A56DB"/>
    <w:rsid w:val="007D0D1F"/>
    <w:rsid w:val="007D4F26"/>
    <w:rsid w:val="007D796E"/>
    <w:rsid w:val="007F09E3"/>
    <w:rsid w:val="007F5643"/>
    <w:rsid w:val="00807258"/>
    <w:rsid w:val="008075EF"/>
    <w:rsid w:val="0081275F"/>
    <w:rsid w:val="0082322E"/>
    <w:rsid w:val="00833E9C"/>
    <w:rsid w:val="00843613"/>
    <w:rsid w:val="00853AEB"/>
    <w:rsid w:val="00853EE7"/>
    <w:rsid w:val="00864211"/>
    <w:rsid w:val="00874C46"/>
    <w:rsid w:val="00876BE6"/>
    <w:rsid w:val="00886E23"/>
    <w:rsid w:val="008932EE"/>
    <w:rsid w:val="00894BD9"/>
    <w:rsid w:val="00897E29"/>
    <w:rsid w:val="008B7C4E"/>
    <w:rsid w:val="008B7E39"/>
    <w:rsid w:val="008C078A"/>
    <w:rsid w:val="008C7942"/>
    <w:rsid w:val="008D2FCD"/>
    <w:rsid w:val="008E6888"/>
    <w:rsid w:val="008E70D0"/>
    <w:rsid w:val="008F05D1"/>
    <w:rsid w:val="008F2612"/>
    <w:rsid w:val="008F53E8"/>
    <w:rsid w:val="00905F03"/>
    <w:rsid w:val="009439D5"/>
    <w:rsid w:val="00945316"/>
    <w:rsid w:val="0095319A"/>
    <w:rsid w:val="00977AD7"/>
    <w:rsid w:val="00977B79"/>
    <w:rsid w:val="009B7B91"/>
    <w:rsid w:val="009C1729"/>
    <w:rsid w:val="009C3AAE"/>
    <w:rsid w:val="009D38A3"/>
    <w:rsid w:val="009D6EE7"/>
    <w:rsid w:val="009E3053"/>
    <w:rsid w:val="009E485B"/>
    <w:rsid w:val="009E49DE"/>
    <w:rsid w:val="009E6FF9"/>
    <w:rsid w:val="009F7831"/>
    <w:rsid w:val="00A2050B"/>
    <w:rsid w:val="00A30CDA"/>
    <w:rsid w:val="00A3623B"/>
    <w:rsid w:val="00A41B8E"/>
    <w:rsid w:val="00A50DE5"/>
    <w:rsid w:val="00A57CE8"/>
    <w:rsid w:val="00A700B7"/>
    <w:rsid w:val="00A82A57"/>
    <w:rsid w:val="00A830EB"/>
    <w:rsid w:val="00AB5B54"/>
    <w:rsid w:val="00AB63DE"/>
    <w:rsid w:val="00AC7EC6"/>
    <w:rsid w:val="00B1046E"/>
    <w:rsid w:val="00B11FE6"/>
    <w:rsid w:val="00B17700"/>
    <w:rsid w:val="00B211AC"/>
    <w:rsid w:val="00B237DE"/>
    <w:rsid w:val="00B30F0A"/>
    <w:rsid w:val="00B453CA"/>
    <w:rsid w:val="00B47489"/>
    <w:rsid w:val="00B50EDC"/>
    <w:rsid w:val="00B542B2"/>
    <w:rsid w:val="00B6118E"/>
    <w:rsid w:val="00B75013"/>
    <w:rsid w:val="00B82492"/>
    <w:rsid w:val="00BA0FED"/>
    <w:rsid w:val="00BB0C50"/>
    <w:rsid w:val="00BB65EE"/>
    <w:rsid w:val="00BC00E9"/>
    <w:rsid w:val="00BC3CAC"/>
    <w:rsid w:val="00BC6C45"/>
    <w:rsid w:val="00BD0A45"/>
    <w:rsid w:val="00BD6281"/>
    <w:rsid w:val="00BE0BE9"/>
    <w:rsid w:val="00BE2EFD"/>
    <w:rsid w:val="00C01CAE"/>
    <w:rsid w:val="00C06409"/>
    <w:rsid w:val="00C07B83"/>
    <w:rsid w:val="00C14B32"/>
    <w:rsid w:val="00C22090"/>
    <w:rsid w:val="00C300AE"/>
    <w:rsid w:val="00C30FB9"/>
    <w:rsid w:val="00C34211"/>
    <w:rsid w:val="00C368A4"/>
    <w:rsid w:val="00C408DE"/>
    <w:rsid w:val="00C44CF7"/>
    <w:rsid w:val="00C4790B"/>
    <w:rsid w:val="00C51384"/>
    <w:rsid w:val="00C51745"/>
    <w:rsid w:val="00C63328"/>
    <w:rsid w:val="00C67E20"/>
    <w:rsid w:val="00C70976"/>
    <w:rsid w:val="00C769A1"/>
    <w:rsid w:val="00C87A73"/>
    <w:rsid w:val="00C923FC"/>
    <w:rsid w:val="00C941BD"/>
    <w:rsid w:val="00CC2E61"/>
    <w:rsid w:val="00CD1EC2"/>
    <w:rsid w:val="00CD22FC"/>
    <w:rsid w:val="00CE135D"/>
    <w:rsid w:val="00CF035F"/>
    <w:rsid w:val="00CF131E"/>
    <w:rsid w:val="00CF1408"/>
    <w:rsid w:val="00D05E11"/>
    <w:rsid w:val="00D12DF0"/>
    <w:rsid w:val="00D13777"/>
    <w:rsid w:val="00D15204"/>
    <w:rsid w:val="00D16D33"/>
    <w:rsid w:val="00D2202F"/>
    <w:rsid w:val="00D33058"/>
    <w:rsid w:val="00D348F5"/>
    <w:rsid w:val="00D36766"/>
    <w:rsid w:val="00D36B2F"/>
    <w:rsid w:val="00D42773"/>
    <w:rsid w:val="00D66C7E"/>
    <w:rsid w:val="00D73EAA"/>
    <w:rsid w:val="00D83DC8"/>
    <w:rsid w:val="00D877EF"/>
    <w:rsid w:val="00D93896"/>
    <w:rsid w:val="00D96E9D"/>
    <w:rsid w:val="00DA6D80"/>
    <w:rsid w:val="00DB3AC2"/>
    <w:rsid w:val="00DD4E1F"/>
    <w:rsid w:val="00DE4CEA"/>
    <w:rsid w:val="00E04E8E"/>
    <w:rsid w:val="00E22E54"/>
    <w:rsid w:val="00E304FD"/>
    <w:rsid w:val="00E32DB9"/>
    <w:rsid w:val="00E365C3"/>
    <w:rsid w:val="00E366A7"/>
    <w:rsid w:val="00E4292E"/>
    <w:rsid w:val="00E472C6"/>
    <w:rsid w:val="00E83155"/>
    <w:rsid w:val="00E960BE"/>
    <w:rsid w:val="00E97641"/>
    <w:rsid w:val="00EA511E"/>
    <w:rsid w:val="00EA56F6"/>
    <w:rsid w:val="00EC622A"/>
    <w:rsid w:val="00EC649B"/>
    <w:rsid w:val="00EC75E7"/>
    <w:rsid w:val="00ED342B"/>
    <w:rsid w:val="00ED41AC"/>
    <w:rsid w:val="00ED6D3A"/>
    <w:rsid w:val="00EF2B03"/>
    <w:rsid w:val="00EF7B70"/>
    <w:rsid w:val="00F02291"/>
    <w:rsid w:val="00F04A62"/>
    <w:rsid w:val="00F12D81"/>
    <w:rsid w:val="00F146A4"/>
    <w:rsid w:val="00F26010"/>
    <w:rsid w:val="00F30111"/>
    <w:rsid w:val="00F31D3A"/>
    <w:rsid w:val="00F478AE"/>
    <w:rsid w:val="00F5564D"/>
    <w:rsid w:val="00F63724"/>
    <w:rsid w:val="00F72FAC"/>
    <w:rsid w:val="00F83D67"/>
    <w:rsid w:val="00F92C10"/>
    <w:rsid w:val="00F9391E"/>
    <w:rsid w:val="00F95876"/>
    <w:rsid w:val="00FA0009"/>
    <w:rsid w:val="00FA3F4F"/>
    <w:rsid w:val="00FB04DB"/>
    <w:rsid w:val="00FB1FA8"/>
    <w:rsid w:val="00FB4F8F"/>
    <w:rsid w:val="00FC182B"/>
    <w:rsid w:val="00FF79AE"/>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14029732">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83213205">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0879436">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60b31f1e-c7e1-4e65-8724-e896d31e214b"/>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1C3C87C9-98FB-4865-A705-42B5CC073D81}"/>
</file>

<file path=customXml/itemProps4.xml><?xml version="1.0" encoding="utf-8"?>
<ds:datastoreItem xmlns:ds="http://schemas.openxmlformats.org/officeDocument/2006/customXml" ds:itemID="{BE081828-27E9-429E-B0A6-2A9A840B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5157</CharactersWithSpaces>
  <SharedDoc>false</SharedDoc>
  <HLinks>
    <vt:vector size="6" baseType="variant">
      <vt:variant>
        <vt:i4>6815836</vt:i4>
      </vt:variant>
      <vt:variant>
        <vt:i4>0</vt:i4>
      </vt:variant>
      <vt:variant>
        <vt:i4>0</vt:i4>
      </vt:variant>
      <vt:variant>
        <vt:i4>5</vt:i4>
      </vt:variant>
      <vt:variant>
        <vt:lpwstr>mailto:uklink@xoserve.com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2</cp:revision>
  <cp:lastPrinted>2019-02-07T14:31:00Z</cp:lastPrinted>
  <dcterms:created xsi:type="dcterms:W3CDTF">2022-11-25T08:58:00Z</dcterms:created>
  <dcterms:modified xsi:type="dcterms:W3CDTF">2022-11-25T08:58:00Z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