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87" w:rsidRDefault="002B2E87" w:rsidP="00D66C7E">
      <w:r>
        <w:rPr>
          <w:noProof/>
        </w:rPr>
        <w:drawing>
          <wp:anchor distT="0" distB="0" distL="114300" distR="114300" simplePos="0" relativeHeight="251653120" behindDoc="0" locked="0" layoutInCell="1" allowOverlap="1" wp14:anchorId="3A6B562D" wp14:editId="4BC23F25">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RDefault="002B2E87" w:rsidP="00D66C7E"/>
    <w:p w:rsidR="002B2E87" w:rsidRDefault="002B2E87" w:rsidP="00D66C7E"/>
    <w:p w:rsidR="000C1358" w:rsidRDefault="000C1358" w:rsidP="00D6547A">
      <w:pPr>
        <w:pStyle w:val="Heading2"/>
        <w:jc w:val="center"/>
      </w:pPr>
      <w:r>
        <w:t>DSC Business Evaluation Report (BER)</w:t>
      </w:r>
    </w:p>
    <w:p w:rsidR="000C1358" w:rsidRDefault="000C1358" w:rsidP="00D66C7E"/>
    <w:tbl>
      <w:tblPr>
        <w:tblStyle w:val="TableGrid1"/>
        <w:tblW w:w="6060" w:type="pct"/>
        <w:tblInd w:w="-952" w:type="dxa"/>
        <w:tblLook w:val="04A0" w:firstRow="1" w:lastRow="0" w:firstColumn="1" w:lastColumn="0" w:noHBand="0" w:noVBand="1"/>
      </w:tblPr>
      <w:tblGrid>
        <w:gridCol w:w="5747"/>
        <w:gridCol w:w="5339"/>
      </w:tblGrid>
      <w:tr w:rsidR="00B13C27" w:rsidRPr="002B2E87" w:rsidTr="002506AA">
        <w:tc>
          <w:tcPr>
            <w:tcW w:w="2592" w:type="pct"/>
            <w:shd w:val="clear" w:color="auto" w:fill="FFFFFF" w:themeFill="background1"/>
            <w:vAlign w:val="center"/>
          </w:tcPr>
          <w:p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408" w:type="pct"/>
          </w:tcPr>
          <w:p w:rsidR="00B13C27" w:rsidRPr="002B2E87" w:rsidRDefault="00E70189" w:rsidP="00B13C27">
            <w:pPr>
              <w:rPr>
                <w:rFonts w:eastAsia="Times New Roman" w:cs="Arial"/>
                <w:sz w:val="20"/>
                <w:szCs w:val="16"/>
              </w:rPr>
            </w:pPr>
            <w:r>
              <w:rPr>
                <w:rFonts w:eastAsia="Times New Roman" w:cs="Arial"/>
                <w:sz w:val="20"/>
                <w:szCs w:val="16"/>
              </w:rPr>
              <w:t>XRN5</w:t>
            </w:r>
            <w:r w:rsidR="001D4B8B">
              <w:rPr>
                <w:rFonts w:eastAsia="Times New Roman" w:cs="Arial"/>
                <w:sz w:val="20"/>
                <w:szCs w:val="16"/>
              </w:rPr>
              <w:t>565</w:t>
            </w:r>
            <w:r>
              <w:rPr>
                <w:rFonts w:eastAsia="Times New Roman" w:cs="Arial"/>
                <w:sz w:val="20"/>
                <w:szCs w:val="16"/>
              </w:rPr>
              <w:t xml:space="preserve"> </w:t>
            </w:r>
            <w:r w:rsidR="001D4B8B" w:rsidRPr="001D4B8B">
              <w:rPr>
                <w:rFonts w:eastAsia="Times New Roman" w:cs="Arial"/>
                <w:sz w:val="20"/>
                <w:szCs w:val="16"/>
              </w:rPr>
              <w:t>Appointment of CDSP as the Scheme Administrator for the Energy Price Guarantee (EPG) for Domestic Gas Consumers (Gas) (UNC0824)</w:t>
            </w:r>
          </w:p>
        </w:tc>
      </w:tr>
      <w:tr w:rsidR="00B13C27" w:rsidRPr="002B2E87" w:rsidTr="002506AA">
        <w:tc>
          <w:tcPr>
            <w:tcW w:w="2592" w:type="pct"/>
            <w:shd w:val="clear" w:color="auto" w:fill="FFFFFF" w:themeFill="background1"/>
            <w:vAlign w:val="center"/>
          </w:tcPr>
          <w:p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408" w:type="pct"/>
          </w:tcPr>
          <w:p w:rsidR="00B13C27" w:rsidRPr="002B2E87" w:rsidRDefault="001D4B8B" w:rsidP="00B13C27">
            <w:pPr>
              <w:rPr>
                <w:rFonts w:eastAsia="Times New Roman" w:cs="Arial"/>
                <w:sz w:val="20"/>
                <w:szCs w:val="16"/>
              </w:rPr>
            </w:pPr>
            <w:r>
              <w:rPr>
                <w:rFonts w:eastAsia="Times New Roman" w:cs="Arial"/>
                <w:sz w:val="20"/>
                <w:szCs w:val="16"/>
              </w:rPr>
              <w:t>5565</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84738B" w:rsidP="00E70189">
            <w:pPr>
              <w:rPr>
                <w:rFonts w:eastAsia="Times New Roman" w:cs="Arial"/>
                <w:b/>
                <w:bCs/>
                <w:sz w:val="20"/>
                <w:szCs w:val="20"/>
              </w:rPr>
            </w:pPr>
            <w:r>
              <w:rPr>
                <w:rFonts w:eastAsia="Times New Roman" w:cs="Arial"/>
                <w:b/>
                <w:bCs/>
                <w:sz w:val="20"/>
                <w:szCs w:val="20"/>
              </w:rPr>
              <w:t xml:space="preserve">Xoserve / </w:t>
            </w:r>
            <w:r w:rsidR="00E70189" w:rsidRPr="6EEFDFBD">
              <w:rPr>
                <w:rFonts w:eastAsia="Times New Roman" w:cs="Arial"/>
                <w:b/>
                <w:bCs/>
                <w:sz w:val="20"/>
                <w:szCs w:val="20"/>
              </w:rPr>
              <w:t>Correla Project Manager</w:t>
            </w:r>
          </w:p>
        </w:tc>
        <w:tc>
          <w:tcPr>
            <w:tcW w:w="2408" w:type="pct"/>
            <w:tcBorders>
              <w:bottom w:val="single" w:sz="4" w:space="0" w:color="auto"/>
            </w:tcBorders>
          </w:tcPr>
          <w:p w:rsidR="00E70189" w:rsidRPr="002B2E87" w:rsidRDefault="00D2660A" w:rsidP="00E70189">
            <w:pPr>
              <w:rPr>
                <w:rFonts w:eastAsia="Times New Roman" w:cs="Arial"/>
                <w:sz w:val="20"/>
                <w:szCs w:val="16"/>
              </w:rPr>
            </w:pPr>
            <w:r>
              <w:rPr>
                <w:rFonts w:eastAsia="Times New Roman" w:cs="Arial"/>
                <w:sz w:val="20"/>
                <w:szCs w:val="16"/>
              </w:rPr>
              <w:t>Dave Turpin (Xoserve) / Alex Stuart (Correla)</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Email address</w:t>
            </w:r>
          </w:p>
        </w:tc>
        <w:tc>
          <w:tcPr>
            <w:tcW w:w="2408" w:type="pct"/>
            <w:tcBorders>
              <w:bottom w:val="single" w:sz="4" w:space="0" w:color="auto"/>
            </w:tcBorders>
          </w:tcPr>
          <w:p w:rsidR="0084738B" w:rsidRDefault="00814B7E" w:rsidP="00E70189">
            <w:pPr>
              <w:rPr>
                <w:rFonts w:eastAsia="Times New Roman" w:cs="Arial"/>
                <w:sz w:val="20"/>
                <w:szCs w:val="16"/>
              </w:rPr>
            </w:pPr>
            <w:hyperlink r:id="rId12" w:history="1">
              <w:r w:rsidR="0084738B" w:rsidRPr="00014CF0">
                <w:rPr>
                  <w:rStyle w:val="Hyperlink"/>
                  <w:rFonts w:eastAsia="Times New Roman" w:cs="Arial"/>
                  <w:sz w:val="20"/>
                  <w:szCs w:val="16"/>
                </w:rPr>
                <w:t>Dave.Turpin@xoserve.com</w:t>
              </w:r>
            </w:hyperlink>
          </w:p>
          <w:p w:rsidR="001D4B8B" w:rsidRPr="002B2E87" w:rsidRDefault="00814B7E" w:rsidP="00E70189">
            <w:pPr>
              <w:rPr>
                <w:rFonts w:eastAsia="Times New Roman" w:cs="Arial"/>
                <w:sz w:val="20"/>
                <w:szCs w:val="16"/>
              </w:rPr>
            </w:pPr>
            <w:hyperlink r:id="rId13" w:history="1">
              <w:r w:rsidR="0084738B" w:rsidRPr="00014CF0">
                <w:rPr>
                  <w:rStyle w:val="Hyperlink"/>
                  <w:rFonts w:eastAsia="Times New Roman" w:cs="Arial"/>
                  <w:sz w:val="20"/>
                  <w:szCs w:val="16"/>
                </w:rPr>
                <w:t>Alex.Stuart@correla.com</w:t>
              </w:r>
            </w:hyperlink>
            <w:r w:rsidR="0084738B">
              <w:rPr>
                <w:rFonts w:eastAsia="Times New Roman" w:cs="Arial"/>
                <w:sz w:val="20"/>
                <w:szCs w:val="16"/>
              </w:rPr>
              <w:t xml:space="preserve"> </w:t>
            </w:r>
            <w:r w:rsidR="001D4B8B">
              <w:rPr>
                <w:rFonts w:eastAsia="Times New Roman" w:cs="Arial"/>
                <w:sz w:val="20"/>
                <w:szCs w:val="16"/>
              </w:rPr>
              <w:t xml:space="preserve"> </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Contact number</w:t>
            </w:r>
          </w:p>
        </w:tc>
        <w:tc>
          <w:tcPr>
            <w:tcW w:w="2408" w:type="pct"/>
            <w:tcBorders>
              <w:bottom w:val="single" w:sz="4" w:space="0" w:color="auto"/>
            </w:tcBorders>
          </w:tcPr>
          <w:p w:rsidR="00E70189" w:rsidRPr="00C967C0" w:rsidRDefault="001D4B8B" w:rsidP="00E70189">
            <w:pPr>
              <w:rPr>
                <w:rFonts w:eastAsia="Times New Roman" w:cs="Arial"/>
                <w:sz w:val="20"/>
                <w:szCs w:val="20"/>
              </w:rPr>
            </w:pPr>
            <w:r>
              <w:rPr>
                <w:rFonts w:eastAsia="Times New Roman" w:cs="Arial"/>
                <w:sz w:val="20"/>
                <w:szCs w:val="20"/>
              </w:rPr>
              <w:t>0</w:t>
            </w:r>
            <w:r w:rsidRPr="001D4B8B">
              <w:rPr>
                <w:rFonts w:eastAsia="Times New Roman" w:cs="Arial"/>
                <w:sz w:val="20"/>
                <w:szCs w:val="20"/>
              </w:rPr>
              <w:t>121</w:t>
            </w:r>
            <w:r>
              <w:rPr>
                <w:rFonts w:eastAsia="Times New Roman" w:cs="Arial"/>
                <w:sz w:val="20"/>
                <w:szCs w:val="20"/>
              </w:rPr>
              <w:t xml:space="preserve"> </w:t>
            </w:r>
            <w:r w:rsidRPr="001D4B8B">
              <w:rPr>
                <w:rFonts w:eastAsia="Times New Roman" w:cs="Arial"/>
                <w:sz w:val="20"/>
                <w:szCs w:val="20"/>
              </w:rPr>
              <w:t>229</w:t>
            </w:r>
            <w:r>
              <w:rPr>
                <w:rFonts w:eastAsia="Times New Roman" w:cs="Arial"/>
                <w:sz w:val="20"/>
                <w:szCs w:val="20"/>
              </w:rPr>
              <w:t xml:space="preserve"> </w:t>
            </w:r>
            <w:r w:rsidRPr="001D4B8B">
              <w:rPr>
                <w:rFonts w:eastAsia="Times New Roman" w:cs="Arial"/>
                <w:sz w:val="20"/>
                <w:szCs w:val="20"/>
              </w:rPr>
              <w:t>2022</w:t>
            </w:r>
          </w:p>
        </w:tc>
      </w:tr>
      <w:tr w:rsidR="00E70189" w:rsidRPr="002B2E87" w:rsidTr="002506AA">
        <w:tc>
          <w:tcPr>
            <w:tcW w:w="2592" w:type="pct"/>
            <w:tcBorders>
              <w:bottom w:val="single" w:sz="4" w:space="0" w:color="auto"/>
            </w:tcBorders>
            <w:shd w:val="clear" w:color="auto" w:fill="FFFFFF" w:themeFill="background1"/>
            <w:vAlign w:val="center"/>
          </w:tcPr>
          <w:p w:rsidR="00E70189" w:rsidRPr="002B2E87" w:rsidRDefault="00E70189" w:rsidP="00E70189">
            <w:pPr>
              <w:rPr>
                <w:rFonts w:eastAsia="Times New Roman" w:cs="Arial"/>
                <w:b/>
                <w:sz w:val="20"/>
                <w:szCs w:val="16"/>
              </w:rPr>
            </w:pPr>
            <w:r w:rsidRPr="002B2E87">
              <w:rPr>
                <w:rFonts w:eastAsia="Times New Roman" w:cs="Arial"/>
                <w:b/>
                <w:sz w:val="20"/>
                <w:szCs w:val="16"/>
              </w:rPr>
              <w:t>Target Change Management Committee date</w:t>
            </w:r>
          </w:p>
        </w:tc>
        <w:tc>
          <w:tcPr>
            <w:tcW w:w="2408" w:type="pct"/>
            <w:tcBorders>
              <w:bottom w:val="single" w:sz="4" w:space="0" w:color="auto"/>
            </w:tcBorders>
          </w:tcPr>
          <w:p w:rsidR="00E70189" w:rsidRPr="001D4B8B" w:rsidRDefault="003C44DB" w:rsidP="00E70189">
            <w:pPr>
              <w:rPr>
                <w:rFonts w:eastAsia="Times New Roman" w:cs="Arial"/>
                <w:b/>
                <w:bCs/>
                <w:sz w:val="20"/>
                <w:szCs w:val="20"/>
                <w:lang w:val="en-US"/>
              </w:rPr>
            </w:pPr>
            <w:r w:rsidRPr="003C44DB">
              <w:rPr>
                <w:rFonts w:eastAsia="Times New Roman" w:cs="Arial"/>
                <w:b/>
                <w:bCs/>
                <w:sz w:val="20"/>
                <w:szCs w:val="20"/>
              </w:rPr>
              <w:t>December 2022</w:t>
            </w:r>
          </w:p>
        </w:tc>
      </w:tr>
      <w:tr w:rsidR="00E70189" w:rsidRPr="002B2E87" w:rsidTr="002506AA">
        <w:tc>
          <w:tcPr>
            <w:tcW w:w="5000" w:type="pct"/>
            <w:gridSpan w:val="2"/>
            <w:tcBorders>
              <w:bottom w:val="single" w:sz="4" w:space="0" w:color="auto"/>
            </w:tcBorders>
            <w:shd w:val="clear" w:color="auto" w:fill="3E5AA8" w:themeFill="accent1"/>
            <w:vAlign w:val="center"/>
          </w:tcPr>
          <w:p w:rsidR="00E70189" w:rsidRPr="002B2E87" w:rsidRDefault="00E70189" w:rsidP="00E70189">
            <w:pPr>
              <w:jc w:val="center"/>
              <w:rPr>
                <w:rFonts w:eastAsia="Times New Roman" w:cs="Arial"/>
                <w:b/>
              </w:rPr>
            </w:pPr>
            <w:r w:rsidRPr="002B2E87">
              <w:rPr>
                <w:rFonts w:eastAsia="Times New Roman" w:cs="Arial"/>
                <w:b/>
                <w:color w:val="FFFFFF"/>
                <w:sz w:val="20"/>
              </w:rPr>
              <w:t>Section 1: In Scope</w:t>
            </w:r>
          </w:p>
        </w:tc>
      </w:tr>
      <w:tr w:rsidR="00E70189" w:rsidRPr="002B2E87" w:rsidTr="002506AA">
        <w:tc>
          <w:tcPr>
            <w:tcW w:w="5000" w:type="pct"/>
            <w:gridSpan w:val="2"/>
            <w:tcBorders>
              <w:bottom w:val="single" w:sz="4" w:space="0" w:color="auto"/>
            </w:tcBorders>
            <w:shd w:val="clear" w:color="auto" w:fill="FFFFFF" w:themeFill="background1"/>
          </w:tcPr>
          <w:p w:rsidR="001D4B8B" w:rsidRPr="001D4B8B" w:rsidRDefault="001D4B8B" w:rsidP="001D4B8B">
            <w:pPr>
              <w:contextualSpacing/>
              <w:rPr>
                <w:sz w:val="20"/>
                <w:szCs w:val="20"/>
              </w:rPr>
            </w:pPr>
            <w:r w:rsidRPr="001D4B8B">
              <w:rPr>
                <w:sz w:val="20"/>
                <w:szCs w:val="20"/>
              </w:rPr>
              <w:t>The Government has proposed the EPG (Gas) Scheme, for domestic customers, to secure reductions in the energy bills of domestic customers within Great Britain. The intention is for the Central Data Service Provider (CDSP) to perform the function of the EPG (Gas) Scheme (the ‘Scheme’) Administrator and that the scheme to be implemented by 1st October 2022.</w:t>
            </w:r>
          </w:p>
          <w:p w:rsidR="001D4B8B" w:rsidRPr="001D4B8B" w:rsidRDefault="001D4B8B" w:rsidP="001D4B8B">
            <w:pPr>
              <w:contextualSpacing/>
              <w:rPr>
                <w:sz w:val="20"/>
                <w:szCs w:val="20"/>
              </w:rPr>
            </w:pPr>
          </w:p>
          <w:p w:rsidR="001D4B8B" w:rsidRPr="001D4B8B" w:rsidRDefault="001D4B8B" w:rsidP="001D4B8B">
            <w:pPr>
              <w:contextualSpacing/>
              <w:rPr>
                <w:sz w:val="20"/>
                <w:szCs w:val="20"/>
              </w:rPr>
            </w:pPr>
            <w:r w:rsidRPr="001D4B8B">
              <w:rPr>
                <w:sz w:val="20"/>
                <w:szCs w:val="20"/>
              </w:rPr>
              <w:t xml:space="preserve">Modification 0824 confirms the role of the CDSP as the Scheme Administrator for the EPG (Gas) and gives them the relevant powers to make changes under the DSC </w:t>
            </w:r>
            <w:proofErr w:type="gramStart"/>
            <w:r w:rsidRPr="001D4B8B">
              <w:rPr>
                <w:sz w:val="20"/>
                <w:szCs w:val="20"/>
              </w:rPr>
              <w:t>in order to</w:t>
            </w:r>
            <w:proofErr w:type="gramEnd"/>
            <w:r w:rsidRPr="001D4B8B">
              <w:rPr>
                <w:sz w:val="20"/>
                <w:szCs w:val="20"/>
              </w:rPr>
              <w:t xml:space="preserve"> facilitate implementation and administration of this Scheme, from 1st October 2022, in line with the Government direction.</w:t>
            </w:r>
          </w:p>
          <w:p w:rsidR="001D4B8B" w:rsidRPr="001D4B8B" w:rsidRDefault="001D4B8B" w:rsidP="001D4B8B">
            <w:pPr>
              <w:contextualSpacing/>
              <w:rPr>
                <w:sz w:val="20"/>
                <w:szCs w:val="20"/>
              </w:rPr>
            </w:pPr>
          </w:p>
          <w:p w:rsidR="0002467B" w:rsidRDefault="001D4B8B" w:rsidP="001D4B8B">
            <w:pPr>
              <w:contextualSpacing/>
              <w:rPr>
                <w:sz w:val="20"/>
                <w:szCs w:val="20"/>
              </w:rPr>
            </w:pPr>
            <w:r w:rsidRPr="001D4B8B">
              <w:rPr>
                <w:sz w:val="20"/>
                <w:szCs w:val="20"/>
              </w:rPr>
              <w:t xml:space="preserve">This change proposal seeks to design, build and implement the relevant functionality and processes </w:t>
            </w:r>
            <w:proofErr w:type="gramStart"/>
            <w:r w:rsidRPr="001D4B8B">
              <w:rPr>
                <w:sz w:val="20"/>
                <w:szCs w:val="20"/>
              </w:rPr>
              <w:t>in order for</w:t>
            </w:r>
            <w:proofErr w:type="gramEnd"/>
            <w:r w:rsidRPr="001D4B8B">
              <w:rPr>
                <w:sz w:val="20"/>
                <w:szCs w:val="20"/>
              </w:rPr>
              <w:t xml:space="preserve"> the CDSP to fulfil its role as the Scheme Administrator.</w:t>
            </w:r>
          </w:p>
          <w:p w:rsidR="001D4B8B" w:rsidRDefault="001D4B8B" w:rsidP="001D4B8B">
            <w:pPr>
              <w:contextualSpacing/>
            </w:pPr>
          </w:p>
          <w:p w:rsidR="0002467B" w:rsidRPr="006F4800" w:rsidRDefault="0002467B" w:rsidP="0002467B">
            <w:pPr>
              <w:contextualSpacing/>
              <w:rPr>
                <w:sz w:val="20"/>
                <w:szCs w:val="20"/>
              </w:rPr>
            </w:pPr>
            <w:r w:rsidRPr="006F4800">
              <w:rPr>
                <w:sz w:val="20"/>
                <w:szCs w:val="20"/>
              </w:rPr>
              <w:t>Activities covered by this BER</w:t>
            </w:r>
            <w:r>
              <w:rPr>
                <w:sz w:val="20"/>
                <w:szCs w:val="20"/>
              </w:rPr>
              <w:t xml:space="preserve"> include</w:t>
            </w:r>
            <w:r w:rsidRPr="006F4800">
              <w:rPr>
                <w:sz w:val="20"/>
                <w:szCs w:val="20"/>
              </w:rPr>
              <w:t>:</w:t>
            </w:r>
          </w:p>
          <w:p w:rsidR="0002467B" w:rsidRDefault="0002467B" w:rsidP="0002467B">
            <w:pPr>
              <w:pStyle w:val="ListParagraph"/>
              <w:numPr>
                <w:ilvl w:val="0"/>
                <w:numId w:val="17"/>
              </w:numPr>
              <w:spacing w:after="0" w:line="240" w:lineRule="auto"/>
              <w:jc w:val="left"/>
            </w:pPr>
            <w:r>
              <w:t>Full costs to de</w:t>
            </w:r>
            <w:r w:rsidR="00BC469B">
              <w:t xml:space="preserve">sign, build and implement </w:t>
            </w:r>
            <w:r>
              <w:t>the</w:t>
            </w:r>
            <w:r w:rsidR="00BC469B">
              <w:t xml:space="preserve"> </w:t>
            </w:r>
            <w:r w:rsidR="001D4B8B">
              <w:t>Gas EPG solution</w:t>
            </w:r>
            <w:r>
              <w:t>.</w:t>
            </w:r>
          </w:p>
          <w:p w:rsidR="0002467B" w:rsidRPr="00BC469B" w:rsidRDefault="001D4B8B" w:rsidP="0002467B">
            <w:pPr>
              <w:pStyle w:val="ListParagraph"/>
              <w:numPr>
                <w:ilvl w:val="0"/>
                <w:numId w:val="17"/>
              </w:numPr>
              <w:spacing w:after="0" w:line="240" w:lineRule="auto"/>
              <w:jc w:val="left"/>
            </w:pPr>
            <w:r>
              <w:t xml:space="preserve">First 6-months of </w:t>
            </w:r>
            <w:r w:rsidR="0002467B">
              <w:t>MTB costs</w:t>
            </w:r>
            <w:r w:rsidR="0084738B">
              <w:t xml:space="preserve"> for Xoserve and Correla resources</w:t>
            </w:r>
            <w:r w:rsidR="0002467B">
              <w:t xml:space="preserve"> </w:t>
            </w:r>
            <w:r>
              <w:t>to run the scheme on a weekly basis so that gas suppliers eligible for support payments under the government’s EPG scheme receive such payments</w:t>
            </w:r>
            <w:r w:rsidRPr="00BC469B">
              <w:t xml:space="preserve">. </w:t>
            </w:r>
            <w:r w:rsidR="00042E51" w:rsidRPr="00BC469B">
              <w:t>Costs f</w:t>
            </w:r>
            <w:r w:rsidR="00AA403D" w:rsidRPr="00BC469B">
              <w:t xml:space="preserve">or the remaining duration of the scheme </w:t>
            </w:r>
            <w:r w:rsidR="007B6174" w:rsidRPr="00BC469B">
              <w:t xml:space="preserve">(i.e. 14-months of gas reconciliation) will be covered within </w:t>
            </w:r>
            <w:proofErr w:type="spellStart"/>
            <w:r w:rsidR="007B6174" w:rsidRPr="00BC469B">
              <w:t>Xoserve’s</w:t>
            </w:r>
            <w:proofErr w:type="spellEnd"/>
            <w:r w:rsidR="007B6174" w:rsidRPr="00BC469B">
              <w:t xml:space="preserve"> Business Plan for 23/24 and 24/25. </w:t>
            </w:r>
          </w:p>
          <w:p w:rsidR="00E70189" w:rsidRPr="0002467B" w:rsidRDefault="00E70189" w:rsidP="00AD719B">
            <w:pPr>
              <w:pStyle w:val="ListParagraph"/>
              <w:spacing w:after="0" w:line="240" w:lineRule="auto"/>
              <w:jc w:val="left"/>
              <w:rPr>
                <w:b/>
              </w:rPr>
            </w:pPr>
          </w:p>
          <w:tbl>
            <w:tblPr>
              <w:tblW w:w="10702" w:type="dxa"/>
              <w:tblLook w:val="04A0" w:firstRow="1" w:lastRow="0" w:firstColumn="1" w:lastColumn="0" w:noHBand="0" w:noVBand="1"/>
            </w:tblPr>
            <w:tblGrid>
              <w:gridCol w:w="766"/>
              <w:gridCol w:w="2084"/>
              <w:gridCol w:w="1134"/>
              <w:gridCol w:w="3260"/>
              <w:gridCol w:w="2410"/>
              <w:gridCol w:w="1048"/>
            </w:tblGrid>
            <w:tr w:rsidR="00E70189" w:rsidRPr="00307A57" w:rsidTr="002506AA">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color w:val="FFFFFF"/>
                      <w:sz w:val="20"/>
                    </w:rPr>
                  </w:pPr>
                  <w:r w:rsidRPr="00307A57">
                    <w:rPr>
                      <w:rFonts w:asciiTheme="majorHAnsi" w:eastAsia="Times New Roman" w:hAnsiTheme="majorHAnsi" w:cstheme="majorHAnsi"/>
                      <w:b/>
                      <w:color w:val="FFFFFF"/>
                      <w:sz w:val="20"/>
                    </w:rPr>
                    <w:t>XRN</w:t>
                  </w:r>
                </w:p>
              </w:tc>
              <w:tc>
                <w:tcPr>
                  <w:tcW w:w="2084"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Link to Change Proposal</w:t>
                  </w:r>
                </w:p>
              </w:tc>
              <w:tc>
                <w:tcPr>
                  <w:tcW w:w="1048" w:type="dxa"/>
                  <w:tcBorders>
                    <w:top w:val="single" w:sz="4" w:space="0" w:color="auto"/>
                    <w:left w:val="single" w:sz="4" w:space="0" w:color="auto"/>
                    <w:bottom w:val="single" w:sz="4" w:space="0" w:color="auto"/>
                    <w:right w:val="single" w:sz="4" w:space="0" w:color="auto"/>
                  </w:tcBorders>
                  <w:shd w:val="clear" w:color="auto" w:fill="4472C4"/>
                </w:tcPr>
                <w:p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Impacts</w:t>
                  </w:r>
                </w:p>
              </w:tc>
            </w:tr>
            <w:tr w:rsidR="00E70189" w:rsidRPr="00307A57" w:rsidTr="002506AA">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9A4948" w:rsidP="00E70189">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5565</w:t>
                  </w:r>
                </w:p>
              </w:tc>
              <w:tc>
                <w:tcPr>
                  <w:tcW w:w="2084"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9A4948" w:rsidP="00E70189">
                  <w:pPr>
                    <w:spacing w:after="0" w:line="240" w:lineRule="auto"/>
                    <w:rPr>
                      <w:rFonts w:asciiTheme="majorHAnsi" w:eastAsia="Times New Roman" w:hAnsiTheme="majorHAnsi" w:cstheme="majorHAnsi"/>
                      <w:color w:val="000000"/>
                      <w:sz w:val="20"/>
                      <w:szCs w:val="20"/>
                    </w:rPr>
                  </w:pPr>
                  <w:r w:rsidRPr="001D4B8B">
                    <w:rPr>
                      <w:rFonts w:eastAsia="Times New Roman" w:cs="Arial"/>
                      <w:sz w:val="20"/>
                      <w:szCs w:val="16"/>
                    </w:rPr>
                    <w:t>Appointment of CDSP as the Scheme Administrator for the</w:t>
                  </w:r>
                  <w:r>
                    <w:rPr>
                      <w:rFonts w:eastAsia="Times New Roman" w:cs="Arial"/>
                      <w:sz w:val="20"/>
                      <w:szCs w:val="16"/>
                    </w:rPr>
                    <w:t xml:space="preserve"> EPG scheme</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307A57"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9A4948" w:rsidP="00E70189">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Mobilisation and </w:t>
                  </w:r>
                  <w:r w:rsidR="00C4113B">
                    <w:rPr>
                      <w:rFonts w:asciiTheme="majorHAnsi" w:eastAsia="Times New Roman" w:hAnsiTheme="majorHAnsi" w:cstheme="majorHAnsi"/>
                      <w:color w:val="000000"/>
                      <w:sz w:val="20"/>
                      <w:szCs w:val="20"/>
                    </w:rPr>
                    <w:t>operation of a solution capable of calculating and issuing out weekly EPG support payments to Gas Suppliers</w:t>
                  </w:r>
                  <w:r w:rsidR="00FE7317">
                    <w:rPr>
                      <w:rFonts w:asciiTheme="majorHAnsi" w:eastAsia="Times New Roman" w:hAnsiTheme="majorHAnsi" w:cstheme="majorHAnsi"/>
                      <w:color w:val="000000"/>
                      <w:sz w:val="20"/>
                      <w:szCs w:val="20"/>
                    </w:rPr>
                    <w:t xml:space="preserve"> on behalf of the government. </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814B7E" w:rsidP="00E70189">
                  <w:pPr>
                    <w:spacing w:after="0" w:line="240" w:lineRule="auto"/>
                    <w:jc w:val="center"/>
                    <w:rPr>
                      <w:rFonts w:asciiTheme="majorHAnsi" w:eastAsia="Times New Roman" w:hAnsiTheme="majorHAnsi" w:cstheme="majorHAnsi"/>
                      <w:color w:val="000000"/>
                      <w:sz w:val="20"/>
                      <w:szCs w:val="20"/>
                    </w:rPr>
                  </w:pPr>
                  <w:hyperlink r:id="rId14" w:history="1">
                    <w:r w:rsidR="007A7B0E" w:rsidRPr="008D59DD">
                      <w:rPr>
                        <w:rStyle w:val="Hyperlink"/>
                        <w:rFonts w:asciiTheme="majorHAnsi" w:eastAsia="Times New Roman" w:hAnsiTheme="majorHAnsi" w:cstheme="majorHAnsi"/>
                        <w:sz w:val="20"/>
                        <w:szCs w:val="20"/>
                      </w:rPr>
                      <w:t>Link</w:t>
                    </w:r>
                  </w:hyperlink>
                </w:p>
              </w:tc>
              <w:tc>
                <w:tcPr>
                  <w:tcW w:w="1048" w:type="dxa"/>
                  <w:tcBorders>
                    <w:top w:val="single" w:sz="4" w:space="0" w:color="auto"/>
                    <w:left w:val="single" w:sz="4" w:space="0" w:color="auto"/>
                    <w:bottom w:val="single" w:sz="4" w:space="0" w:color="auto"/>
                    <w:right w:val="single" w:sz="4" w:space="0" w:color="auto"/>
                  </w:tcBorders>
                  <w:shd w:val="clear" w:color="auto" w:fill="D9E1F2"/>
                </w:tcPr>
                <w:p w:rsidR="00E70189" w:rsidRPr="00307A57" w:rsidRDefault="008D59DD" w:rsidP="00E70189">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Shippers</w:t>
                  </w:r>
                </w:p>
              </w:tc>
            </w:tr>
          </w:tbl>
          <w:p w:rsidR="00E70189" w:rsidRPr="00907531" w:rsidRDefault="00E70189" w:rsidP="00E70189">
            <w:pPr>
              <w:pStyle w:val="ListParagraph"/>
              <w:spacing w:after="60" w:line="276" w:lineRule="auto"/>
              <w:ind w:left="1080"/>
              <w:rPr>
                <w:b/>
                <w:szCs w:val="20"/>
              </w:rPr>
            </w:pPr>
            <w:r>
              <w:rPr>
                <w:b/>
                <w:szCs w:val="20"/>
              </w:rPr>
              <w:t xml:space="preserve">  </w:t>
            </w:r>
          </w:p>
        </w:tc>
      </w:tr>
      <w:tr w:rsidR="00E70189" w:rsidRPr="002B2E87" w:rsidTr="002506AA">
        <w:trPr>
          <w:trHeight w:val="85"/>
        </w:trPr>
        <w:tc>
          <w:tcPr>
            <w:tcW w:w="5000" w:type="pct"/>
            <w:gridSpan w:val="2"/>
            <w:tcBorders>
              <w:bottom w:val="single" w:sz="4" w:space="0" w:color="auto"/>
            </w:tcBorders>
            <w:shd w:val="clear" w:color="auto" w:fill="3E5AA8" w:themeFill="accent1"/>
            <w:vAlign w:val="center"/>
          </w:tcPr>
          <w:p w:rsidR="00E70189" w:rsidRPr="002B2E87" w:rsidRDefault="00E70189" w:rsidP="00E70189">
            <w:pPr>
              <w:jc w:val="center"/>
              <w:rPr>
                <w:rFonts w:eastAsia="Times New Roman" w:cs="Arial"/>
                <w:b/>
                <w:color w:val="FF0000"/>
              </w:rPr>
            </w:pPr>
            <w:r w:rsidRPr="002B2E87">
              <w:rPr>
                <w:rFonts w:eastAsia="Times New Roman" w:cs="Arial"/>
                <w:b/>
                <w:color w:val="FFFFFF"/>
                <w:sz w:val="20"/>
              </w:rPr>
              <w:t>Section 2: Out of Scope</w:t>
            </w:r>
          </w:p>
        </w:tc>
      </w:tr>
      <w:tr w:rsidR="00E61877" w:rsidRPr="002B2E87" w:rsidTr="002506AA">
        <w:trPr>
          <w:trHeight w:val="85"/>
        </w:trPr>
        <w:tc>
          <w:tcPr>
            <w:tcW w:w="5000" w:type="pct"/>
            <w:gridSpan w:val="2"/>
            <w:tcBorders>
              <w:bottom w:val="single" w:sz="4" w:space="0" w:color="auto"/>
            </w:tcBorders>
            <w:shd w:val="clear" w:color="auto" w:fill="3E5AA8" w:themeFill="accent1"/>
            <w:vAlign w:val="center"/>
          </w:tcPr>
          <w:p w:rsidR="00E61877" w:rsidRPr="002B2E87" w:rsidRDefault="00E61877" w:rsidP="00E70189">
            <w:pPr>
              <w:jc w:val="center"/>
              <w:rPr>
                <w:rFonts w:eastAsia="Times New Roman" w:cs="Arial"/>
                <w:b/>
                <w:color w:val="FFFFFF"/>
                <w:sz w:val="20"/>
              </w:rPr>
            </w:pPr>
          </w:p>
        </w:tc>
      </w:tr>
      <w:tr w:rsidR="00E70189" w:rsidRPr="002B2E87" w:rsidTr="002506AA">
        <w:tc>
          <w:tcPr>
            <w:tcW w:w="5000" w:type="pct"/>
            <w:gridSpan w:val="2"/>
            <w:tcBorders>
              <w:bottom w:val="single" w:sz="4" w:space="0" w:color="auto"/>
            </w:tcBorders>
            <w:shd w:val="clear" w:color="auto" w:fill="FFFFFF" w:themeFill="background1"/>
          </w:tcPr>
          <w:p w:rsidR="00ED7EA7" w:rsidRPr="00ED7EA7" w:rsidRDefault="00ED7EA7" w:rsidP="00ED7EA7">
            <w:pPr>
              <w:ind w:left="360"/>
              <w:rPr>
                <w:rFonts w:cs="Arial"/>
              </w:rPr>
            </w:pPr>
          </w:p>
          <w:p w:rsidR="000379BD" w:rsidRDefault="00003EB8" w:rsidP="000379BD">
            <w:pPr>
              <w:pStyle w:val="ListParagraph"/>
              <w:numPr>
                <w:ilvl w:val="0"/>
                <w:numId w:val="2"/>
              </w:numPr>
              <w:spacing w:after="0" w:line="240" w:lineRule="auto"/>
              <w:rPr>
                <w:rFonts w:cs="Arial"/>
              </w:rPr>
            </w:pPr>
            <w:r>
              <w:rPr>
                <w:rFonts w:cs="Arial"/>
              </w:rPr>
              <w:t>Any additional changes</w:t>
            </w:r>
            <w:r w:rsidR="000379BD">
              <w:rPr>
                <w:rFonts w:cs="Arial"/>
              </w:rPr>
              <w:t xml:space="preserve"> [and associated costs]</w:t>
            </w:r>
            <w:r>
              <w:rPr>
                <w:rFonts w:cs="Arial"/>
              </w:rPr>
              <w:t xml:space="preserve"> required to the CDSP Gas EPG solution in-light of recent government announcements that the </w:t>
            </w:r>
            <w:r w:rsidR="001966E0">
              <w:rPr>
                <w:rFonts w:cs="Arial"/>
              </w:rPr>
              <w:t xml:space="preserve">current EPG scheme will not operate in </w:t>
            </w:r>
            <w:proofErr w:type="spellStart"/>
            <w:r w:rsidR="001966E0">
              <w:rPr>
                <w:rFonts w:cs="Arial"/>
              </w:rPr>
              <w:t>it’s</w:t>
            </w:r>
            <w:proofErr w:type="spellEnd"/>
            <w:r w:rsidR="001966E0">
              <w:rPr>
                <w:rFonts w:cs="Arial"/>
              </w:rPr>
              <w:t xml:space="preserve"> current </w:t>
            </w:r>
            <w:r w:rsidR="00BE5F7E">
              <w:rPr>
                <w:rFonts w:cs="Arial"/>
              </w:rPr>
              <w:t xml:space="preserve">guise </w:t>
            </w:r>
            <w:r w:rsidR="000379BD">
              <w:rPr>
                <w:rFonts w:cs="Arial"/>
              </w:rPr>
              <w:t>from April’23, instead becoming a more ‘targeted’ scheme to the poorest households within Great Britain.</w:t>
            </w:r>
          </w:p>
          <w:p w:rsidR="00BB18C5" w:rsidRDefault="00BB18C5" w:rsidP="00BB18C5">
            <w:pPr>
              <w:pStyle w:val="ListParagraph"/>
              <w:spacing w:after="0" w:line="240" w:lineRule="auto"/>
              <w:rPr>
                <w:rFonts w:cs="Arial"/>
              </w:rPr>
            </w:pPr>
          </w:p>
          <w:p w:rsidR="000379BD" w:rsidRPr="000379BD" w:rsidRDefault="000379BD" w:rsidP="000379BD">
            <w:pPr>
              <w:pStyle w:val="ListParagraph"/>
              <w:numPr>
                <w:ilvl w:val="0"/>
                <w:numId w:val="2"/>
              </w:numPr>
              <w:spacing w:after="0" w:line="240" w:lineRule="auto"/>
              <w:rPr>
                <w:rFonts w:cs="Arial"/>
              </w:rPr>
            </w:pPr>
            <w:r>
              <w:rPr>
                <w:rFonts w:cs="Arial"/>
              </w:rPr>
              <w:t xml:space="preserve">Any operational run costs associated with the 14-months of reconciliation, as per the </w:t>
            </w:r>
            <w:r w:rsidR="00BB18C5">
              <w:rPr>
                <w:rFonts w:cs="Arial"/>
              </w:rPr>
              <w:t xml:space="preserve">government’s EPG scheme design, from April’23. </w:t>
            </w:r>
          </w:p>
          <w:p w:rsidR="006F0034" w:rsidRPr="00BB18C5" w:rsidRDefault="006F0034" w:rsidP="00BB18C5">
            <w:pPr>
              <w:rPr>
                <w:rFonts w:cs="Arial"/>
              </w:rPr>
            </w:pPr>
          </w:p>
          <w:p w:rsidR="00ED7EA7" w:rsidRPr="00ED7EA7" w:rsidRDefault="00ED7EA7" w:rsidP="00ED7EA7">
            <w:pPr>
              <w:rPr>
                <w:rFonts w:cs="Arial"/>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E70189" w:rsidRPr="002B2E87" w:rsidTr="002506AA">
        <w:tc>
          <w:tcPr>
            <w:tcW w:w="5000" w:type="pct"/>
            <w:gridSpan w:val="2"/>
            <w:shd w:val="clear" w:color="auto" w:fill="auto"/>
          </w:tcPr>
          <w:p w:rsidR="00E70189" w:rsidRDefault="00E70189" w:rsidP="00E70189">
            <w:pPr>
              <w:rPr>
                <w:noProof/>
              </w:rPr>
            </w:pPr>
          </w:p>
          <w:p w:rsidR="005D7676" w:rsidRPr="00BC469B" w:rsidRDefault="005D7676" w:rsidP="005D7676">
            <w:pPr>
              <w:rPr>
                <w:rFonts w:eastAsia="Times New Roman" w:cs="Arial"/>
                <w:sz w:val="20"/>
                <w:szCs w:val="20"/>
              </w:rPr>
            </w:pPr>
            <w:r w:rsidRPr="00E37B03">
              <w:rPr>
                <w:rFonts w:eastAsia="Times New Roman" w:cs="Arial"/>
                <w:sz w:val="20"/>
                <w:szCs w:val="20"/>
              </w:rPr>
              <w:t xml:space="preserve">The following section outlines the costs </w:t>
            </w:r>
            <w:r>
              <w:rPr>
                <w:rFonts w:eastAsia="Times New Roman" w:cs="Arial"/>
                <w:sz w:val="20"/>
                <w:szCs w:val="20"/>
              </w:rPr>
              <w:t xml:space="preserve">to deliver the project </w:t>
            </w:r>
            <w:r w:rsidRPr="00E37B03">
              <w:rPr>
                <w:rFonts w:eastAsia="Times New Roman" w:cs="Arial"/>
                <w:sz w:val="20"/>
                <w:szCs w:val="20"/>
              </w:rPr>
              <w:t>for XRN</w:t>
            </w:r>
            <w:r>
              <w:rPr>
                <w:rFonts w:eastAsia="Times New Roman" w:cs="Arial"/>
                <w:sz w:val="20"/>
                <w:szCs w:val="20"/>
              </w:rPr>
              <w:t>5</w:t>
            </w:r>
            <w:r w:rsidR="00BB18C5">
              <w:rPr>
                <w:rFonts w:eastAsia="Times New Roman" w:cs="Arial"/>
                <w:sz w:val="20"/>
                <w:szCs w:val="20"/>
              </w:rPr>
              <w:t>565</w:t>
            </w:r>
            <w:r>
              <w:rPr>
                <w:rFonts w:eastAsia="Times New Roman" w:cs="Arial"/>
                <w:sz w:val="20"/>
                <w:szCs w:val="20"/>
              </w:rPr>
              <w:t xml:space="preserve"> and the MTB costs to run the service </w:t>
            </w:r>
            <w:r w:rsidR="00BB18C5">
              <w:rPr>
                <w:rFonts w:eastAsia="Times New Roman" w:cs="Arial"/>
                <w:sz w:val="20"/>
                <w:szCs w:val="20"/>
              </w:rPr>
              <w:t>within the remainder of the current 2022/23 CDSP financial year</w:t>
            </w:r>
            <w:r w:rsidR="00BB18C5" w:rsidRPr="00EF3B3D">
              <w:rPr>
                <w:rFonts w:eastAsia="Times New Roman" w:cs="Arial"/>
                <w:color w:val="FFC000"/>
                <w:sz w:val="20"/>
                <w:szCs w:val="20"/>
              </w:rPr>
              <w:t>.</w:t>
            </w:r>
            <w:r w:rsidRPr="00EF3B3D">
              <w:rPr>
                <w:rFonts w:eastAsia="Times New Roman" w:cs="Arial"/>
                <w:color w:val="FFC000"/>
                <w:sz w:val="20"/>
                <w:szCs w:val="20"/>
              </w:rPr>
              <w:t xml:space="preserve"> </w:t>
            </w:r>
            <w:r w:rsidR="00EF3B3D" w:rsidRPr="00EF3B3D">
              <w:rPr>
                <w:rFonts w:eastAsia="Times New Roman" w:cs="Arial"/>
                <w:color w:val="FFC000"/>
                <w:sz w:val="20"/>
                <w:szCs w:val="20"/>
              </w:rPr>
              <w:t xml:space="preserve"> </w:t>
            </w:r>
            <w:r w:rsidR="00EF3B3D" w:rsidRPr="00BC469B">
              <w:rPr>
                <w:rFonts w:eastAsia="Times New Roman" w:cs="Arial"/>
                <w:sz w:val="20"/>
                <w:szCs w:val="20"/>
              </w:rPr>
              <w:t xml:space="preserve">Previous discussion on funding of the EPG scheme have set </w:t>
            </w:r>
            <w:proofErr w:type="gramStart"/>
            <w:r w:rsidR="00EF3B3D" w:rsidRPr="00BC469B">
              <w:rPr>
                <w:rFonts w:eastAsia="Times New Roman" w:cs="Arial"/>
                <w:sz w:val="20"/>
                <w:szCs w:val="20"/>
              </w:rPr>
              <w:t xml:space="preserve">out </w:t>
            </w:r>
            <w:r w:rsidR="00BC469B" w:rsidRPr="00BC469B">
              <w:rPr>
                <w:rFonts w:eastAsia="Times New Roman" w:cs="Arial"/>
                <w:sz w:val="20"/>
                <w:szCs w:val="20"/>
              </w:rPr>
              <w:t xml:space="preserve"> that</w:t>
            </w:r>
            <w:proofErr w:type="gramEnd"/>
            <w:r w:rsidR="00BC469B" w:rsidRPr="00BC469B">
              <w:rPr>
                <w:rFonts w:eastAsia="Times New Roman" w:cs="Arial"/>
                <w:sz w:val="20"/>
                <w:szCs w:val="20"/>
              </w:rPr>
              <w:t xml:space="preserve"> funding will be from </w:t>
            </w:r>
            <w:r w:rsidR="00EF3B3D" w:rsidRPr="00BC469B">
              <w:rPr>
                <w:rFonts w:eastAsia="Times New Roman" w:cs="Arial"/>
                <w:sz w:val="20"/>
                <w:szCs w:val="20"/>
              </w:rPr>
              <w:t>domestic shippers</w:t>
            </w:r>
            <w:r w:rsidR="00BC469B" w:rsidRPr="00BC469B">
              <w:rPr>
                <w:rFonts w:eastAsia="Times New Roman" w:cs="Arial"/>
                <w:sz w:val="20"/>
                <w:szCs w:val="20"/>
              </w:rPr>
              <w:t>.</w:t>
            </w:r>
          </w:p>
          <w:p w:rsidR="005D7676" w:rsidRDefault="005D7676" w:rsidP="005D7676">
            <w:pPr>
              <w:rPr>
                <w:rFonts w:eastAsia="Times New Roman" w:cs="Arial"/>
                <w:sz w:val="20"/>
                <w:szCs w:val="20"/>
              </w:rPr>
            </w:pPr>
          </w:p>
          <w:p w:rsidR="005D7676" w:rsidRDefault="005D7676" w:rsidP="005D7676">
            <w:pPr>
              <w:rPr>
                <w:rFonts w:eastAsia="Times New Roman" w:cs="Arial"/>
                <w:b/>
                <w:sz w:val="18"/>
                <w:szCs w:val="18"/>
              </w:rPr>
            </w:pPr>
          </w:p>
          <w:p w:rsidR="005D7676" w:rsidRDefault="005D7676" w:rsidP="005D7676">
            <w:pPr>
              <w:rPr>
                <w:rFonts w:eastAsia="Times New Roman" w:cs="Arial"/>
                <w:b/>
                <w:sz w:val="20"/>
                <w:szCs w:val="20"/>
                <w:u w:val="single"/>
              </w:rPr>
            </w:pPr>
            <w:r w:rsidRPr="00176DB5">
              <w:rPr>
                <w:rFonts w:eastAsia="Times New Roman" w:cs="Arial"/>
                <w:b/>
                <w:sz w:val="20"/>
                <w:szCs w:val="20"/>
                <w:u w:val="single"/>
              </w:rPr>
              <w:t>BER Costs</w:t>
            </w:r>
            <w:r w:rsidR="0035100A">
              <w:rPr>
                <w:rFonts w:eastAsia="Times New Roman" w:cs="Arial"/>
                <w:b/>
                <w:sz w:val="20"/>
                <w:szCs w:val="20"/>
                <w:u w:val="single"/>
              </w:rPr>
              <w:t xml:space="preserve"> </w:t>
            </w:r>
          </w:p>
          <w:p w:rsidR="005D7676" w:rsidRDefault="005D7676" w:rsidP="005D7676">
            <w:pPr>
              <w:rPr>
                <w:rFonts w:cs="Arial"/>
                <w:b/>
                <w:bCs/>
                <w:sz w:val="18"/>
                <w:szCs w:val="18"/>
                <w:u w:val="single"/>
              </w:rPr>
            </w:pPr>
          </w:p>
          <w:tbl>
            <w:tblPr>
              <w:tblW w:w="10094" w:type="dxa"/>
              <w:tblLook w:val="04A0" w:firstRow="1" w:lastRow="0" w:firstColumn="1" w:lastColumn="0" w:noHBand="0" w:noVBand="1"/>
            </w:tblPr>
            <w:tblGrid>
              <w:gridCol w:w="1080"/>
              <w:gridCol w:w="851"/>
              <w:gridCol w:w="723"/>
              <w:gridCol w:w="851"/>
              <w:gridCol w:w="850"/>
              <w:gridCol w:w="995"/>
              <w:gridCol w:w="995"/>
              <w:gridCol w:w="917"/>
              <w:gridCol w:w="995"/>
              <w:gridCol w:w="878"/>
              <w:gridCol w:w="575"/>
              <w:gridCol w:w="574"/>
              <w:gridCol w:w="575"/>
            </w:tblGrid>
            <w:tr w:rsidR="00BC469B" w:rsidRPr="006F387F" w:rsidTr="00BB18C5">
              <w:trPr>
                <w:trHeight w:val="54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XRN Ref</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HLSO</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 xml:space="preserve">Design </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Build</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Test (</w:t>
                  </w:r>
                  <w:proofErr w:type="spellStart"/>
                  <w:r w:rsidRPr="00367701">
                    <w:rPr>
                      <w:rFonts w:asciiTheme="majorHAnsi" w:eastAsia="Times New Roman" w:hAnsiTheme="majorHAnsi" w:cstheme="majorHAnsi"/>
                      <w:b/>
                      <w:bCs/>
                      <w:color w:val="FFFFFF"/>
                      <w:sz w:val="14"/>
                      <w:szCs w:val="14"/>
                    </w:rPr>
                    <w:t>inc</w:t>
                  </w:r>
                  <w:proofErr w:type="spellEnd"/>
                  <w:r w:rsidRPr="00367701">
                    <w:rPr>
                      <w:rFonts w:asciiTheme="majorHAnsi" w:eastAsia="Times New Roman" w:hAnsiTheme="majorHAnsi" w:cstheme="majorHAnsi"/>
                      <w:b/>
                      <w:bCs/>
                      <w:color w:val="FFFFFF"/>
                      <w:sz w:val="14"/>
                      <w:szCs w:val="14"/>
                    </w:rPr>
                    <w:t xml:space="preserve"> Market Trials &amp; Dual Run)</w:t>
                  </w:r>
                </w:p>
              </w:tc>
              <w:tc>
                <w:tcPr>
                  <w:tcW w:w="853"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Imp / PIS</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1st Year MTB</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Risk Margin</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 xml:space="preserve">BER </w:t>
                  </w:r>
                  <w:proofErr w:type="gramStart"/>
                  <w:r w:rsidRPr="00367701">
                    <w:rPr>
                      <w:rFonts w:asciiTheme="majorHAnsi" w:eastAsia="Times New Roman" w:hAnsiTheme="majorHAnsi" w:cstheme="majorHAnsi"/>
                      <w:b/>
                      <w:bCs/>
                      <w:color w:val="FFFFFF"/>
                      <w:sz w:val="14"/>
                      <w:szCs w:val="14"/>
                    </w:rPr>
                    <w:t>Delivery  Total</w:t>
                  </w:r>
                  <w:proofErr w:type="gramEnd"/>
                </w:p>
              </w:tc>
              <w:tc>
                <w:tcPr>
                  <w:tcW w:w="738"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Shipper</w:t>
                  </w:r>
                  <w:r w:rsidR="00EF3B3D">
                    <w:rPr>
                      <w:rFonts w:asciiTheme="majorHAnsi" w:eastAsia="Times New Roman" w:hAnsiTheme="majorHAnsi" w:cstheme="majorHAnsi"/>
                      <w:b/>
                      <w:bCs/>
                      <w:color w:val="FFFFFF"/>
                      <w:sz w:val="14"/>
                      <w:szCs w:val="14"/>
                    </w:rPr>
                    <w:t xml:space="preserve"> (domestic only)</w:t>
                  </w:r>
                  <w:r w:rsidRPr="00367701">
                    <w:rPr>
                      <w:rFonts w:asciiTheme="majorHAnsi" w:eastAsia="Times New Roman" w:hAnsiTheme="majorHAnsi" w:cstheme="majorHAnsi"/>
                      <w:b/>
                      <w:bCs/>
                      <w:color w:val="FFFFFF"/>
                      <w:sz w:val="14"/>
                      <w:szCs w:val="14"/>
                    </w:rPr>
                    <w:t xml:space="preserve"> %</w:t>
                  </w:r>
                </w:p>
              </w:tc>
              <w:tc>
                <w:tcPr>
                  <w:tcW w:w="575"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EF3B3D"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DN</w:t>
                  </w:r>
                </w:p>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w:t>
                  </w:r>
                </w:p>
              </w:tc>
              <w:tc>
                <w:tcPr>
                  <w:tcW w:w="574"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EF3B3D"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IGT</w:t>
                  </w:r>
                </w:p>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w:t>
                  </w:r>
                </w:p>
              </w:tc>
              <w:tc>
                <w:tcPr>
                  <w:tcW w:w="575"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NTS %</w:t>
                  </w:r>
                </w:p>
              </w:tc>
            </w:tr>
            <w:tr w:rsidR="00BC469B" w:rsidRPr="006F387F" w:rsidTr="00BB18C5">
              <w:trPr>
                <w:trHeight w:val="521"/>
              </w:trPr>
              <w:tc>
                <w:tcPr>
                  <w:tcW w:w="1080" w:type="dxa"/>
                  <w:tcBorders>
                    <w:top w:val="nil"/>
                    <w:left w:val="single" w:sz="4" w:space="0" w:color="000000" w:themeColor="text1"/>
                    <w:bottom w:val="nil"/>
                    <w:right w:val="single" w:sz="4" w:space="0" w:color="000000" w:themeColor="text1"/>
                  </w:tcBorders>
                  <w:shd w:val="clear" w:color="auto" w:fill="auto"/>
                  <w:noWrap/>
                  <w:vAlign w:val="center"/>
                  <w:hideMark/>
                </w:tcPr>
                <w:p w:rsidR="005D7676" w:rsidRPr="00367701" w:rsidRDefault="00BB18C5" w:rsidP="005D7676">
                  <w:pPr>
                    <w:spacing w:after="0" w:line="240" w:lineRule="auto"/>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XRN5565 Appointment of CDSP as the Scheme Administrator for Domestic EPG scheme</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BB18C5" w:rsidP="00BB18C5">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723" w:type="dxa"/>
                  <w:tcBorders>
                    <w:top w:val="nil"/>
                    <w:left w:val="nil"/>
                    <w:bottom w:val="nil"/>
                    <w:right w:val="single" w:sz="4" w:space="0" w:color="000000" w:themeColor="text1"/>
                  </w:tcBorders>
                  <w:shd w:val="clear" w:color="auto" w:fill="auto"/>
                  <w:noWrap/>
                  <w:vAlign w:val="center"/>
                  <w:hideMark/>
                </w:tcPr>
                <w:p w:rsidR="005D7676" w:rsidRPr="00367701" w:rsidRDefault="00BB18C5" w:rsidP="00BB18C5">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BB18C5" w:rsidP="00BB18C5">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850" w:type="dxa"/>
                  <w:tcBorders>
                    <w:top w:val="nil"/>
                    <w:left w:val="nil"/>
                    <w:bottom w:val="nil"/>
                    <w:right w:val="single" w:sz="4" w:space="0" w:color="000000" w:themeColor="text1"/>
                  </w:tcBorders>
                  <w:shd w:val="clear" w:color="auto" w:fill="auto"/>
                  <w:noWrap/>
                  <w:vAlign w:val="center"/>
                  <w:hideMark/>
                </w:tcPr>
                <w:p w:rsidR="005D7676" w:rsidRPr="00367701" w:rsidRDefault="00BB18C5" w:rsidP="00BB18C5">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853"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w:t>
                  </w:r>
                  <w:r w:rsidR="00E051E6" w:rsidRPr="00E051E6">
                    <w:rPr>
                      <w:rFonts w:asciiTheme="majorHAnsi" w:eastAsia="Times New Roman" w:hAnsiTheme="majorHAnsi" w:cstheme="majorHAnsi"/>
                      <w:color w:val="000000"/>
                      <w:sz w:val="14"/>
                      <w:szCs w:val="14"/>
                    </w:rPr>
                    <w:t>362,071.56</w:t>
                  </w:r>
                </w:p>
              </w:tc>
              <w:tc>
                <w:tcPr>
                  <w:tcW w:w="723" w:type="dxa"/>
                  <w:tcBorders>
                    <w:top w:val="nil"/>
                    <w:left w:val="nil"/>
                    <w:bottom w:val="nil"/>
                    <w:right w:val="single" w:sz="4" w:space="0" w:color="000000" w:themeColor="text1"/>
                  </w:tcBorders>
                  <w:shd w:val="clear" w:color="auto" w:fill="auto"/>
                  <w:noWrap/>
                  <w:vAlign w:val="center"/>
                  <w:hideMark/>
                </w:tcPr>
                <w:p w:rsidR="005D7676" w:rsidRPr="00367701" w:rsidRDefault="00F07CD2" w:rsidP="00367701">
                  <w:pPr>
                    <w:spacing w:after="0" w:line="240" w:lineRule="auto"/>
                    <w:jc w:val="right"/>
                    <w:rPr>
                      <w:rFonts w:asciiTheme="majorHAnsi" w:eastAsia="Times New Roman" w:hAnsiTheme="majorHAnsi" w:cstheme="majorHAnsi"/>
                      <w:color w:val="000000"/>
                      <w:sz w:val="14"/>
                      <w:szCs w:val="14"/>
                    </w:rPr>
                  </w:pPr>
                  <w:r w:rsidRPr="00F07CD2">
                    <w:rPr>
                      <w:rFonts w:asciiTheme="majorHAnsi" w:eastAsia="Times New Roman" w:hAnsiTheme="majorHAnsi" w:cstheme="majorHAnsi"/>
                      <w:color w:val="000000"/>
                      <w:sz w:val="14"/>
                      <w:szCs w:val="14"/>
                    </w:rPr>
                    <w:t>£</w:t>
                  </w:r>
                  <w:r w:rsidR="00BC469B">
                    <w:rPr>
                      <w:rFonts w:asciiTheme="majorHAnsi" w:eastAsia="Times New Roman" w:hAnsiTheme="majorHAnsi" w:cstheme="majorHAnsi"/>
                      <w:color w:val="000000"/>
                      <w:sz w:val="14"/>
                      <w:szCs w:val="14"/>
                    </w:rPr>
                    <w:t>422</w:t>
                  </w:r>
                  <w:r w:rsidRPr="00F07CD2">
                    <w:rPr>
                      <w:rFonts w:asciiTheme="majorHAnsi" w:eastAsia="Times New Roman" w:hAnsiTheme="majorHAnsi" w:cstheme="majorHAnsi"/>
                      <w:color w:val="000000"/>
                      <w:sz w:val="14"/>
                      <w:szCs w:val="14"/>
                    </w:rPr>
                    <w:t>,</w:t>
                  </w:r>
                  <w:r w:rsidR="00BC469B">
                    <w:rPr>
                      <w:rFonts w:asciiTheme="majorHAnsi" w:eastAsia="Times New Roman" w:hAnsiTheme="majorHAnsi" w:cstheme="majorHAnsi"/>
                      <w:color w:val="000000"/>
                      <w:sz w:val="14"/>
                      <w:szCs w:val="14"/>
                    </w:rPr>
                    <w:t>867</w:t>
                  </w:r>
                  <w:r w:rsidRPr="00F07CD2">
                    <w:rPr>
                      <w:rFonts w:asciiTheme="majorHAnsi" w:eastAsia="Times New Roman" w:hAnsiTheme="majorHAnsi" w:cstheme="majorHAnsi"/>
                      <w:color w:val="000000"/>
                      <w:sz w:val="14"/>
                      <w:szCs w:val="14"/>
                    </w:rPr>
                    <w:t>.</w:t>
                  </w:r>
                  <w:r w:rsidR="00BC469B">
                    <w:rPr>
                      <w:rFonts w:asciiTheme="majorHAnsi" w:eastAsia="Times New Roman" w:hAnsiTheme="majorHAnsi" w:cstheme="majorHAnsi"/>
                      <w:color w:val="000000"/>
                      <w:sz w:val="14"/>
                      <w:szCs w:val="14"/>
                    </w:rPr>
                    <w:t>2</w:t>
                  </w:r>
                  <w:r w:rsidRPr="00F07CD2">
                    <w:rPr>
                      <w:rFonts w:asciiTheme="majorHAnsi" w:eastAsia="Times New Roman" w:hAnsiTheme="majorHAnsi" w:cstheme="majorHAnsi"/>
                      <w:color w:val="000000"/>
                      <w:sz w:val="14"/>
                      <w:szCs w:val="14"/>
                    </w:rPr>
                    <w:t>4</w:t>
                  </w:r>
                </w:p>
              </w:tc>
              <w:tc>
                <w:tcPr>
                  <w:tcW w:w="850"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5731F">
                  <w:pPr>
                    <w:spacing w:after="0" w:line="240" w:lineRule="auto"/>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themeColor="text1"/>
                      <w:sz w:val="14"/>
                      <w:szCs w:val="14"/>
                    </w:rPr>
                    <w:t>£</w:t>
                  </w:r>
                  <w:r w:rsidR="0055731F">
                    <w:rPr>
                      <w:rFonts w:asciiTheme="majorHAnsi" w:eastAsia="Times New Roman" w:hAnsiTheme="majorHAnsi" w:cstheme="majorHAnsi"/>
                      <w:color w:val="000000" w:themeColor="text1"/>
                      <w:sz w:val="14"/>
                      <w:szCs w:val="14"/>
                    </w:rPr>
                    <w:t>15,061.20</w:t>
                  </w:r>
                  <w:r w:rsidRPr="00367701">
                    <w:rPr>
                      <w:rFonts w:asciiTheme="majorHAnsi" w:eastAsia="Times New Roman" w:hAnsiTheme="majorHAnsi" w:cstheme="majorHAnsi"/>
                      <w:color w:val="000000" w:themeColor="text1"/>
                      <w:sz w:val="14"/>
                      <w:szCs w:val="14"/>
                    </w:rPr>
                    <w:t xml:space="preserve"> </w:t>
                  </w:r>
                </w:p>
              </w:tc>
              <w:tc>
                <w:tcPr>
                  <w:tcW w:w="851"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860932">
                  <w:pPr>
                    <w:spacing w:after="0" w:line="240" w:lineRule="auto"/>
                    <w:rPr>
                      <w:rFonts w:asciiTheme="majorHAnsi" w:hAnsiTheme="majorHAnsi" w:cstheme="majorHAnsi"/>
                      <w:sz w:val="14"/>
                      <w:szCs w:val="14"/>
                    </w:rPr>
                  </w:pPr>
                  <w:r w:rsidRPr="00367701">
                    <w:rPr>
                      <w:rFonts w:asciiTheme="majorHAnsi" w:eastAsia="Times New Roman" w:hAnsiTheme="majorHAnsi" w:cstheme="majorHAnsi"/>
                      <w:color w:val="000000" w:themeColor="text1"/>
                      <w:sz w:val="14"/>
                      <w:szCs w:val="14"/>
                    </w:rPr>
                    <w:t>£</w:t>
                  </w:r>
                  <w:r w:rsidR="00BC469B">
                    <w:rPr>
                      <w:rFonts w:asciiTheme="majorHAnsi" w:eastAsia="Times New Roman" w:hAnsiTheme="majorHAnsi" w:cstheme="majorHAnsi"/>
                      <w:color w:val="000000" w:themeColor="text1"/>
                      <w:sz w:val="14"/>
                      <w:szCs w:val="14"/>
                    </w:rPr>
                    <w:t>800,000.00</w:t>
                  </w:r>
                </w:p>
              </w:tc>
              <w:tc>
                <w:tcPr>
                  <w:tcW w:w="738"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r w:rsidR="00860932" w:rsidRPr="00367701">
                    <w:rPr>
                      <w:rFonts w:asciiTheme="majorHAnsi" w:eastAsia="Times New Roman" w:hAnsiTheme="majorHAnsi" w:cstheme="majorHAnsi"/>
                      <w:color w:val="000000"/>
                      <w:sz w:val="14"/>
                      <w:szCs w:val="14"/>
                    </w:rPr>
                    <w:t>100</w:t>
                  </w:r>
                  <w:r w:rsidR="00860932">
                    <w:rPr>
                      <w:rFonts w:asciiTheme="majorHAnsi" w:eastAsia="Times New Roman" w:hAnsiTheme="majorHAnsi" w:cstheme="majorHAnsi"/>
                      <w:color w:val="000000"/>
                      <w:sz w:val="14"/>
                      <w:szCs w:val="14"/>
                    </w:rPr>
                    <w:t>%</w:t>
                  </w:r>
                </w:p>
              </w:tc>
              <w:tc>
                <w:tcPr>
                  <w:tcW w:w="575"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p>
              </w:tc>
              <w:tc>
                <w:tcPr>
                  <w:tcW w:w="574"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75" w:type="dxa"/>
                  <w:tcBorders>
                    <w:top w:val="nil"/>
                    <w:left w:val="nil"/>
                    <w:bottom w:val="nil"/>
                    <w:right w:val="single" w:sz="4" w:space="0" w:color="000000" w:themeColor="text1"/>
                  </w:tcBorders>
                  <w:shd w:val="clear" w:color="auto" w:fill="auto"/>
                  <w:noWrap/>
                  <w:vAlign w:val="center"/>
                  <w:hideMark/>
                </w:tcPr>
                <w:p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r>
          </w:tbl>
          <w:p w:rsidR="005D7676" w:rsidRPr="002C58D6" w:rsidRDefault="005D7676" w:rsidP="005D7676">
            <w:pPr>
              <w:rPr>
                <w:rFonts w:cs="Arial"/>
                <w:b/>
                <w:bCs/>
                <w:sz w:val="18"/>
                <w:szCs w:val="18"/>
                <w:u w:val="single"/>
              </w:rPr>
            </w:pPr>
          </w:p>
          <w:p w:rsidR="003521E4" w:rsidRDefault="003521E4" w:rsidP="00E70189">
            <w:pPr>
              <w:rPr>
                <w:rFonts w:cs="Arial"/>
                <w:sz w:val="20"/>
                <w:szCs w:val="20"/>
              </w:rPr>
            </w:pPr>
          </w:p>
          <w:p w:rsidR="003521E4" w:rsidRPr="003521E4" w:rsidRDefault="003521E4" w:rsidP="00E70189">
            <w:pPr>
              <w:rPr>
                <w:rFonts w:cs="Arial"/>
                <w:b/>
                <w:bCs/>
                <w:sz w:val="20"/>
                <w:szCs w:val="20"/>
                <w:u w:val="single"/>
              </w:rPr>
            </w:pPr>
            <w:r w:rsidRPr="003521E4">
              <w:rPr>
                <w:rFonts w:cs="Arial"/>
                <w:b/>
                <w:bCs/>
                <w:sz w:val="20"/>
                <w:szCs w:val="20"/>
                <w:u w:val="single"/>
              </w:rPr>
              <w:t>Key</w:t>
            </w:r>
          </w:p>
          <w:p w:rsidR="00E70189" w:rsidRPr="005C6FCD" w:rsidRDefault="00E70189" w:rsidP="00E70189">
            <w:pPr>
              <w:rPr>
                <w:rFonts w:cs="Arial"/>
                <w:sz w:val="20"/>
                <w:szCs w:val="20"/>
              </w:rPr>
            </w:pPr>
            <w:r>
              <w:rPr>
                <w:noProof/>
              </w:rPr>
              <w:drawing>
                <wp:inline distT="0" distB="0" distL="0" distR="0" wp14:anchorId="1FF3CBB2" wp14:editId="75FD3F10">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E70189" w:rsidRPr="002B2E87" w:rsidTr="002506AA">
        <w:tc>
          <w:tcPr>
            <w:tcW w:w="5000" w:type="pct"/>
            <w:gridSpan w:val="2"/>
            <w:shd w:val="clear" w:color="auto" w:fill="auto"/>
          </w:tcPr>
          <w:p w:rsidR="00E70189" w:rsidRDefault="00E70189" w:rsidP="00E70189">
            <w:pPr>
              <w:contextualSpacing/>
              <w:rPr>
                <w:rFonts w:eastAsia="Times New Roman" w:cs="Arial"/>
                <w:b/>
                <w:sz w:val="20"/>
                <w:u w:val="single"/>
              </w:rPr>
            </w:pPr>
          </w:p>
          <w:p w:rsidR="00247385" w:rsidRDefault="00247385" w:rsidP="00247385">
            <w:pPr>
              <w:contextualSpacing/>
              <w:rPr>
                <w:rFonts w:eastAsia="Times New Roman" w:cs="Arial"/>
                <w:b/>
                <w:sz w:val="20"/>
                <w:u w:val="single"/>
              </w:rPr>
            </w:pPr>
            <w:r>
              <w:rPr>
                <w:rFonts w:eastAsia="Times New Roman" w:cs="Arial"/>
                <w:b/>
                <w:sz w:val="20"/>
                <w:u w:val="single"/>
              </w:rPr>
              <w:t>Manage The Business (MTB) Costs</w:t>
            </w:r>
          </w:p>
          <w:p w:rsidR="00D44F7B" w:rsidRDefault="00D44F7B" w:rsidP="00E70189">
            <w:pPr>
              <w:contextualSpacing/>
              <w:rPr>
                <w:rFonts w:eastAsia="Times New Roman" w:cs="Arial"/>
                <w:b/>
                <w:sz w:val="20"/>
                <w:u w:val="single"/>
              </w:rPr>
            </w:pPr>
          </w:p>
          <w:p w:rsidR="00D44F7B" w:rsidRPr="005B7D54" w:rsidRDefault="00C705EB" w:rsidP="00E70189">
            <w:pPr>
              <w:contextualSpacing/>
              <w:rPr>
                <w:rFonts w:eastAsia="Times New Roman" w:cs="Arial"/>
                <w:bCs/>
                <w:sz w:val="20"/>
              </w:rPr>
            </w:pPr>
            <w:r w:rsidRPr="005B7D54">
              <w:rPr>
                <w:rFonts w:eastAsia="Times New Roman" w:cs="Arial"/>
                <w:bCs/>
                <w:sz w:val="20"/>
              </w:rPr>
              <w:t>N/A – no impacts to existing DSC service lines, and no additional DSC services to be added to represent t</w:t>
            </w:r>
            <w:r w:rsidR="00F86C48" w:rsidRPr="005B7D54">
              <w:rPr>
                <w:rFonts w:eastAsia="Times New Roman" w:cs="Arial"/>
                <w:bCs/>
                <w:sz w:val="20"/>
              </w:rPr>
              <w:t xml:space="preserve">he CDSP’s involvement in the government’s domestic EPG </w:t>
            </w:r>
            <w:proofErr w:type="gramStart"/>
            <w:r w:rsidR="00F86C48" w:rsidRPr="005B7D54">
              <w:rPr>
                <w:rFonts w:eastAsia="Times New Roman" w:cs="Arial"/>
                <w:bCs/>
                <w:sz w:val="20"/>
              </w:rPr>
              <w:t>scheme .</w:t>
            </w:r>
            <w:proofErr w:type="gramEnd"/>
          </w:p>
          <w:p w:rsidR="00E70189" w:rsidRDefault="00E70189" w:rsidP="00E70189">
            <w:pPr>
              <w:contextualSpacing/>
              <w:rPr>
                <w:rFonts w:eastAsia="Times New Roman" w:cs="Arial"/>
                <w:b/>
                <w:szCs w:val="16"/>
              </w:rPr>
            </w:pPr>
          </w:p>
          <w:tbl>
            <w:tblPr>
              <w:tblStyle w:val="TableGrid1"/>
              <w:tblpPr w:leftFromText="180" w:rightFromText="180" w:vertAnchor="text" w:horzAnchor="margin" w:tblpXSpec="center" w:tblpY="162"/>
              <w:tblOverlap w:val="never"/>
              <w:tblW w:w="9360" w:type="dxa"/>
              <w:tblLook w:val="04A0" w:firstRow="1" w:lastRow="0" w:firstColumn="1" w:lastColumn="0" w:noHBand="0" w:noVBand="1"/>
            </w:tblPr>
            <w:tblGrid>
              <w:gridCol w:w="960"/>
              <w:gridCol w:w="2835"/>
              <w:gridCol w:w="2765"/>
              <w:gridCol w:w="2800"/>
            </w:tblGrid>
            <w:tr w:rsidR="00F86C48" w:rsidRPr="00E45748" w:rsidTr="00F86C48">
              <w:trPr>
                <w:trHeight w:val="520"/>
              </w:trPr>
              <w:tc>
                <w:tcPr>
                  <w:tcW w:w="960" w:type="dxa"/>
                  <w:hideMark/>
                </w:tcPr>
                <w:p w:rsidR="00F86C48" w:rsidRPr="00E45748" w:rsidRDefault="00F86C48" w:rsidP="00F86C48">
                  <w:pPr>
                    <w:jc w:val="center"/>
                    <w:rPr>
                      <w:rFonts w:eastAsia="Times New Roman" w:cs="Arial"/>
                      <w:b/>
                      <w:bCs/>
                      <w:color w:val="000000"/>
                      <w:sz w:val="20"/>
                      <w:szCs w:val="20"/>
                    </w:rPr>
                  </w:pPr>
                  <w:r>
                    <w:rPr>
                      <w:rFonts w:cs="Arial"/>
                      <w:b/>
                      <w:bCs/>
                      <w:color w:val="000000"/>
                      <w:sz w:val="20"/>
                      <w:szCs w:val="20"/>
                    </w:rPr>
                    <w:t>XRN</w:t>
                  </w:r>
                </w:p>
              </w:tc>
              <w:tc>
                <w:tcPr>
                  <w:tcW w:w="2835" w:type="dxa"/>
                  <w:hideMark/>
                </w:tcPr>
                <w:p w:rsidR="00F86C48" w:rsidRPr="00E45748" w:rsidRDefault="00F86C48" w:rsidP="00F86C48">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rsidR="00F86C48" w:rsidRPr="00E45748" w:rsidRDefault="00F86C48" w:rsidP="00F86C48">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rsidR="00F86C48" w:rsidRPr="00E45748" w:rsidRDefault="00F86C48" w:rsidP="00F86C48">
                  <w:pPr>
                    <w:jc w:val="center"/>
                    <w:rPr>
                      <w:rFonts w:eastAsia="Times New Roman" w:cs="Arial"/>
                      <w:b/>
                      <w:bCs/>
                      <w:color w:val="000000"/>
                      <w:sz w:val="20"/>
                      <w:szCs w:val="20"/>
                    </w:rPr>
                  </w:pPr>
                  <w:r>
                    <w:rPr>
                      <w:rFonts w:cs="Arial"/>
                      <w:b/>
                      <w:bCs/>
                      <w:color w:val="000000"/>
                      <w:sz w:val="20"/>
                      <w:szCs w:val="20"/>
                    </w:rPr>
                    <w:t>(+/-) Projected Change in Annual Cost</w:t>
                  </w:r>
                </w:p>
              </w:tc>
            </w:tr>
            <w:tr w:rsidR="00F86C48" w:rsidRPr="00E45748" w:rsidTr="00F86C48">
              <w:trPr>
                <w:trHeight w:val="690"/>
              </w:trPr>
              <w:tc>
                <w:tcPr>
                  <w:tcW w:w="960" w:type="dxa"/>
                  <w:vAlign w:val="center"/>
                </w:tcPr>
                <w:p w:rsidR="00F86C48" w:rsidRPr="001E58AF" w:rsidRDefault="00F86C48" w:rsidP="00F86C48">
                  <w:pPr>
                    <w:jc w:val="right"/>
                    <w:rPr>
                      <w:rFonts w:eastAsia="Times New Roman" w:cs="Arial"/>
                      <w:i/>
                      <w:color w:val="0070C0"/>
                      <w:sz w:val="20"/>
                      <w:szCs w:val="24"/>
                      <w:lang w:eastAsia="en-US"/>
                    </w:rPr>
                  </w:pPr>
                </w:p>
              </w:tc>
              <w:tc>
                <w:tcPr>
                  <w:tcW w:w="2835" w:type="dxa"/>
                  <w:vAlign w:val="center"/>
                </w:tcPr>
                <w:p w:rsidR="00F86C48" w:rsidRPr="001E58AF" w:rsidRDefault="00F86C48" w:rsidP="00F86C48">
                  <w:pPr>
                    <w:rPr>
                      <w:rFonts w:eastAsia="Times New Roman" w:cs="Arial"/>
                      <w:i/>
                      <w:color w:val="0070C0"/>
                      <w:sz w:val="20"/>
                      <w:szCs w:val="24"/>
                      <w:lang w:eastAsia="en-US"/>
                    </w:rPr>
                  </w:pPr>
                </w:p>
              </w:tc>
              <w:tc>
                <w:tcPr>
                  <w:tcW w:w="2765" w:type="dxa"/>
                </w:tcPr>
                <w:p w:rsidR="00F86C48" w:rsidRPr="001E58AF" w:rsidRDefault="00F86C48" w:rsidP="00F86C48">
                  <w:pPr>
                    <w:jc w:val="center"/>
                    <w:rPr>
                      <w:rFonts w:eastAsia="Times New Roman" w:cs="Arial"/>
                      <w:i/>
                      <w:color w:val="0070C0"/>
                      <w:sz w:val="20"/>
                      <w:szCs w:val="24"/>
                      <w:lang w:eastAsia="en-US"/>
                    </w:rPr>
                  </w:pPr>
                </w:p>
              </w:tc>
              <w:tc>
                <w:tcPr>
                  <w:tcW w:w="2800" w:type="dxa"/>
                </w:tcPr>
                <w:p w:rsidR="00F86C48" w:rsidRPr="001E58AF" w:rsidRDefault="00F86C48" w:rsidP="00F86C48">
                  <w:pPr>
                    <w:jc w:val="right"/>
                    <w:rPr>
                      <w:rFonts w:eastAsia="Times New Roman" w:cs="Arial"/>
                      <w:i/>
                      <w:color w:val="0070C0"/>
                      <w:sz w:val="20"/>
                      <w:szCs w:val="24"/>
                      <w:lang w:eastAsia="en-US"/>
                    </w:rPr>
                  </w:pPr>
                </w:p>
              </w:tc>
            </w:tr>
          </w:tbl>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7948DC" w:rsidRDefault="007948DC" w:rsidP="00E70189">
            <w:pPr>
              <w:contextualSpacing/>
              <w:rPr>
                <w:rFonts w:eastAsia="Times New Roman" w:cs="Arial"/>
                <w:b/>
                <w:szCs w:val="16"/>
              </w:rPr>
            </w:pPr>
          </w:p>
          <w:p w:rsidR="004A7697" w:rsidRDefault="004A7697" w:rsidP="00E70189">
            <w:pPr>
              <w:contextualSpacing/>
              <w:rPr>
                <w:rFonts w:eastAsia="Times New Roman" w:cs="Arial"/>
                <w:b/>
                <w:szCs w:val="16"/>
              </w:rPr>
            </w:pPr>
          </w:p>
          <w:p w:rsidR="002506AA" w:rsidRPr="002B2E87" w:rsidRDefault="002506AA" w:rsidP="009A5F62">
            <w:pPr>
              <w:contextualSpacing/>
              <w:rPr>
                <w:rFonts w:eastAsia="Times New Roman" w:cs="Arial"/>
                <w:b/>
                <w:szCs w:val="16"/>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E70189" w:rsidRPr="002B2E87" w:rsidTr="002506AA">
        <w:tc>
          <w:tcPr>
            <w:tcW w:w="5000" w:type="pct"/>
            <w:gridSpan w:val="2"/>
            <w:shd w:val="clear" w:color="auto" w:fill="auto"/>
          </w:tcPr>
          <w:p w:rsidR="00E70189" w:rsidRDefault="00E70189" w:rsidP="00E70189">
            <w:pPr>
              <w:rPr>
                <w:rFonts w:eastAsia="Times New Roman" w:cs="Arial"/>
                <w:b/>
                <w:sz w:val="20"/>
                <w:szCs w:val="16"/>
              </w:rPr>
            </w:pPr>
          </w:p>
          <w:p w:rsidR="00B76253" w:rsidRDefault="00432243" w:rsidP="00B76253">
            <w:pPr>
              <w:rPr>
                <w:rFonts w:eastAsia="Times New Roman" w:cs="Arial"/>
                <w:b/>
                <w:sz w:val="20"/>
                <w:szCs w:val="16"/>
              </w:rPr>
            </w:pPr>
            <w:r>
              <w:rPr>
                <w:noProof/>
              </w:rPr>
              <w:drawing>
                <wp:inline distT="0" distB="0" distL="0" distR="0" wp14:anchorId="2287A502" wp14:editId="0F6933BD">
                  <wp:extent cx="5731510" cy="17589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58950"/>
                          </a:xfrm>
                          <a:prstGeom prst="rect">
                            <a:avLst/>
                          </a:prstGeom>
                        </pic:spPr>
                      </pic:pic>
                    </a:graphicData>
                  </a:graphic>
                </wp:inline>
              </w:drawing>
            </w:r>
          </w:p>
          <w:p w:rsidR="00881022" w:rsidRPr="005422DD" w:rsidRDefault="00881022" w:rsidP="00B76253">
            <w:pPr>
              <w:rPr>
                <w:rFonts w:eastAsia="Times New Roman" w:cs="Arial"/>
                <w:b/>
                <w:sz w:val="20"/>
                <w:szCs w:val="16"/>
              </w:rPr>
            </w:pPr>
          </w:p>
          <w:p w:rsidR="00E70189" w:rsidRDefault="00E70189" w:rsidP="00E70189">
            <w:pPr>
              <w:rPr>
                <w:rFonts w:eastAsia="Times New Roman" w:cs="Arial"/>
                <w:b/>
                <w:sz w:val="20"/>
                <w:szCs w:val="16"/>
              </w:rPr>
            </w:pPr>
          </w:p>
          <w:p w:rsidR="00E70189" w:rsidRPr="002B2E87" w:rsidRDefault="00E70189" w:rsidP="00E70189">
            <w:pPr>
              <w:rPr>
                <w:rFonts w:eastAsia="Times New Roman" w:cs="Arial"/>
                <w:b/>
                <w:sz w:val="20"/>
                <w:szCs w:val="16"/>
              </w:rPr>
            </w:pPr>
          </w:p>
        </w:tc>
      </w:tr>
      <w:tr w:rsidR="00E70189" w:rsidRPr="002B2E87" w:rsidTr="002506AA">
        <w:tc>
          <w:tcPr>
            <w:tcW w:w="5000" w:type="pct"/>
            <w:gridSpan w:val="2"/>
            <w:shd w:val="clear" w:color="auto" w:fill="3E5AA8" w:themeFill="accent1"/>
            <w:vAlign w:val="center"/>
          </w:tcPr>
          <w:p w:rsidR="00E70189" w:rsidRPr="002B2E87" w:rsidRDefault="00E70189" w:rsidP="00E70189">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E70189" w:rsidRPr="002B2E87" w:rsidTr="002506AA">
        <w:tc>
          <w:tcPr>
            <w:tcW w:w="5000" w:type="pct"/>
            <w:gridSpan w:val="2"/>
            <w:shd w:val="clear" w:color="auto" w:fill="auto"/>
          </w:tcPr>
          <w:p w:rsidR="00E70189" w:rsidRDefault="00E70189" w:rsidP="00E70189">
            <w:pPr>
              <w:rPr>
                <w:rFonts w:cs="Arial"/>
                <w:b/>
                <w:i/>
                <w:sz w:val="20"/>
                <w:szCs w:val="20"/>
              </w:rPr>
            </w:pPr>
          </w:p>
          <w:p w:rsidR="001F679C" w:rsidRDefault="001F679C" w:rsidP="001F679C">
            <w:pPr>
              <w:rPr>
                <w:rFonts w:cs="Arial"/>
                <w:sz w:val="18"/>
                <w:szCs w:val="18"/>
              </w:rPr>
            </w:pPr>
          </w:p>
          <w:tbl>
            <w:tblPr>
              <w:tblW w:w="10469" w:type="dxa"/>
              <w:tblLook w:val="04A0" w:firstRow="1" w:lastRow="0" w:firstColumn="1" w:lastColumn="0" w:noHBand="0" w:noVBand="1"/>
            </w:tblPr>
            <w:tblGrid>
              <w:gridCol w:w="960"/>
              <w:gridCol w:w="2064"/>
              <w:gridCol w:w="7445"/>
            </w:tblGrid>
            <w:tr w:rsidR="001F679C" w:rsidRPr="00351882" w:rsidTr="002506A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Risk Margin</w:t>
                  </w:r>
                </w:p>
              </w:tc>
              <w:tc>
                <w:tcPr>
                  <w:tcW w:w="7445" w:type="dxa"/>
                  <w:tcBorders>
                    <w:top w:val="single" w:sz="8" w:space="0" w:color="auto"/>
                    <w:left w:val="nil"/>
                    <w:bottom w:val="single" w:sz="8" w:space="0" w:color="auto"/>
                    <w:right w:val="single" w:sz="8" w:space="0" w:color="auto"/>
                  </w:tcBorders>
                  <w:shd w:val="clear" w:color="auto" w:fill="44546A"/>
                  <w:noWrap/>
                  <w:vAlign w:val="center"/>
                  <w:hideMark/>
                </w:tcPr>
                <w:p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Description</w:t>
                  </w:r>
                </w:p>
              </w:tc>
            </w:tr>
            <w:tr w:rsidR="001F679C" w:rsidRPr="00351882"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w:t>
                  </w:r>
                  <w:r w:rsidR="00432243">
                    <w:rPr>
                      <w:rFonts w:asciiTheme="majorHAnsi" w:hAnsiTheme="majorHAnsi" w:cstheme="majorHAnsi"/>
                      <w:color w:val="000000"/>
                      <w:sz w:val="20"/>
                      <w:szCs w:val="20"/>
                    </w:rPr>
                    <w:t>565</w:t>
                  </w:r>
                </w:p>
              </w:tc>
              <w:tc>
                <w:tcPr>
                  <w:tcW w:w="2064" w:type="dxa"/>
                  <w:tcBorders>
                    <w:top w:val="nil"/>
                    <w:left w:val="nil"/>
                    <w:bottom w:val="single" w:sz="8" w:space="0" w:color="auto"/>
                    <w:right w:val="single" w:sz="8" w:space="0" w:color="auto"/>
                  </w:tcBorders>
                  <w:shd w:val="clear" w:color="auto" w:fill="auto"/>
                  <w:noWrap/>
                  <w:vAlign w:val="center"/>
                  <w:hideMark/>
                </w:tcPr>
                <w:p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sidR="00432243">
                    <w:rPr>
                      <w:rFonts w:asciiTheme="majorHAnsi" w:hAnsiTheme="majorHAnsi" w:cstheme="majorHAnsi"/>
                      <w:sz w:val="20"/>
                      <w:szCs w:val="20"/>
                    </w:rPr>
                    <w:t>15,061.20</w:t>
                  </w:r>
                </w:p>
              </w:tc>
              <w:tc>
                <w:tcPr>
                  <w:tcW w:w="7445" w:type="dxa"/>
                  <w:tcBorders>
                    <w:top w:val="nil"/>
                    <w:left w:val="nil"/>
                    <w:bottom w:val="single" w:sz="8" w:space="0" w:color="auto"/>
                    <w:right w:val="single" w:sz="8" w:space="0" w:color="auto"/>
                  </w:tcBorders>
                  <w:shd w:val="clear" w:color="auto" w:fill="auto"/>
                  <w:noWrap/>
                  <w:vAlign w:val="center"/>
                  <w:hideMark/>
                </w:tcPr>
                <w:p w:rsidR="001F679C" w:rsidRPr="00E663B1" w:rsidRDefault="00CE457E"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Contingency that</w:t>
                  </w:r>
                  <w:r w:rsidRPr="00CE457E">
                    <w:rPr>
                      <w:rFonts w:asciiTheme="majorHAnsi" w:hAnsiTheme="majorHAnsi" w:cstheme="majorHAnsi"/>
                      <w:color w:val="000000"/>
                      <w:sz w:val="20"/>
                      <w:szCs w:val="20"/>
                    </w:rPr>
                    <w:t xml:space="preserve"> may be required from January 2023 onwards if increase</w:t>
                  </w:r>
                  <w:r w:rsidR="005B7D54">
                    <w:rPr>
                      <w:rFonts w:asciiTheme="majorHAnsi" w:hAnsiTheme="majorHAnsi" w:cstheme="majorHAnsi"/>
                      <w:color w:val="000000"/>
                      <w:sz w:val="20"/>
                      <w:szCs w:val="20"/>
                    </w:rPr>
                    <w:t xml:space="preserve">d </w:t>
                  </w:r>
                  <w:r w:rsidRPr="00CE457E">
                    <w:rPr>
                      <w:rFonts w:asciiTheme="majorHAnsi" w:hAnsiTheme="majorHAnsi" w:cstheme="majorHAnsi"/>
                      <w:color w:val="000000"/>
                      <w:sz w:val="20"/>
                      <w:szCs w:val="20"/>
                    </w:rPr>
                    <w:t xml:space="preserve">resources </w:t>
                  </w:r>
                  <w:r w:rsidR="005B7D54">
                    <w:rPr>
                      <w:rFonts w:asciiTheme="majorHAnsi" w:hAnsiTheme="majorHAnsi" w:cstheme="majorHAnsi"/>
                      <w:color w:val="000000"/>
                      <w:sz w:val="20"/>
                      <w:szCs w:val="20"/>
                    </w:rPr>
                    <w:t xml:space="preserve">are required due to increased </w:t>
                  </w:r>
                  <w:r w:rsidRPr="00CE457E">
                    <w:rPr>
                      <w:rFonts w:asciiTheme="majorHAnsi" w:hAnsiTheme="majorHAnsi" w:cstheme="majorHAnsi"/>
                      <w:color w:val="000000"/>
                      <w:sz w:val="20"/>
                      <w:szCs w:val="20"/>
                    </w:rPr>
                    <w:t xml:space="preserve">EPG query volumes and/or complexity </w:t>
                  </w:r>
                  <w:r>
                    <w:rPr>
                      <w:rFonts w:asciiTheme="majorHAnsi" w:hAnsiTheme="majorHAnsi" w:cstheme="majorHAnsi"/>
                      <w:color w:val="000000"/>
                      <w:sz w:val="20"/>
                      <w:szCs w:val="20"/>
                    </w:rPr>
                    <w:t xml:space="preserve">following the first </w:t>
                  </w:r>
                  <w:r w:rsidR="00B365E1">
                    <w:rPr>
                      <w:rFonts w:asciiTheme="majorHAnsi" w:hAnsiTheme="majorHAnsi" w:cstheme="majorHAnsi"/>
                      <w:color w:val="000000"/>
                      <w:sz w:val="20"/>
                      <w:szCs w:val="20"/>
                    </w:rPr>
                    <w:t xml:space="preserve">run of Amendment EPG reconciliation. </w:t>
                  </w:r>
                </w:p>
              </w:tc>
            </w:tr>
          </w:tbl>
          <w:p w:rsidR="001F679C" w:rsidRDefault="001F679C" w:rsidP="001F679C">
            <w:pPr>
              <w:pStyle w:val="NGTHeading3"/>
              <w:numPr>
                <w:ilvl w:val="0"/>
                <w:numId w:val="0"/>
              </w:numPr>
              <w:spacing w:line="240" w:lineRule="auto"/>
              <w:ind w:left="720"/>
              <w:rPr>
                <w:szCs w:val="20"/>
                <w:lang w:val="en-US"/>
              </w:rPr>
            </w:pPr>
          </w:p>
          <w:p w:rsidR="001F679C" w:rsidRPr="00C91237" w:rsidRDefault="001F679C" w:rsidP="001F679C">
            <w:pPr>
              <w:pStyle w:val="NGTHeading3"/>
              <w:numPr>
                <w:ilvl w:val="0"/>
                <w:numId w:val="0"/>
              </w:numPr>
              <w:spacing w:line="240" w:lineRule="auto"/>
              <w:jc w:val="left"/>
              <w:rPr>
                <w:b/>
                <w:bCs/>
                <w:szCs w:val="20"/>
                <w:u w:val="single"/>
                <w:lang w:val="en-US"/>
              </w:rPr>
            </w:pPr>
            <w:r w:rsidRPr="00C91237">
              <w:rPr>
                <w:b/>
                <w:bCs/>
                <w:szCs w:val="20"/>
                <w:u w:val="single"/>
                <w:lang w:val="en-US"/>
              </w:rPr>
              <w:t>Specific Project Risks</w:t>
            </w:r>
          </w:p>
          <w:p w:rsidR="001F679C" w:rsidRDefault="001F679C" w:rsidP="001F679C">
            <w:pPr>
              <w:pStyle w:val="NGTHeading3"/>
              <w:numPr>
                <w:ilvl w:val="0"/>
                <w:numId w:val="0"/>
              </w:numPr>
              <w:spacing w:line="240" w:lineRule="auto"/>
              <w:jc w:val="left"/>
              <w:rPr>
                <w:szCs w:val="20"/>
                <w:lang w:val="en-US"/>
              </w:rPr>
            </w:pPr>
          </w:p>
          <w:tbl>
            <w:tblPr>
              <w:tblStyle w:val="TableGrid"/>
              <w:tblW w:w="0" w:type="auto"/>
              <w:tblLook w:val="04A0" w:firstRow="1" w:lastRow="0" w:firstColumn="1" w:lastColumn="0" w:noHBand="0" w:noVBand="1"/>
            </w:tblPr>
            <w:tblGrid>
              <w:gridCol w:w="4237"/>
              <w:gridCol w:w="1418"/>
              <w:gridCol w:w="3402"/>
              <w:gridCol w:w="1417"/>
            </w:tblGrid>
            <w:tr w:rsidR="001F679C" w:rsidTr="002506AA">
              <w:trPr>
                <w:tblHeader/>
              </w:trPr>
              <w:tc>
                <w:tcPr>
                  <w:tcW w:w="4237"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Risk Description</w:t>
                  </w:r>
                </w:p>
              </w:tc>
              <w:tc>
                <w:tcPr>
                  <w:tcW w:w="1418"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Impact</w:t>
                  </w:r>
                </w:p>
              </w:tc>
              <w:tc>
                <w:tcPr>
                  <w:tcW w:w="3402"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Mitigation</w:t>
                  </w:r>
                </w:p>
              </w:tc>
              <w:tc>
                <w:tcPr>
                  <w:tcW w:w="1417" w:type="dxa"/>
                </w:tcPr>
                <w:p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Owner</w:t>
                  </w:r>
                </w:p>
              </w:tc>
            </w:tr>
            <w:tr w:rsidR="001F679C" w:rsidTr="002506AA">
              <w:tc>
                <w:tcPr>
                  <w:tcW w:w="4237" w:type="dxa"/>
                </w:tcPr>
                <w:p w:rsidR="001F679C" w:rsidRDefault="005B7D54" w:rsidP="001F679C">
                  <w:pPr>
                    <w:pStyle w:val="NGTHeading3"/>
                    <w:numPr>
                      <w:ilvl w:val="0"/>
                      <w:numId w:val="0"/>
                    </w:numPr>
                    <w:spacing w:line="240" w:lineRule="auto"/>
                    <w:jc w:val="left"/>
                    <w:rPr>
                      <w:szCs w:val="20"/>
                      <w:lang w:val="en-US"/>
                    </w:rPr>
                  </w:pPr>
                  <w:r>
                    <w:rPr>
                      <w:szCs w:val="20"/>
                      <w:lang w:val="en-US"/>
                    </w:rPr>
                    <w:t>There is a risk there may be further development costs required from April 2023 should BEIS requirements change the scope of the scheme.</w:t>
                  </w:r>
                </w:p>
              </w:tc>
              <w:tc>
                <w:tcPr>
                  <w:tcW w:w="1418" w:type="dxa"/>
                </w:tcPr>
                <w:p w:rsidR="001F679C" w:rsidRDefault="005B7D54" w:rsidP="001F679C">
                  <w:pPr>
                    <w:pStyle w:val="NGTHeading3"/>
                    <w:numPr>
                      <w:ilvl w:val="0"/>
                      <w:numId w:val="0"/>
                    </w:numPr>
                    <w:spacing w:line="240" w:lineRule="auto"/>
                    <w:jc w:val="left"/>
                    <w:rPr>
                      <w:szCs w:val="20"/>
                      <w:lang w:val="en-US"/>
                    </w:rPr>
                  </w:pPr>
                  <w:r>
                    <w:rPr>
                      <w:szCs w:val="20"/>
                      <w:lang w:val="en-US"/>
                    </w:rPr>
                    <w:t>Increased costs</w:t>
                  </w:r>
                </w:p>
              </w:tc>
              <w:tc>
                <w:tcPr>
                  <w:tcW w:w="3402" w:type="dxa"/>
                </w:tcPr>
                <w:p w:rsidR="001F679C" w:rsidRDefault="005B7D54" w:rsidP="001F679C">
                  <w:pPr>
                    <w:pStyle w:val="NGTHeading3"/>
                    <w:numPr>
                      <w:ilvl w:val="0"/>
                      <w:numId w:val="0"/>
                    </w:numPr>
                    <w:spacing w:line="240" w:lineRule="auto"/>
                    <w:jc w:val="left"/>
                    <w:rPr>
                      <w:szCs w:val="20"/>
                      <w:lang w:val="en-US"/>
                    </w:rPr>
                  </w:pPr>
                  <w:r>
                    <w:rPr>
                      <w:szCs w:val="20"/>
                      <w:lang w:val="en-US"/>
                    </w:rPr>
                    <w:t>Further funding required from the DSC Change budget from 2023/24.</w:t>
                  </w:r>
                </w:p>
              </w:tc>
              <w:tc>
                <w:tcPr>
                  <w:tcW w:w="1417" w:type="dxa"/>
                </w:tcPr>
                <w:p w:rsidR="001F679C" w:rsidRDefault="005B7D54" w:rsidP="001F679C">
                  <w:pPr>
                    <w:pStyle w:val="NGTHeading3"/>
                    <w:numPr>
                      <w:ilvl w:val="0"/>
                      <w:numId w:val="0"/>
                    </w:numPr>
                    <w:spacing w:line="240" w:lineRule="auto"/>
                    <w:jc w:val="left"/>
                    <w:rPr>
                      <w:szCs w:val="20"/>
                      <w:lang w:val="en-US"/>
                    </w:rPr>
                  </w:pPr>
                  <w:r>
                    <w:rPr>
                      <w:szCs w:val="20"/>
                      <w:lang w:val="en-US"/>
                    </w:rPr>
                    <w:t xml:space="preserve"> Dave Turpin/Alex Stuart</w:t>
                  </w:r>
                </w:p>
              </w:tc>
            </w:tr>
            <w:tr w:rsidR="001F679C" w:rsidTr="002506AA">
              <w:tc>
                <w:tcPr>
                  <w:tcW w:w="4237" w:type="dxa"/>
                </w:tcPr>
                <w:p w:rsidR="001F679C" w:rsidRDefault="001F679C" w:rsidP="001F679C">
                  <w:pPr>
                    <w:pStyle w:val="NGTHeading3"/>
                    <w:numPr>
                      <w:ilvl w:val="0"/>
                      <w:numId w:val="0"/>
                    </w:numPr>
                    <w:spacing w:line="240" w:lineRule="auto"/>
                    <w:jc w:val="left"/>
                    <w:rPr>
                      <w:szCs w:val="20"/>
                      <w:lang w:val="en-US"/>
                    </w:rPr>
                  </w:pPr>
                </w:p>
              </w:tc>
              <w:tc>
                <w:tcPr>
                  <w:tcW w:w="1418" w:type="dxa"/>
                </w:tcPr>
                <w:p w:rsidR="001F679C" w:rsidRDefault="001F679C" w:rsidP="001F679C">
                  <w:pPr>
                    <w:pStyle w:val="NGTHeading3"/>
                    <w:numPr>
                      <w:ilvl w:val="0"/>
                      <w:numId w:val="0"/>
                    </w:numPr>
                    <w:spacing w:line="240" w:lineRule="auto"/>
                    <w:jc w:val="left"/>
                    <w:rPr>
                      <w:szCs w:val="20"/>
                      <w:lang w:val="en-US"/>
                    </w:rPr>
                  </w:pPr>
                </w:p>
              </w:tc>
              <w:tc>
                <w:tcPr>
                  <w:tcW w:w="3402" w:type="dxa"/>
                </w:tcPr>
                <w:p w:rsidR="001F679C" w:rsidRDefault="001F679C" w:rsidP="001F679C">
                  <w:pPr>
                    <w:pStyle w:val="NGTHeading3"/>
                    <w:numPr>
                      <w:ilvl w:val="0"/>
                      <w:numId w:val="0"/>
                    </w:numPr>
                    <w:spacing w:line="240" w:lineRule="auto"/>
                    <w:jc w:val="left"/>
                    <w:rPr>
                      <w:szCs w:val="20"/>
                      <w:lang w:val="en-US"/>
                    </w:rPr>
                  </w:pPr>
                </w:p>
              </w:tc>
              <w:tc>
                <w:tcPr>
                  <w:tcW w:w="1417" w:type="dxa"/>
                </w:tcPr>
                <w:p w:rsidR="001F679C" w:rsidRDefault="001F679C" w:rsidP="001F679C">
                  <w:pPr>
                    <w:pStyle w:val="NGTHeading3"/>
                    <w:numPr>
                      <w:ilvl w:val="0"/>
                      <w:numId w:val="0"/>
                    </w:numPr>
                    <w:spacing w:line="240" w:lineRule="auto"/>
                    <w:jc w:val="left"/>
                    <w:rPr>
                      <w:szCs w:val="20"/>
                      <w:lang w:val="en-US"/>
                    </w:rPr>
                  </w:pPr>
                </w:p>
              </w:tc>
            </w:tr>
            <w:tr w:rsidR="001F679C" w:rsidTr="002506AA">
              <w:tc>
                <w:tcPr>
                  <w:tcW w:w="4237" w:type="dxa"/>
                </w:tcPr>
                <w:p w:rsidR="001F679C" w:rsidRDefault="001F679C" w:rsidP="001F679C">
                  <w:pPr>
                    <w:pStyle w:val="NGTHeading3"/>
                    <w:numPr>
                      <w:ilvl w:val="0"/>
                      <w:numId w:val="0"/>
                    </w:numPr>
                    <w:spacing w:line="240" w:lineRule="auto"/>
                    <w:jc w:val="left"/>
                    <w:rPr>
                      <w:szCs w:val="20"/>
                      <w:lang w:val="en-US"/>
                    </w:rPr>
                  </w:pPr>
                </w:p>
              </w:tc>
              <w:tc>
                <w:tcPr>
                  <w:tcW w:w="1418" w:type="dxa"/>
                </w:tcPr>
                <w:p w:rsidR="001F679C" w:rsidRDefault="001F679C" w:rsidP="001F679C">
                  <w:pPr>
                    <w:pStyle w:val="NGTHeading3"/>
                    <w:numPr>
                      <w:ilvl w:val="0"/>
                      <w:numId w:val="0"/>
                    </w:numPr>
                    <w:spacing w:line="240" w:lineRule="auto"/>
                    <w:jc w:val="left"/>
                    <w:rPr>
                      <w:szCs w:val="20"/>
                      <w:lang w:val="en-US"/>
                    </w:rPr>
                  </w:pPr>
                </w:p>
              </w:tc>
              <w:tc>
                <w:tcPr>
                  <w:tcW w:w="3402" w:type="dxa"/>
                </w:tcPr>
                <w:p w:rsidR="001F679C" w:rsidRDefault="001F679C" w:rsidP="001F679C">
                  <w:pPr>
                    <w:pStyle w:val="NGTHeading3"/>
                    <w:numPr>
                      <w:ilvl w:val="0"/>
                      <w:numId w:val="0"/>
                    </w:numPr>
                    <w:spacing w:line="240" w:lineRule="auto"/>
                    <w:jc w:val="left"/>
                    <w:rPr>
                      <w:szCs w:val="20"/>
                      <w:lang w:val="en-US"/>
                    </w:rPr>
                  </w:pPr>
                </w:p>
              </w:tc>
              <w:tc>
                <w:tcPr>
                  <w:tcW w:w="1417" w:type="dxa"/>
                </w:tcPr>
                <w:p w:rsidR="001F679C" w:rsidRDefault="001F679C" w:rsidP="001F679C">
                  <w:pPr>
                    <w:pStyle w:val="NGTHeading3"/>
                    <w:numPr>
                      <w:ilvl w:val="0"/>
                      <w:numId w:val="0"/>
                    </w:numPr>
                    <w:spacing w:line="240" w:lineRule="auto"/>
                    <w:jc w:val="left"/>
                    <w:rPr>
                      <w:szCs w:val="20"/>
                      <w:lang w:val="en-US"/>
                    </w:rPr>
                  </w:pPr>
                </w:p>
              </w:tc>
            </w:tr>
          </w:tbl>
          <w:p w:rsidR="00E70189" w:rsidRPr="00D24E05" w:rsidRDefault="00E70189" w:rsidP="00E70189">
            <w:pPr>
              <w:pStyle w:val="NGTHeading3"/>
              <w:numPr>
                <w:ilvl w:val="0"/>
                <w:numId w:val="0"/>
              </w:numPr>
              <w:spacing w:line="240" w:lineRule="auto"/>
              <w:ind w:left="720"/>
              <w:rPr>
                <w:szCs w:val="20"/>
                <w:lang w:val="en-US"/>
              </w:rPr>
            </w:pPr>
          </w:p>
        </w:tc>
      </w:tr>
    </w:tbl>
    <w:p w:rsidR="002B2E87" w:rsidRPr="002B2E87" w:rsidRDefault="002B2E87" w:rsidP="002B2E87">
      <w:pPr>
        <w:rPr>
          <w:rFonts w:eastAsia="Arial" w:cs="Arial"/>
          <w:b/>
        </w:rPr>
      </w:pPr>
    </w:p>
    <w:p w:rsidR="00D24E05" w:rsidRPr="00B41E08" w:rsidRDefault="002B2E87" w:rsidP="00B41E08">
      <w:pPr>
        <w:rPr>
          <w:rFonts w:eastAsia="Arial" w:cs="Arial"/>
          <w:b/>
        </w:rPr>
      </w:pPr>
      <w:r w:rsidRPr="002B2E87">
        <w:rPr>
          <w:rFonts w:eastAsia="Arial" w:cs="Arial"/>
          <w:b/>
        </w:rPr>
        <w:t xml:space="preserve">Please send completed form to: </w:t>
      </w:r>
      <w:hyperlink r:id="rId17" w:history="1">
        <w:r w:rsidRPr="002B2E87">
          <w:rPr>
            <w:rFonts w:eastAsia="Arial" w:cs="Arial"/>
            <w:b/>
            <w:color w:val="D2232A"/>
            <w:u w:val="single"/>
          </w:rPr>
          <w:t>box.xoserve.portfoliooffice@xoserve.com</w:t>
        </w:r>
      </w:hyperlink>
    </w:p>
    <w:p w:rsidR="00BF66FB" w:rsidRDefault="00BF66FB" w:rsidP="002B2E87">
      <w:pPr>
        <w:pStyle w:val="NoSpacing"/>
        <w:rPr>
          <w:rFonts w:eastAsia="Arial"/>
        </w:rPr>
      </w:pPr>
    </w:p>
    <w:p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rsidTr="00935EF6">
        <w:trPr>
          <w:trHeight w:val="611"/>
        </w:trPr>
        <w:tc>
          <w:tcPr>
            <w:tcW w:w="888"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935EF6" w:rsidRPr="002B2E87" w:rsidTr="00935EF6">
        <w:tc>
          <w:tcPr>
            <w:tcW w:w="888" w:type="pct"/>
          </w:tcPr>
          <w:p w:rsidR="00935EF6" w:rsidRPr="002B2E87" w:rsidRDefault="00935EF6" w:rsidP="00935EF6">
            <w:pPr>
              <w:jc w:val="center"/>
              <w:rPr>
                <w:rFonts w:eastAsia="Times New Roman" w:cs="Arial"/>
                <w:sz w:val="20"/>
                <w:szCs w:val="20"/>
              </w:rPr>
            </w:pPr>
            <w:r>
              <w:rPr>
                <w:rFonts w:eastAsia="Times New Roman" w:cs="Arial"/>
                <w:sz w:val="20"/>
                <w:szCs w:val="20"/>
              </w:rPr>
              <w:t>0.1</w:t>
            </w:r>
          </w:p>
        </w:tc>
        <w:tc>
          <w:tcPr>
            <w:tcW w:w="822" w:type="pct"/>
          </w:tcPr>
          <w:p w:rsidR="00935EF6" w:rsidRPr="002B2E87" w:rsidRDefault="00935EF6" w:rsidP="00935EF6">
            <w:pPr>
              <w:jc w:val="center"/>
              <w:rPr>
                <w:rFonts w:eastAsia="Times New Roman" w:cs="Arial"/>
                <w:sz w:val="20"/>
                <w:szCs w:val="20"/>
              </w:rPr>
            </w:pPr>
            <w:r>
              <w:rPr>
                <w:rFonts w:eastAsia="Times New Roman" w:cs="Arial"/>
                <w:sz w:val="20"/>
                <w:szCs w:val="20"/>
              </w:rPr>
              <w:t xml:space="preserve">Draft </w:t>
            </w:r>
          </w:p>
        </w:tc>
        <w:tc>
          <w:tcPr>
            <w:tcW w:w="611" w:type="pct"/>
          </w:tcPr>
          <w:p w:rsidR="00935EF6" w:rsidRPr="002B2E87" w:rsidRDefault="00B365E1" w:rsidP="00935EF6">
            <w:pPr>
              <w:jc w:val="center"/>
              <w:rPr>
                <w:rFonts w:eastAsia="Times New Roman" w:cs="Arial"/>
                <w:sz w:val="20"/>
                <w:szCs w:val="20"/>
              </w:rPr>
            </w:pPr>
            <w:r>
              <w:rPr>
                <w:rFonts w:eastAsia="Times New Roman" w:cs="Arial"/>
                <w:sz w:val="20"/>
                <w:szCs w:val="20"/>
              </w:rPr>
              <w:t>28/11/2022</w:t>
            </w:r>
          </w:p>
        </w:tc>
        <w:tc>
          <w:tcPr>
            <w:tcW w:w="749" w:type="pct"/>
          </w:tcPr>
          <w:p w:rsidR="00935EF6" w:rsidRPr="002B2E87" w:rsidRDefault="00B365E1" w:rsidP="00935EF6">
            <w:pPr>
              <w:jc w:val="center"/>
              <w:rPr>
                <w:rFonts w:eastAsia="Times New Roman" w:cs="Arial"/>
                <w:sz w:val="20"/>
                <w:szCs w:val="20"/>
              </w:rPr>
            </w:pPr>
            <w:r>
              <w:rPr>
                <w:rFonts w:eastAsia="Times New Roman" w:cs="Arial"/>
                <w:sz w:val="20"/>
                <w:szCs w:val="20"/>
              </w:rPr>
              <w:t>Alex Stuart</w:t>
            </w:r>
          </w:p>
        </w:tc>
        <w:tc>
          <w:tcPr>
            <w:tcW w:w="1930" w:type="pct"/>
          </w:tcPr>
          <w:p w:rsidR="00935EF6" w:rsidRPr="002B2E87" w:rsidRDefault="00935EF6" w:rsidP="00935EF6">
            <w:pPr>
              <w:jc w:val="center"/>
              <w:rPr>
                <w:rFonts w:eastAsia="Times New Roman" w:cs="Arial"/>
                <w:sz w:val="20"/>
                <w:szCs w:val="20"/>
              </w:rPr>
            </w:pPr>
            <w:r>
              <w:rPr>
                <w:rFonts w:eastAsia="Times New Roman" w:cs="Arial"/>
                <w:sz w:val="20"/>
                <w:szCs w:val="20"/>
              </w:rPr>
              <w:t>Initial draft</w:t>
            </w:r>
          </w:p>
        </w:tc>
      </w:tr>
      <w:tr w:rsidR="00935EF6" w:rsidRPr="002B2E87" w:rsidTr="00935EF6">
        <w:tc>
          <w:tcPr>
            <w:tcW w:w="888" w:type="pct"/>
          </w:tcPr>
          <w:p w:rsidR="00935EF6" w:rsidRDefault="00935EF6" w:rsidP="00935EF6">
            <w:pPr>
              <w:jc w:val="center"/>
              <w:rPr>
                <w:rFonts w:eastAsia="Times New Roman" w:cs="Arial"/>
                <w:sz w:val="20"/>
                <w:szCs w:val="20"/>
              </w:rPr>
            </w:pPr>
            <w:r>
              <w:rPr>
                <w:rFonts w:eastAsia="Times New Roman" w:cs="Arial"/>
                <w:sz w:val="20"/>
                <w:szCs w:val="20"/>
              </w:rPr>
              <w:t>0.2</w:t>
            </w:r>
          </w:p>
        </w:tc>
        <w:tc>
          <w:tcPr>
            <w:tcW w:w="822" w:type="pct"/>
          </w:tcPr>
          <w:p w:rsidR="00935EF6" w:rsidRDefault="00B365E1" w:rsidP="00935EF6">
            <w:pPr>
              <w:jc w:val="center"/>
              <w:rPr>
                <w:rFonts w:eastAsia="Times New Roman" w:cs="Arial"/>
                <w:sz w:val="20"/>
                <w:szCs w:val="20"/>
              </w:rPr>
            </w:pPr>
            <w:r>
              <w:rPr>
                <w:rFonts w:eastAsia="Times New Roman" w:cs="Arial"/>
                <w:sz w:val="20"/>
                <w:szCs w:val="20"/>
              </w:rPr>
              <w:t>For Review</w:t>
            </w:r>
          </w:p>
        </w:tc>
        <w:tc>
          <w:tcPr>
            <w:tcW w:w="611" w:type="pct"/>
          </w:tcPr>
          <w:p w:rsidR="00935EF6" w:rsidRDefault="00B365E1" w:rsidP="00935EF6">
            <w:pPr>
              <w:jc w:val="center"/>
              <w:rPr>
                <w:rFonts w:eastAsia="Times New Roman" w:cs="Arial"/>
                <w:sz w:val="20"/>
                <w:szCs w:val="20"/>
              </w:rPr>
            </w:pPr>
            <w:r>
              <w:rPr>
                <w:rFonts w:eastAsia="Times New Roman" w:cs="Arial"/>
                <w:sz w:val="20"/>
                <w:szCs w:val="20"/>
              </w:rPr>
              <w:t>28/11/2022</w:t>
            </w:r>
          </w:p>
        </w:tc>
        <w:tc>
          <w:tcPr>
            <w:tcW w:w="749" w:type="pct"/>
          </w:tcPr>
          <w:p w:rsidR="00935EF6" w:rsidRDefault="00B365E1" w:rsidP="00935EF6">
            <w:pPr>
              <w:jc w:val="center"/>
              <w:rPr>
                <w:rFonts w:eastAsia="Times New Roman" w:cs="Arial"/>
                <w:sz w:val="20"/>
                <w:szCs w:val="20"/>
              </w:rPr>
            </w:pPr>
            <w:r>
              <w:rPr>
                <w:rFonts w:eastAsia="Times New Roman" w:cs="Arial"/>
                <w:sz w:val="20"/>
                <w:szCs w:val="20"/>
              </w:rPr>
              <w:t>Dave Turpin</w:t>
            </w:r>
          </w:p>
        </w:tc>
        <w:tc>
          <w:tcPr>
            <w:tcW w:w="1930" w:type="pct"/>
          </w:tcPr>
          <w:p w:rsidR="00935EF6" w:rsidRDefault="00935EF6" w:rsidP="00935EF6">
            <w:pPr>
              <w:jc w:val="center"/>
              <w:rPr>
                <w:rFonts w:eastAsia="Times New Roman" w:cs="Arial"/>
                <w:sz w:val="20"/>
                <w:szCs w:val="20"/>
              </w:rPr>
            </w:pPr>
          </w:p>
        </w:tc>
      </w:tr>
      <w:tr w:rsidR="00935EF6" w:rsidRPr="002B2E87" w:rsidTr="00935EF6">
        <w:tc>
          <w:tcPr>
            <w:tcW w:w="888" w:type="pct"/>
          </w:tcPr>
          <w:p w:rsidR="00935EF6" w:rsidRDefault="009B7B06" w:rsidP="00935EF6">
            <w:pPr>
              <w:jc w:val="center"/>
              <w:rPr>
                <w:rFonts w:eastAsia="Times New Roman" w:cs="Arial"/>
                <w:sz w:val="20"/>
                <w:szCs w:val="20"/>
              </w:rPr>
            </w:pPr>
            <w:r>
              <w:rPr>
                <w:rFonts w:eastAsia="Times New Roman" w:cs="Arial"/>
                <w:sz w:val="20"/>
                <w:szCs w:val="20"/>
              </w:rPr>
              <w:t>1</w:t>
            </w:r>
          </w:p>
        </w:tc>
        <w:tc>
          <w:tcPr>
            <w:tcW w:w="822" w:type="pct"/>
          </w:tcPr>
          <w:p w:rsidR="00935EF6" w:rsidRDefault="00935EF6" w:rsidP="00935EF6">
            <w:pPr>
              <w:jc w:val="center"/>
              <w:rPr>
                <w:rFonts w:eastAsia="Times New Roman" w:cs="Arial"/>
                <w:sz w:val="20"/>
                <w:szCs w:val="20"/>
              </w:rPr>
            </w:pPr>
          </w:p>
        </w:tc>
        <w:tc>
          <w:tcPr>
            <w:tcW w:w="611" w:type="pct"/>
          </w:tcPr>
          <w:p w:rsidR="00935EF6" w:rsidRDefault="00935EF6" w:rsidP="00935EF6">
            <w:pPr>
              <w:jc w:val="center"/>
              <w:rPr>
                <w:rFonts w:eastAsia="Times New Roman" w:cs="Arial"/>
                <w:sz w:val="20"/>
                <w:szCs w:val="20"/>
              </w:rPr>
            </w:pPr>
          </w:p>
        </w:tc>
        <w:tc>
          <w:tcPr>
            <w:tcW w:w="749" w:type="pct"/>
          </w:tcPr>
          <w:p w:rsidR="00935EF6" w:rsidRDefault="00935EF6" w:rsidP="00935EF6">
            <w:pPr>
              <w:jc w:val="center"/>
              <w:rPr>
                <w:rFonts w:eastAsia="Times New Roman" w:cs="Arial"/>
                <w:sz w:val="20"/>
                <w:szCs w:val="20"/>
              </w:rPr>
            </w:pPr>
          </w:p>
        </w:tc>
        <w:tc>
          <w:tcPr>
            <w:tcW w:w="1930" w:type="pct"/>
          </w:tcPr>
          <w:p w:rsidR="00935EF6" w:rsidRDefault="00935EF6" w:rsidP="00935EF6">
            <w:pPr>
              <w:jc w:val="center"/>
              <w:rPr>
                <w:rFonts w:eastAsia="Times New Roman" w:cs="Arial"/>
                <w:sz w:val="20"/>
                <w:szCs w:val="20"/>
              </w:rPr>
            </w:pPr>
          </w:p>
        </w:tc>
      </w:tr>
      <w:tr w:rsidR="00310A98" w:rsidRPr="002B2E87" w:rsidTr="00935EF6">
        <w:tc>
          <w:tcPr>
            <w:tcW w:w="888" w:type="pct"/>
          </w:tcPr>
          <w:p w:rsidR="00310A98" w:rsidRDefault="006406B4" w:rsidP="00935EF6">
            <w:pPr>
              <w:jc w:val="center"/>
              <w:rPr>
                <w:rFonts w:eastAsia="Times New Roman" w:cs="Arial"/>
                <w:sz w:val="20"/>
                <w:szCs w:val="20"/>
              </w:rPr>
            </w:pPr>
            <w:r>
              <w:rPr>
                <w:rFonts w:eastAsia="Times New Roman" w:cs="Arial"/>
                <w:sz w:val="20"/>
                <w:szCs w:val="20"/>
              </w:rPr>
              <w:t>2</w:t>
            </w:r>
          </w:p>
        </w:tc>
        <w:tc>
          <w:tcPr>
            <w:tcW w:w="822" w:type="pct"/>
          </w:tcPr>
          <w:p w:rsidR="00310A98" w:rsidRDefault="00310A98" w:rsidP="00935EF6">
            <w:pPr>
              <w:jc w:val="center"/>
              <w:rPr>
                <w:rFonts w:eastAsia="Times New Roman" w:cs="Arial"/>
                <w:sz w:val="20"/>
                <w:szCs w:val="20"/>
              </w:rPr>
            </w:pPr>
          </w:p>
        </w:tc>
        <w:tc>
          <w:tcPr>
            <w:tcW w:w="611" w:type="pct"/>
          </w:tcPr>
          <w:p w:rsidR="00310A98" w:rsidRDefault="00310A98" w:rsidP="00935EF6">
            <w:pPr>
              <w:jc w:val="center"/>
              <w:rPr>
                <w:rFonts w:eastAsia="Times New Roman" w:cs="Arial"/>
                <w:sz w:val="20"/>
                <w:szCs w:val="20"/>
              </w:rPr>
            </w:pPr>
          </w:p>
        </w:tc>
        <w:tc>
          <w:tcPr>
            <w:tcW w:w="749" w:type="pct"/>
          </w:tcPr>
          <w:p w:rsidR="00310A98" w:rsidRDefault="00310A98" w:rsidP="00935EF6">
            <w:pPr>
              <w:jc w:val="center"/>
              <w:rPr>
                <w:rFonts w:eastAsia="Times New Roman" w:cs="Arial"/>
                <w:sz w:val="20"/>
                <w:szCs w:val="20"/>
              </w:rPr>
            </w:pPr>
          </w:p>
        </w:tc>
        <w:tc>
          <w:tcPr>
            <w:tcW w:w="1930" w:type="pct"/>
          </w:tcPr>
          <w:p w:rsidR="00310A98" w:rsidRDefault="00310A98" w:rsidP="00935EF6">
            <w:pPr>
              <w:jc w:val="center"/>
              <w:rPr>
                <w:rFonts w:eastAsia="Times New Roman" w:cs="Arial"/>
                <w:sz w:val="20"/>
                <w:szCs w:val="20"/>
              </w:rPr>
            </w:pPr>
          </w:p>
        </w:tc>
      </w:tr>
    </w:tbl>
    <w:p w:rsidR="002B2E87" w:rsidRPr="002B2E87" w:rsidRDefault="002B2E87" w:rsidP="002B2E87">
      <w:pPr>
        <w:rPr>
          <w:rFonts w:eastAsia="Arial" w:cs="Times New Roman"/>
          <w:sz w:val="20"/>
          <w:szCs w:val="20"/>
        </w:rPr>
      </w:pPr>
    </w:p>
    <w:p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rsidTr="002B2E87">
        <w:trPr>
          <w:trHeight w:val="611"/>
        </w:trPr>
        <w:tc>
          <w:tcPr>
            <w:tcW w:w="902"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rsidTr="002B2E87">
        <w:trPr>
          <w:trHeight w:val="611"/>
        </w:trPr>
        <w:tc>
          <w:tcPr>
            <w:tcW w:w="902"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rsidR="00F825F9" w:rsidRPr="00E52009" w:rsidRDefault="00F825F9" w:rsidP="00F825F9">
            <w:pPr>
              <w:rPr>
                <w:rFonts w:eastAsia="Times New Roman" w:cs="Arial"/>
                <w:sz w:val="20"/>
                <w:szCs w:val="20"/>
              </w:rPr>
            </w:pPr>
            <w:r>
              <w:rPr>
                <w:rFonts w:cs="Arial"/>
                <w:sz w:val="20"/>
                <w:szCs w:val="20"/>
              </w:rPr>
              <w:t xml:space="preserve">Template approved at </w:t>
            </w:r>
            <w:proofErr w:type="spellStart"/>
            <w:r>
              <w:rPr>
                <w:rFonts w:cs="Arial"/>
                <w:sz w:val="20"/>
                <w:szCs w:val="20"/>
              </w:rPr>
              <w:t>ChMC</w:t>
            </w:r>
            <w:proofErr w:type="spellEnd"/>
            <w:r>
              <w:rPr>
                <w:rFonts w:cs="Arial"/>
                <w:sz w:val="20"/>
                <w:szCs w:val="20"/>
              </w:rPr>
              <w:t xml:space="preserve"> on 11</w:t>
            </w:r>
            <w:r w:rsidRPr="00E367FA">
              <w:rPr>
                <w:rFonts w:cs="Arial"/>
                <w:sz w:val="20"/>
                <w:szCs w:val="20"/>
                <w:vertAlign w:val="superscript"/>
              </w:rPr>
              <w:t>th</w:t>
            </w:r>
            <w:r>
              <w:rPr>
                <w:rFonts w:cs="Arial"/>
                <w:sz w:val="20"/>
                <w:szCs w:val="20"/>
              </w:rPr>
              <w:t xml:space="preserve"> July</w:t>
            </w:r>
          </w:p>
        </w:tc>
      </w:tr>
      <w:tr w:rsidR="00F825F9" w:rsidRPr="002B2E87" w:rsidTr="002B2E87">
        <w:trPr>
          <w:trHeight w:val="611"/>
        </w:trPr>
        <w:tc>
          <w:tcPr>
            <w:tcW w:w="902" w:type="pct"/>
            <w:shd w:val="clear" w:color="auto" w:fill="FFFFFF" w:themeFill="background1"/>
            <w:vAlign w:val="center"/>
          </w:tcPr>
          <w:p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rsidR="00F825F9" w:rsidRPr="00935EF6" w:rsidRDefault="008012FE" w:rsidP="00F825F9">
            <w:pPr>
              <w:rPr>
                <w:rFonts w:eastAsia="Times New Roman" w:cs="Arial"/>
                <w:sz w:val="20"/>
                <w:szCs w:val="24"/>
              </w:rPr>
            </w:pPr>
            <w:r w:rsidRPr="00935EF6">
              <w:rPr>
                <w:rFonts w:eastAsia="Times New Roman" w:cs="Arial"/>
                <w:sz w:val="20"/>
                <w:szCs w:val="24"/>
              </w:rPr>
              <w:t>Table added to section 1</w:t>
            </w:r>
          </w:p>
          <w:p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3</w:t>
            </w:r>
          </w:p>
          <w:p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4</w:t>
            </w:r>
          </w:p>
          <w:p w:rsidR="008012FE" w:rsidRPr="00935EF6" w:rsidRDefault="008012FE" w:rsidP="00F825F9">
            <w:pPr>
              <w:rPr>
                <w:rFonts w:eastAsia="Times New Roman" w:cs="Arial"/>
                <w:sz w:val="20"/>
                <w:szCs w:val="24"/>
              </w:rPr>
            </w:pPr>
            <w:r w:rsidRPr="00935EF6">
              <w:rPr>
                <w:rFonts w:eastAsia="Times New Roman" w:cs="Arial"/>
                <w:sz w:val="20"/>
                <w:szCs w:val="24"/>
              </w:rPr>
              <w:t>Inserted a project plan example in section 5</w:t>
            </w:r>
          </w:p>
          <w:p w:rsidR="008012FE" w:rsidRPr="00935EF6" w:rsidRDefault="008012FE" w:rsidP="00F825F9">
            <w:pPr>
              <w:rPr>
                <w:rFonts w:eastAsia="Times New Roman" w:cs="Arial"/>
                <w:sz w:val="20"/>
                <w:szCs w:val="24"/>
              </w:rPr>
            </w:pPr>
            <w:r w:rsidRPr="00935EF6">
              <w:rPr>
                <w:rFonts w:eastAsia="Times New Roman" w:cs="Arial"/>
                <w:sz w:val="20"/>
                <w:szCs w:val="24"/>
              </w:rPr>
              <w:t>Table added in section 6</w:t>
            </w:r>
          </w:p>
        </w:tc>
      </w:tr>
    </w:tbl>
    <w:p w:rsidR="00D66C7E" w:rsidRPr="00D66C7E" w:rsidRDefault="00D66C7E" w:rsidP="00C721D4"/>
    <w:sectPr w:rsidR="00D66C7E" w:rsidRPr="00D66C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B7E" w:rsidRDefault="00814B7E" w:rsidP="00324744">
      <w:pPr>
        <w:spacing w:after="0" w:line="240" w:lineRule="auto"/>
      </w:pPr>
      <w:r>
        <w:separator/>
      </w:r>
    </w:p>
  </w:endnote>
  <w:endnote w:type="continuationSeparator" w:id="0">
    <w:p w:rsidR="00814B7E" w:rsidRDefault="00814B7E" w:rsidP="00324744">
      <w:pPr>
        <w:spacing w:after="0" w:line="240" w:lineRule="auto"/>
      </w:pPr>
      <w:r>
        <w:continuationSeparator/>
      </w:r>
    </w:p>
  </w:endnote>
  <w:endnote w:type="continuationNotice" w:id="1">
    <w:p w:rsidR="00814B7E" w:rsidRDefault="00814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Footer"/>
    </w:pPr>
    <w:r>
      <w:rPr>
        <w:noProof/>
      </w:rPr>
      <mc:AlternateContent>
        <mc:Choice Requires="wps">
          <w:drawing>
            <wp:anchor distT="0" distB="0" distL="114300" distR="114300" simplePos="0" relativeHeight="251658241" behindDoc="0" locked="0" layoutInCell="1" allowOverlap="1" wp14:anchorId="1955326C" wp14:editId="747C191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69D0C"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B7E" w:rsidRDefault="00814B7E" w:rsidP="00324744">
      <w:pPr>
        <w:spacing w:after="0" w:line="240" w:lineRule="auto"/>
      </w:pPr>
      <w:r>
        <w:separator/>
      </w:r>
    </w:p>
  </w:footnote>
  <w:footnote w:type="continuationSeparator" w:id="0">
    <w:p w:rsidR="00814B7E" w:rsidRDefault="00814B7E" w:rsidP="00324744">
      <w:pPr>
        <w:spacing w:after="0" w:line="240" w:lineRule="auto"/>
      </w:pPr>
      <w:r>
        <w:continuationSeparator/>
      </w:r>
    </w:p>
  </w:footnote>
  <w:footnote w:type="continuationNotice" w:id="1">
    <w:p w:rsidR="00814B7E" w:rsidRDefault="00814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Header"/>
    </w:pPr>
    <w:r>
      <w:rPr>
        <w:noProof/>
      </w:rPr>
      <mc:AlternateContent>
        <mc:Choice Requires="wps">
          <w:drawing>
            <wp:anchor distT="0" distB="0" distL="114300" distR="114300" simplePos="0" relativeHeight="251658240" behindDoc="0" locked="0" layoutInCell="1" allowOverlap="1" wp14:anchorId="59F9367E" wp14:editId="48AC696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CA59B"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3798"/>
    <w:multiLevelType w:val="hybridMultilevel"/>
    <w:tmpl w:val="0474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0660C"/>
    <w:multiLevelType w:val="hybridMultilevel"/>
    <w:tmpl w:val="E21AA6A2"/>
    <w:lvl w:ilvl="0" w:tplc="22E86F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3"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0"/>
  </w:num>
  <w:num w:numId="6">
    <w:abstractNumId w:val="14"/>
  </w:num>
  <w:num w:numId="7">
    <w:abstractNumId w:val="1"/>
  </w:num>
  <w:num w:numId="8">
    <w:abstractNumId w:val="13"/>
  </w:num>
  <w:num w:numId="9">
    <w:abstractNumId w:val="17"/>
  </w:num>
  <w:num w:numId="10">
    <w:abstractNumId w:val="12"/>
  </w:num>
  <w:num w:numId="11">
    <w:abstractNumId w:val="3"/>
  </w:num>
  <w:num w:numId="12">
    <w:abstractNumId w:val="2"/>
  </w:num>
  <w:num w:numId="13">
    <w:abstractNumId w:val="16"/>
  </w:num>
  <w:num w:numId="14">
    <w:abstractNumId w:val="8"/>
  </w:num>
  <w:num w:numId="15">
    <w:abstractNumId w:val="15"/>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3EB8"/>
    <w:rsid w:val="00005516"/>
    <w:rsid w:val="00006BB6"/>
    <w:rsid w:val="00006E29"/>
    <w:rsid w:val="00010986"/>
    <w:rsid w:val="00011681"/>
    <w:rsid w:val="00014007"/>
    <w:rsid w:val="00014DA2"/>
    <w:rsid w:val="00016736"/>
    <w:rsid w:val="000229F1"/>
    <w:rsid w:val="0002467B"/>
    <w:rsid w:val="0002511B"/>
    <w:rsid w:val="00025955"/>
    <w:rsid w:val="0003136C"/>
    <w:rsid w:val="00035EB2"/>
    <w:rsid w:val="0003758F"/>
    <w:rsid w:val="000379BD"/>
    <w:rsid w:val="00040B7E"/>
    <w:rsid w:val="00042DB8"/>
    <w:rsid w:val="00042E51"/>
    <w:rsid w:val="00043288"/>
    <w:rsid w:val="00043629"/>
    <w:rsid w:val="0004427F"/>
    <w:rsid w:val="00045C51"/>
    <w:rsid w:val="00045E44"/>
    <w:rsid w:val="000471A3"/>
    <w:rsid w:val="0005196F"/>
    <w:rsid w:val="0005209B"/>
    <w:rsid w:val="0005317A"/>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D3A"/>
    <w:rsid w:val="00083E49"/>
    <w:rsid w:val="00084714"/>
    <w:rsid w:val="000865AD"/>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2AF8"/>
    <w:rsid w:val="000B332E"/>
    <w:rsid w:val="000B406F"/>
    <w:rsid w:val="000B411F"/>
    <w:rsid w:val="000B6963"/>
    <w:rsid w:val="000B73EA"/>
    <w:rsid w:val="000B7CF3"/>
    <w:rsid w:val="000C1358"/>
    <w:rsid w:val="000C2924"/>
    <w:rsid w:val="000C3EC6"/>
    <w:rsid w:val="000C6E46"/>
    <w:rsid w:val="000C74D3"/>
    <w:rsid w:val="000D05B9"/>
    <w:rsid w:val="000D0F47"/>
    <w:rsid w:val="000D16ED"/>
    <w:rsid w:val="000D252F"/>
    <w:rsid w:val="000D6B20"/>
    <w:rsid w:val="000D7A37"/>
    <w:rsid w:val="000E0DC2"/>
    <w:rsid w:val="000E1463"/>
    <w:rsid w:val="000E16C9"/>
    <w:rsid w:val="000E3819"/>
    <w:rsid w:val="000E55B0"/>
    <w:rsid w:val="000E5E54"/>
    <w:rsid w:val="000F2D15"/>
    <w:rsid w:val="001024B8"/>
    <w:rsid w:val="00103FC5"/>
    <w:rsid w:val="00115508"/>
    <w:rsid w:val="00120018"/>
    <w:rsid w:val="001207D8"/>
    <w:rsid w:val="00122F88"/>
    <w:rsid w:val="00125B61"/>
    <w:rsid w:val="001270A2"/>
    <w:rsid w:val="00127356"/>
    <w:rsid w:val="001353D7"/>
    <w:rsid w:val="00135C0D"/>
    <w:rsid w:val="00136998"/>
    <w:rsid w:val="00137CB9"/>
    <w:rsid w:val="0014242B"/>
    <w:rsid w:val="00143EFF"/>
    <w:rsid w:val="001446C2"/>
    <w:rsid w:val="00144E00"/>
    <w:rsid w:val="0014768A"/>
    <w:rsid w:val="00150D38"/>
    <w:rsid w:val="0015137D"/>
    <w:rsid w:val="001531E7"/>
    <w:rsid w:val="00157073"/>
    <w:rsid w:val="0016147C"/>
    <w:rsid w:val="00171690"/>
    <w:rsid w:val="00171F70"/>
    <w:rsid w:val="001742CE"/>
    <w:rsid w:val="00174786"/>
    <w:rsid w:val="001771A2"/>
    <w:rsid w:val="00181F6D"/>
    <w:rsid w:val="00183A53"/>
    <w:rsid w:val="001848BF"/>
    <w:rsid w:val="001852E1"/>
    <w:rsid w:val="00186E8F"/>
    <w:rsid w:val="00191D7E"/>
    <w:rsid w:val="00192E27"/>
    <w:rsid w:val="001936FC"/>
    <w:rsid w:val="0019390D"/>
    <w:rsid w:val="00193F34"/>
    <w:rsid w:val="001942F6"/>
    <w:rsid w:val="00195FBE"/>
    <w:rsid w:val="001966E0"/>
    <w:rsid w:val="001A0AFD"/>
    <w:rsid w:val="001A4748"/>
    <w:rsid w:val="001A65B7"/>
    <w:rsid w:val="001B0848"/>
    <w:rsid w:val="001B2850"/>
    <w:rsid w:val="001B7DC1"/>
    <w:rsid w:val="001C15F7"/>
    <w:rsid w:val="001C1A4B"/>
    <w:rsid w:val="001D247D"/>
    <w:rsid w:val="001D275E"/>
    <w:rsid w:val="001D4B8B"/>
    <w:rsid w:val="001D668B"/>
    <w:rsid w:val="001D69A1"/>
    <w:rsid w:val="001E398E"/>
    <w:rsid w:val="001E3C5C"/>
    <w:rsid w:val="001E58AF"/>
    <w:rsid w:val="001E6419"/>
    <w:rsid w:val="001E6D34"/>
    <w:rsid w:val="001F350A"/>
    <w:rsid w:val="001F679C"/>
    <w:rsid w:val="001F7F6F"/>
    <w:rsid w:val="00203FBC"/>
    <w:rsid w:val="0022126F"/>
    <w:rsid w:val="00221538"/>
    <w:rsid w:val="00223716"/>
    <w:rsid w:val="002251F1"/>
    <w:rsid w:val="00226D34"/>
    <w:rsid w:val="00233305"/>
    <w:rsid w:val="00242C0A"/>
    <w:rsid w:val="002466AB"/>
    <w:rsid w:val="00247385"/>
    <w:rsid w:val="002506AA"/>
    <w:rsid w:val="00253465"/>
    <w:rsid w:val="002539AB"/>
    <w:rsid w:val="00254336"/>
    <w:rsid w:val="00260F79"/>
    <w:rsid w:val="00263B6E"/>
    <w:rsid w:val="0027026C"/>
    <w:rsid w:val="002707BF"/>
    <w:rsid w:val="002716AF"/>
    <w:rsid w:val="002765FA"/>
    <w:rsid w:val="002813D6"/>
    <w:rsid w:val="0028280D"/>
    <w:rsid w:val="00286D0E"/>
    <w:rsid w:val="00290C3C"/>
    <w:rsid w:val="00290CDA"/>
    <w:rsid w:val="00291A42"/>
    <w:rsid w:val="00291D86"/>
    <w:rsid w:val="00292474"/>
    <w:rsid w:val="00294684"/>
    <w:rsid w:val="00294CA5"/>
    <w:rsid w:val="00294DE9"/>
    <w:rsid w:val="002959E5"/>
    <w:rsid w:val="00295D27"/>
    <w:rsid w:val="002A10B3"/>
    <w:rsid w:val="002A1FC5"/>
    <w:rsid w:val="002A4458"/>
    <w:rsid w:val="002A554E"/>
    <w:rsid w:val="002A6742"/>
    <w:rsid w:val="002B04DD"/>
    <w:rsid w:val="002B11B2"/>
    <w:rsid w:val="002B27C5"/>
    <w:rsid w:val="002B2B02"/>
    <w:rsid w:val="002B2E87"/>
    <w:rsid w:val="002B4221"/>
    <w:rsid w:val="002B5742"/>
    <w:rsid w:val="002C58D6"/>
    <w:rsid w:val="002D0EFE"/>
    <w:rsid w:val="002D2550"/>
    <w:rsid w:val="002D683D"/>
    <w:rsid w:val="002D745C"/>
    <w:rsid w:val="002D74BA"/>
    <w:rsid w:val="002D7A48"/>
    <w:rsid w:val="002E31D5"/>
    <w:rsid w:val="002E511B"/>
    <w:rsid w:val="002F5086"/>
    <w:rsid w:val="002F6CC9"/>
    <w:rsid w:val="003016CC"/>
    <w:rsid w:val="0030619C"/>
    <w:rsid w:val="00306F47"/>
    <w:rsid w:val="00307A57"/>
    <w:rsid w:val="00310A98"/>
    <w:rsid w:val="003138F6"/>
    <w:rsid w:val="0031660D"/>
    <w:rsid w:val="00324744"/>
    <w:rsid w:val="00325F3A"/>
    <w:rsid w:val="0032604C"/>
    <w:rsid w:val="003270E3"/>
    <w:rsid w:val="00330CC3"/>
    <w:rsid w:val="00332325"/>
    <w:rsid w:val="0033543C"/>
    <w:rsid w:val="00336F7E"/>
    <w:rsid w:val="00340205"/>
    <w:rsid w:val="0034304D"/>
    <w:rsid w:val="00345850"/>
    <w:rsid w:val="0035100A"/>
    <w:rsid w:val="003521E4"/>
    <w:rsid w:val="0035622F"/>
    <w:rsid w:val="00356379"/>
    <w:rsid w:val="003631E6"/>
    <w:rsid w:val="003650B4"/>
    <w:rsid w:val="0036515E"/>
    <w:rsid w:val="0036721C"/>
    <w:rsid w:val="00367701"/>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A199F"/>
    <w:rsid w:val="003A5D7F"/>
    <w:rsid w:val="003B125F"/>
    <w:rsid w:val="003B2395"/>
    <w:rsid w:val="003B4B96"/>
    <w:rsid w:val="003B52D6"/>
    <w:rsid w:val="003C04A7"/>
    <w:rsid w:val="003C4226"/>
    <w:rsid w:val="003C44DB"/>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07F06"/>
    <w:rsid w:val="0041043A"/>
    <w:rsid w:val="00411FB4"/>
    <w:rsid w:val="0041328B"/>
    <w:rsid w:val="0042046E"/>
    <w:rsid w:val="00420BA0"/>
    <w:rsid w:val="004224DF"/>
    <w:rsid w:val="00426807"/>
    <w:rsid w:val="00430D51"/>
    <w:rsid w:val="00432243"/>
    <w:rsid w:val="00434BEE"/>
    <w:rsid w:val="00440E7B"/>
    <w:rsid w:val="0044312E"/>
    <w:rsid w:val="00443425"/>
    <w:rsid w:val="00445256"/>
    <w:rsid w:val="00446F74"/>
    <w:rsid w:val="0045266B"/>
    <w:rsid w:val="0045742C"/>
    <w:rsid w:val="00463EB7"/>
    <w:rsid w:val="0046467E"/>
    <w:rsid w:val="0046499A"/>
    <w:rsid w:val="00470600"/>
    <w:rsid w:val="00472D96"/>
    <w:rsid w:val="00473262"/>
    <w:rsid w:val="00475BAB"/>
    <w:rsid w:val="00476907"/>
    <w:rsid w:val="00477D87"/>
    <w:rsid w:val="004862F6"/>
    <w:rsid w:val="00487E4D"/>
    <w:rsid w:val="004903EF"/>
    <w:rsid w:val="0049103B"/>
    <w:rsid w:val="00491D60"/>
    <w:rsid w:val="004957FB"/>
    <w:rsid w:val="004A4941"/>
    <w:rsid w:val="004A7196"/>
    <w:rsid w:val="004A7697"/>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52FF"/>
    <w:rsid w:val="004E5E53"/>
    <w:rsid w:val="004E630F"/>
    <w:rsid w:val="004F095D"/>
    <w:rsid w:val="004F226A"/>
    <w:rsid w:val="004F3362"/>
    <w:rsid w:val="004F42CB"/>
    <w:rsid w:val="004F48AC"/>
    <w:rsid w:val="004F5FAD"/>
    <w:rsid w:val="004F7AC5"/>
    <w:rsid w:val="00503204"/>
    <w:rsid w:val="00505225"/>
    <w:rsid w:val="00505A92"/>
    <w:rsid w:val="0051318E"/>
    <w:rsid w:val="005144BB"/>
    <w:rsid w:val="005149BC"/>
    <w:rsid w:val="00514A1F"/>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5731F"/>
    <w:rsid w:val="00564566"/>
    <w:rsid w:val="00570041"/>
    <w:rsid w:val="00574D9A"/>
    <w:rsid w:val="00580168"/>
    <w:rsid w:val="00585BB3"/>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A7FC7"/>
    <w:rsid w:val="005B4293"/>
    <w:rsid w:val="005B4A6F"/>
    <w:rsid w:val="005B7D54"/>
    <w:rsid w:val="005C6FCD"/>
    <w:rsid w:val="005D16CA"/>
    <w:rsid w:val="005D1E7E"/>
    <w:rsid w:val="005D40A8"/>
    <w:rsid w:val="005D4F5D"/>
    <w:rsid w:val="005D7676"/>
    <w:rsid w:val="005E1C66"/>
    <w:rsid w:val="005E2260"/>
    <w:rsid w:val="005E2838"/>
    <w:rsid w:val="005E4D31"/>
    <w:rsid w:val="005E7538"/>
    <w:rsid w:val="005F1990"/>
    <w:rsid w:val="005F19A3"/>
    <w:rsid w:val="005F37C2"/>
    <w:rsid w:val="005F723F"/>
    <w:rsid w:val="006069BE"/>
    <w:rsid w:val="00607F85"/>
    <w:rsid w:val="00610390"/>
    <w:rsid w:val="00613E31"/>
    <w:rsid w:val="00616D91"/>
    <w:rsid w:val="00616DD0"/>
    <w:rsid w:val="00617345"/>
    <w:rsid w:val="00617382"/>
    <w:rsid w:val="0062016E"/>
    <w:rsid w:val="006275B2"/>
    <w:rsid w:val="006300B9"/>
    <w:rsid w:val="00631184"/>
    <w:rsid w:val="0063343D"/>
    <w:rsid w:val="00635874"/>
    <w:rsid w:val="00636B0A"/>
    <w:rsid w:val="006406B4"/>
    <w:rsid w:val="006422A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91A70"/>
    <w:rsid w:val="006A7370"/>
    <w:rsid w:val="006B1E55"/>
    <w:rsid w:val="006B26D1"/>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034"/>
    <w:rsid w:val="006F062B"/>
    <w:rsid w:val="006F1AE5"/>
    <w:rsid w:val="006F3DB0"/>
    <w:rsid w:val="006F4AF6"/>
    <w:rsid w:val="007004AF"/>
    <w:rsid w:val="00706CBE"/>
    <w:rsid w:val="00707442"/>
    <w:rsid w:val="00707B37"/>
    <w:rsid w:val="007123BF"/>
    <w:rsid w:val="00712B49"/>
    <w:rsid w:val="00716301"/>
    <w:rsid w:val="0071648B"/>
    <w:rsid w:val="007172CE"/>
    <w:rsid w:val="00724049"/>
    <w:rsid w:val="007243D3"/>
    <w:rsid w:val="00725E9C"/>
    <w:rsid w:val="007274EA"/>
    <w:rsid w:val="00735F2C"/>
    <w:rsid w:val="00737013"/>
    <w:rsid w:val="00742128"/>
    <w:rsid w:val="007426F4"/>
    <w:rsid w:val="00743EB3"/>
    <w:rsid w:val="00744317"/>
    <w:rsid w:val="00745D01"/>
    <w:rsid w:val="0074646A"/>
    <w:rsid w:val="00746EF9"/>
    <w:rsid w:val="00750E30"/>
    <w:rsid w:val="00754351"/>
    <w:rsid w:val="007545B7"/>
    <w:rsid w:val="00755B92"/>
    <w:rsid w:val="007610AC"/>
    <w:rsid w:val="007647A7"/>
    <w:rsid w:val="00764D52"/>
    <w:rsid w:val="00765648"/>
    <w:rsid w:val="0076750D"/>
    <w:rsid w:val="007774C4"/>
    <w:rsid w:val="00777F58"/>
    <w:rsid w:val="0078065A"/>
    <w:rsid w:val="0079016D"/>
    <w:rsid w:val="00790295"/>
    <w:rsid w:val="0079073B"/>
    <w:rsid w:val="007922AC"/>
    <w:rsid w:val="007948DC"/>
    <w:rsid w:val="00794E22"/>
    <w:rsid w:val="00797CAB"/>
    <w:rsid w:val="007A17E4"/>
    <w:rsid w:val="007A27D2"/>
    <w:rsid w:val="007A2935"/>
    <w:rsid w:val="007A56DB"/>
    <w:rsid w:val="007A7B0E"/>
    <w:rsid w:val="007A7F69"/>
    <w:rsid w:val="007B6174"/>
    <w:rsid w:val="007B666A"/>
    <w:rsid w:val="007B68F8"/>
    <w:rsid w:val="007B79DF"/>
    <w:rsid w:val="007C0752"/>
    <w:rsid w:val="007C2148"/>
    <w:rsid w:val="007C52CE"/>
    <w:rsid w:val="007C7D51"/>
    <w:rsid w:val="007D2AFB"/>
    <w:rsid w:val="007D4F26"/>
    <w:rsid w:val="007D5D6C"/>
    <w:rsid w:val="007D68DD"/>
    <w:rsid w:val="007E79F2"/>
    <w:rsid w:val="007F351A"/>
    <w:rsid w:val="00800F15"/>
    <w:rsid w:val="008012FE"/>
    <w:rsid w:val="00801CE0"/>
    <w:rsid w:val="00802485"/>
    <w:rsid w:val="008026AC"/>
    <w:rsid w:val="0080492D"/>
    <w:rsid w:val="00810C5C"/>
    <w:rsid w:val="00814B7E"/>
    <w:rsid w:val="008158C1"/>
    <w:rsid w:val="008177C1"/>
    <w:rsid w:val="00817F39"/>
    <w:rsid w:val="00824BE8"/>
    <w:rsid w:val="00825094"/>
    <w:rsid w:val="00826CF4"/>
    <w:rsid w:val="00827695"/>
    <w:rsid w:val="0083252E"/>
    <w:rsid w:val="00834D83"/>
    <w:rsid w:val="00841378"/>
    <w:rsid w:val="00845605"/>
    <w:rsid w:val="00845AC9"/>
    <w:rsid w:val="00845BD8"/>
    <w:rsid w:val="00846B1C"/>
    <w:rsid w:val="00847195"/>
    <w:rsid w:val="0084738B"/>
    <w:rsid w:val="008573DE"/>
    <w:rsid w:val="00857E35"/>
    <w:rsid w:val="008605F5"/>
    <w:rsid w:val="00860932"/>
    <w:rsid w:val="00865076"/>
    <w:rsid w:val="00873B2A"/>
    <w:rsid w:val="008775AF"/>
    <w:rsid w:val="00881022"/>
    <w:rsid w:val="00886946"/>
    <w:rsid w:val="00886E75"/>
    <w:rsid w:val="00891794"/>
    <w:rsid w:val="00891F14"/>
    <w:rsid w:val="00893050"/>
    <w:rsid w:val="00896180"/>
    <w:rsid w:val="008977AA"/>
    <w:rsid w:val="008A2138"/>
    <w:rsid w:val="008A22D6"/>
    <w:rsid w:val="008A2C31"/>
    <w:rsid w:val="008A4FFC"/>
    <w:rsid w:val="008A53FA"/>
    <w:rsid w:val="008A55AB"/>
    <w:rsid w:val="008B5120"/>
    <w:rsid w:val="008B79C2"/>
    <w:rsid w:val="008C7629"/>
    <w:rsid w:val="008D1540"/>
    <w:rsid w:val="008D59DD"/>
    <w:rsid w:val="008D6278"/>
    <w:rsid w:val="008E40B3"/>
    <w:rsid w:val="008E458F"/>
    <w:rsid w:val="008E4C82"/>
    <w:rsid w:val="008E9538"/>
    <w:rsid w:val="008F099E"/>
    <w:rsid w:val="008F247A"/>
    <w:rsid w:val="008F496C"/>
    <w:rsid w:val="008F611C"/>
    <w:rsid w:val="008F63AC"/>
    <w:rsid w:val="008F7493"/>
    <w:rsid w:val="00900AAB"/>
    <w:rsid w:val="00905E13"/>
    <w:rsid w:val="009070A3"/>
    <w:rsid w:val="00907531"/>
    <w:rsid w:val="009165C9"/>
    <w:rsid w:val="00916754"/>
    <w:rsid w:val="00922F4C"/>
    <w:rsid w:val="00925DCB"/>
    <w:rsid w:val="009278E5"/>
    <w:rsid w:val="00932034"/>
    <w:rsid w:val="0093540E"/>
    <w:rsid w:val="00935EF6"/>
    <w:rsid w:val="009364D3"/>
    <w:rsid w:val="009436FD"/>
    <w:rsid w:val="0094462E"/>
    <w:rsid w:val="00944FE0"/>
    <w:rsid w:val="009454A8"/>
    <w:rsid w:val="009567F5"/>
    <w:rsid w:val="00962504"/>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A4948"/>
    <w:rsid w:val="009A5F62"/>
    <w:rsid w:val="009B06B4"/>
    <w:rsid w:val="009B6FAF"/>
    <w:rsid w:val="009B7ABC"/>
    <w:rsid w:val="009B7B06"/>
    <w:rsid w:val="009C19E9"/>
    <w:rsid w:val="009C433B"/>
    <w:rsid w:val="009D0941"/>
    <w:rsid w:val="009D35A6"/>
    <w:rsid w:val="009D464C"/>
    <w:rsid w:val="009D51E0"/>
    <w:rsid w:val="009D63E3"/>
    <w:rsid w:val="009E1C52"/>
    <w:rsid w:val="009E3962"/>
    <w:rsid w:val="009E7CA6"/>
    <w:rsid w:val="009F04DE"/>
    <w:rsid w:val="009F3251"/>
    <w:rsid w:val="009F3F89"/>
    <w:rsid w:val="009F5D13"/>
    <w:rsid w:val="009F6691"/>
    <w:rsid w:val="00A005A3"/>
    <w:rsid w:val="00A01251"/>
    <w:rsid w:val="00A015F7"/>
    <w:rsid w:val="00A02994"/>
    <w:rsid w:val="00A04D14"/>
    <w:rsid w:val="00A060C5"/>
    <w:rsid w:val="00A06308"/>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A403D"/>
    <w:rsid w:val="00AB0F5F"/>
    <w:rsid w:val="00AB5B54"/>
    <w:rsid w:val="00AB63DE"/>
    <w:rsid w:val="00AC2244"/>
    <w:rsid w:val="00AC53A8"/>
    <w:rsid w:val="00AC5FC0"/>
    <w:rsid w:val="00AD03E3"/>
    <w:rsid w:val="00AD5778"/>
    <w:rsid w:val="00AD719B"/>
    <w:rsid w:val="00AE2302"/>
    <w:rsid w:val="00AE298F"/>
    <w:rsid w:val="00AE31DA"/>
    <w:rsid w:val="00AE33C8"/>
    <w:rsid w:val="00AE5F7F"/>
    <w:rsid w:val="00AF1043"/>
    <w:rsid w:val="00AF3920"/>
    <w:rsid w:val="00AF3B49"/>
    <w:rsid w:val="00AF3E44"/>
    <w:rsid w:val="00AF635B"/>
    <w:rsid w:val="00B02E70"/>
    <w:rsid w:val="00B03E33"/>
    <w:rsid w:val="00B05DF4"/>
    <w:rsid w:val="00B13330"/>
    <w:rsid w:val="00B13C27"/>
    <w:rsid w:val="00B229D6"/>
    <w:rsid w:val="00B33D35"/>
    <w:rsid w:val="00B33E2C"/>
    <w:rsid w:val="00B33EAC"/>
    <w:rsid w:val="00B34CAA"/>
    <w:rsid w:val="00B3593B"/>
    <w:rsid w:val="00B365E1"/>
    <w:rsid w:val="00B36854"/>
    <w:rsid w:val="00B41BFA"/>
    <w:rsid w:val="00B41E08"/>
    <w:rsid w:val="00B41FDB"/>
    <w:rsid w:val="00B4637B"/>
    <w:rsid w:val="00B4794F"/>
    <w:rsid w:val="00B47993"/>
    <w:rsid w:val="00B50D30"/>
    <w:rsid w:val="00B5107E"/>
    <w:rsid w:val="00B52AF0"/>
    <w:rsid w:val="00B5496A"/>
    <w:rsid w:val="00B64E4A"/>
    <w:rsid w:val="00B7195F"/>
    <w:rsid w:val="00B719B1"/>
    <w:rsid w:val="00B76253"/>
    <w:rsid w:val="00B763B9"/>
    <w:rsid w:val="00B763CF"/>
    <w:rsid w:val="00B827C6"/>
    <w:rsid w:val="00B8617B"/>
    <w:rsid w:val="00B91BE7"/>
    <w:rsid w:val="00B945A7"/>
    <w:rsid w:val="00B948AB"/>
    <w:rsid w:val="00B957D3"/>
    <w:rsid w:val="00B95BC2"/>
    <w:rsid w:val="00BA0DBB"/>
    <w:rsid w:val="00BA3A3F"/>
    <w:rsid w:val="00BA3EE0"/>
    <w:rsid w:val="00BA6734"/>
    <w:rsid w:val="00BB18C5"/>
    <w:rsid w:val="00BB251D"/>
    <w:rsid w:val="00BC1C21"/>
    <w:rsid w:val="00BC469B"/>
    <w:rsid w:val="00BC4DFE"/>
    <w:rsid w:val="00BD0214"/>
    <w:rsid w:val="00BD0A45"/>
    <w:rsid w:val="00BD1798"/>
    <w:rsid w:val="00BD389E"/>
    <w:rsid w:val="00BE5F7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113B"/>
    <w:rsid w:val="00C427CB"/>
    <w:rsid w:val="00C4330F"/>
    <w:rsid w:val="00C50B49"/>
    <w:rsid w:val="00C52D70"/>
    <w:rsid w:val="00C54CBB"/>
    <w:rsid w:val="00C56FC5"/>
    <w:rsid w:val="00C571CE"/>
    <w:rsid w:val="00C5751B"/>
    <w:rsid w:val="00C57A0A"/>
    <w:rsid w:val="00C57CED"/>
    <w:rsid w:val="00C64854"/>
    <w:rsid w:val="00C64B33"/>
    <w:rsid w:val="00C65022"/>
    <w:rsid w:val="00C66E07"/>
    <w:rsid w:val="00C7028B"/>
    <w:rsid w:val="00C7059F"/>
    <w:rsid w:val="00C705EB"/>
    <w:rsid w:val="00C7121A"/>
    <w:rsid w:val="00C71D7B"/>
    <w:rsid w:val="00C721D4"/>
    <w:rsid w:val="00C74383"/>
    <w:rsid w:val="00C75A48"/>
    <w:rsid w:val="00C760B3"/>
    <w:rsid w:val="00C811E7"/>
    <w:rsid w:val="00C8261C"/>
    <w:rsid w:val="00C833BB"/>
    <w:rsid w:val="00C83698"/>
    <w:rsid w:val="00C873DC"/>
    <w:rsid w:val="00C87499"/>
    <w:rsid w:val="00C907E2"/>
    <w:rsid w:val="00C92201"/>
    <w:rsid w:val="00C94964"/>
    <w:rsid w:val="00C967C0"/>
    <w:rsid w:val="00C96857"/>
    <w:rsid w:val="00C97875"/>
    <w:rsid w:val="00C97E08"/>
    <w:rsid w:val="00CA3866"/>
    <w:rsid w:val="00CA4840"/>
    <w:rsid w:val="00CA66F5"/>
    <w:rsid w:val="00CA6F57"/>
    <w:rsid w:val="00CB043F"/>
    <w:rsid w:val="00CB0E14"/>
    <w:rsid w:val="00CB27FE"/>
    <w:rsid w:val="00CB3DC0"/>
    <w:rsid w:val="00CB572F"/>
    <w:rsid w:val="00CB6DCB"/>
    <w:rsid w:val="00CB70CD"/>
    <w:rsid w:val="00CC0E20"/>
    <w:rsid w:val="00CC2ADC"/>
    <w:rsid w:val="00CC68F6"/>
    <w:rsid w:val="00CC7F24"/>
    <w:rsid w:val="00CD0D69"/>
    <w:rsid w:val="00CD3310"/>
    <w:rsid w:val="00CD35A1"/>
    <w:rsid w:val="00CD3B81"/>
    <w:rsid w:val="00CD69CD"/>
    <w:rsid w:val="00CD7E18"/>
    <w:rsid w:val="00CD7F4C"/>
    <w:rsid w:val="00CE01BC"/>
    <w:rsid w:val="00CE457E"/>
    <w:rsid w:val="00CF074C"/>
    <w:rsid w:val="00CF37EC"/>
    <w:rsid w:val="00D0538A"/>
    <w:rsid w:val="00D128F0"/>
    <w:rsid w:val="00D136FE"/>
    <w:rsid w:val="00D162D0"/>
    <w:rsid w:val="00D21980"/>
    <w:rsid w:val="00D224DA"/>
    <w:rsid w:val="00D22F20"/>
    <w:rsid w:val="00D24E05"/>
    <w:rsid w:val="00D263C7"/>
    <w:rsid w:val="00D2660A"/>
    <w:rsid w:val="00D30641"/>
    <w:rsid w:val="00D33910"/>
    <w:rsid w:val="00D3531C"/>
    <w:rsid w:val="00D360CF"/>
    <w:rsid w:val="00D36CF6"/>
    <w:rsid w:val="00D44B81"/>
    <w:rsid w:val="00D44F7B"/>
    <w:rsid w:val="00D4510D"/>
    <w:rsid w:val="00D47323"/>
    <w:rsid w:val="00D47561"/>
    <w:rsid w:val="00D5051B"/>
    <w:rsid w:val="00D52F5C"/>
    <w:rsid w:val="00D56421"/>
    <w:rsid w:val="00D6193F"/>
    <w:rsid w:val="00D61D8C"/>
    <w:rsid w:val="00D6547A"/>
    <w:rsid w:val="00D66C7E"/>
    <w:rsid w:val="00D66DF8"/>
    <w:rsid w:val="00D704EC"/>
    <w:rsid w:val="00D70D71"/>
    <w:rsid w:val="00D717AC"/>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7738"/>
    <w:rsid w:val="00DA32D8"/>
    <w:rsid w:val="00DA32E8"/>
    <w:rsid w:val="00DA4910"/>
    <w:rsid w:val="00DB1C70"/>
    <w:rsid w:val="00DB2804"/>
    <w:rsid w:val="00DB488E"/>
    <w:rsid w:val="00DB7344"/>
    <w:rsid w:val="00DC0780"/>
    <w:rsid w:val="00DD03F7"/>
    <w:rsid w:val="00DD14E1"/>
    <w:rsid w:val="00DD4309"/>
    <w:rsid w:val="00DD55C4"/>
    <w:rsid w:val="00DD5C08"/>
    <w:rsid w:val="00DD70AB"/>
    <w:rsid w:val="00DE0FE3"/>
    <w:rsid w:val="00DE1870"/>
    <w:rsid w:val="00DE6183"/>
    <w:rsid w:val="00DE6368"/>
    <w:rsid w:val="00DE660F"/>
    <w:rsid w:val="00DF3483"/>
    <w:rsid w:val="00DF7F79"/>
    <w:rsid w:val="00E01B8D"/>
    <w:rsid w:val="00E051E6"/>
    <w:rsid w:val="00E05837"/>
    <w:rsid w:val="00E106CA"/>
    <w:rsid w:val="00E1121F"/>
    <w:rsid w:val="00E17CF1"/>
    <w:rsid w:val="00E20970"/>
    <w:rsid w:val="00E20E6E"/>
    <w:rsid w:val="00E22F8F"/>
    <w:rsid w:val="00E2459A"/>
    <w:rsid w:val="00E24C85"/>
    <w:rsid w:val="00E27E62"/>
    <w:rsid w:val="00E30722"/>
    <w:rsid w:val="00E31D77"/>
    <w:rsid w:val="00E357B8"/>
    <w:rsid w:val="00E40F78"/>
    <w:rsid w:val="00E41517"/>
    <w:rsid w:val="00E422EC"/>
    <w:rsid w:val="00E43930"/>
    <w:rsid w:val="00E43E7B"/>
    <w:rsid w:val="00E44E1D"/>
    <w:rsid w:val="00E45748"/>
    <w:rsid w:val="00E46BC0"/>
    <w:rsid w:val="00E5031A"/>
    <w:rsid w:val="00E52009"/>
    <w:rsid w:val="00E55905"/>
    <w:rsid w:val="00E57EF1"/>
    <w:rsid w:val="00E61877"/>
    <w:rsid w:val="00E630B5"/>
    <w:rsid w:val="00E65354"/>
    <w:rsid w:val="00E67A9B"/>
    <w:rsid w:val="00E67CA3"/>
    <w:rsid w:val="00E70189"/>
    <w:rsid w:val="00E702A2"/>
    <w:rsid w:val="00E70645"/>
    <w:rsid w:val="00E70A7F"/>
    <w:rsid w:val="00E7156A"/>
    <w:rsid w:val="00E720E5"/>
    <w:rsid w:val="00E721CC"/>
    <w:rsid w:val="00E72CA6"/>
    <w:rsid w:val="00E761D3"/>
    <w:rsid w:val="00E8669A"/>
    <w:rsid w:val="00E9528A"/>
    <w:rsid w:val="00E97E8D"/>
    <w:rsid w:val="00EA140D"/>
    <w:rsid w:val="00EC0757"/>
    <w:rsid w:val="00EC10E8"/>
    <w:rsid w:val="00EC132B"/>
    <w:rsid w:val="00EC16D7"/>
    <w:rsid w:val="00EC495E"/>
    <w:rsid w:val="00ED04CF"/>
    <w:rsid w:val="00ED16AA"/>
    <w:rsid w:val="00ED1A0C"/>
    <w:rsid w:val="00ED3AC7"/>
    <w:rsid w:val="00ED7EA7"/>
    <w:rsid w:val="00EE2BF2"/>
    <w:rsid w:val="00EE4571"/>
    <w:rsid w:val="00EE4E3F"/>
    <w:rsid w:val="00EE5435"/>
    <w:rsid w:val="00EF327D"/>
    <w:rsid w:val="00EF3B3D"/>
    <w:rsid w:val="00EF6BAA"/>
    <w:rsid w:val="00EF70E9"/>
    <w:rsid w:val="00F0059E"/>
    <w:rsid w:val="00F01272"/>
    <w:rsid w:val="00F012CC"/>
    <w:rsid w:val="00F01F49"/>
    <w:rsid w:val="00F0272A"/>
    <w:rsid w:val="00F03D06"/>
    <w:rsid w:val="00F07CD2"/>
    <w:rsid w:val="00F07FF2"/>
    <w:rsid w:val="00F10410"/>
    <w:rsid w:val="00F12531"/>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31727"/>
    <w:rsid w:val="00F321A7"/>
    <w:rsid w:val="00F35667"/>
    <w:rsid w:val="00F420FC"/>
    <w:rsid w:val="00F427DB"/>
    <w:rsid w:val="00F42E70"/>
    <w:rsid w:val="00F4467F"/>
    <w:rsid w:val="00F44B03"/>
    <w:rsid w:val="00F45E78"/>
    <w:rsid w:val="00F50E2D"/>
    <w:rsid w:val="00F53CA2"/>
    <w:rsid w:val="00F5457A"/>
    <w:rsid w:val="00F54826"/>
    <w:rsid w:val="00F60C1F"/>
    <w:rsid w:val="00F6186F"/>
    <w:rsid w:val="00F648DD"/>
    <w:rsid w:val="00F70FD3"/>
    <w:rsid w:val="00F71999"/>
    <w:rsid w:val="00F7242F"/>
    <w:rsid w:val="00F744DD"/>
    <w:rsid w:val="00F74DF8"/>
    <w:rsid w:val="00F825F9"/>
    <w:rsid w:val="00F852B3"/>
    <w:rsid w:val="00F86C48"/>
    <w:rsid w:val="00F87354"/>
    <w:rsid w:val="00F9002D"/>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E0B99"/>
    <w:rsid w:val="00FE44BE"/>
    <w:rsid w:val="00FE496F"/>
    <w:rsid w:val="00FE5813"/>
    <w:rsid w:val="00FE70D0"/>
    <w:rsid w:val="00FE7317"/>
    <w:rsid w:val="00FF05F8"/>
    <w:rsid w:val="00FF29DE"/>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7749"/>
  <w15:docId w15:val="{97B6FC75-0079-43AE-8C11-C11C2AC6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7A7B0E"/>
    <w:rPr>
      <w:color w:val="605E5C"/>
      <w:shd w:val="clear" w:color="auto" w:fill="E1DFDD"/>
    </w:rPr>
  </w:style>
  <w:style w:type="paragraph" w:styleId="NormalWeb">
    <w:name w:val="Normal (Web)"/>
    <w:basedOn w:val="Normal"/>
    <w:uiPriority w:val="99"/>
    <w:semiHidden/>
    <w:unhideWhenUsed/>
    <w:rsid w:val="00B762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497774366">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28449680">
      <w:bodyDiv w:val="1"/>
      <w:marLeft w:val="0"/>
      <w:marRight w:val="0"/>
      <w:marTop w:val="0"/>
      <w:marBottom w:val="0"/>
      <w:divBdr>
        <w:top w:val="none" w:sz="0" w:space="0" w:color="auto"/>
        <w:left w:val="none" w:sz="0" w:space="0" w:color="auto"/>
        <w:bottom w:val="none" w:sz="0" w:space="0" w:color="auto"/>
        <w:right w:val="none" w:sz="0" w:space="0" w:color="auto"/>
      </w:divBdr>
      <w:divsChild>
        <w:div w:id="1663778070">
          <w:marLeft w:val="0"/>
          <w:marRight w:val="0"/>
          <w:marTop w:val="0"/>
          <w:marBottom w:val="0"/>
          <w:divBdr>
            <w:top w:val="none" w:sz="0" w:space="0" w:color="auto"/>
            <w:left w:val="none" w:sz="0" w:space="0" w:color="auto"/>
            <w:bottom w:val="none" w:sz="0" w:space="0" w:color="auto"/>
            <w:right w:val="none" w:sz="0" w:space="0" w:color="auto"/>
          </w:divBdr>
          <w:divsChild>
            <w:div w:id="1256090347">
              <w:marLeft w:val="0"/>
              <w:marRight w:val="0"/>
              <w:marTop w:val="0"/>
              <w:marBottom w:val="0"/>
              <w:divBdr>
                <w:top w:val="none" w:sz="0" w:space="0" w:color="auto"/>
                <w:left w:val="none" w:sz="0" w:space="0" w:color="auto"/>
                <w:bottom w:val="none" w:sz="0" w:space="0" w:color="auto"/>
                <w:right w:val="none" w:sz="0" w:space="0" w:color="auto"/>
              </w:divBdr>
            </w:div>
          </w:divsChild>
        </w:div>
        <w:div w:id="1689747363">
          <w:marLeft w:val="0"/>
          <w:marRight w:val="0"/>
          <w:marTop w:val="0"/>
          <w:marBottom w:val="0"/>
          <w:divBdr>
            <w:top w:val="none" w:sz="0" w:space="0" w:color="auto"/>
            <w:left w:val="none" w:sz="0" w:space="0" w:color="auto"/>
            <w:bottom w:val="none" w:sz="0" w:space="0" w:color="auto"/>
            <w:right w:val="none" w:sz="0" w:space="0" w:color="auto"/>
          </w:divBdr>
          <w:divsChild>
            <w:div w:id="444465308">
              <w:marLeft w:val="0"/>
              <w:marRight w:val="0"/>
              <w:marTop w:val="0"/>
              <w:marBottom w:val="0"/>
              <w:divBdr>
                <w:top w:val="none" w:sz="0" w:space="0" w:color="auto"/>
                <w:left w:val="none" w:sz="0" w:space="0" w:color="auto"/>
                <w:bottom w:val="none" w:sz="0" w:space="0" w:color="auto"/>
                <w:right w:val="none" w:sz="0" w:space="0" w:color="auto"/>
              </w:divBdr>
            </w:div>
          </w:divsChild>
        </w:div>
        <w:div w:id="110057952">
          <w:marLeft w:val="0"/>
          <w:marRight w:val="0"/>
          <w:marTop w:val="0"/>
          <w:marBottom w:val="0"/>
          <w:divBdr>
            <w:top w:val="none" w:sz="0" w:space="0" w:color="auto"/>
            <w:left w:val="none" w:sz="0" w:space="0" w:color="auto"/>
            <w:bottom w:val="none" w:sz="0" w:space="0" w:color="auto"/>
            <w:right w:val="none" w:sz="0" w:space="0" w:color="auto"/>
          </w:divBdr>
          <w:divsChild>
            <w:div w:id="1032073446">
              <w:marLeft w:val="0"/>
              <w:marRight w:val="0"/>
              <w:marTop w:val="0"/>
              <w:marBottom w:val="0"/>
              <w:divBdr>
                <w:top w:val="none" w:sz="0" w:space="0" w:color="auto"/>
                <w:left w:val="none" w:sz="0" w:space="0" w:color="auto"/>
                <w:bottom w:val="none" w:sz="0" w:space="0" w:color="auto"/>
                <w:right w:val="none" w:sz="0" w:space="0" w:color="auto"/>
              </w:divBdr>
            </w:div>
          </w:divsChild>
        </w:div>
        <w:div w:id="1084305734">
          <w:marLeft w:val="0"/>
          <w:marRight w:val="0"/>
          <w:marTop w:val="0"/>
          <w:marBottom w:val="0"/>
          <w:divBdr>
            <w:top w:val="none" w:sz="0" w:space="0" w:color="auto"/>
            <w:left w:val="none" w:sz="0" w:space="0" w:color="auto"/>
            <w:bottom w:val="none" w:sz="0" w:space="0" w:color="auto"/>
            <w:right w:val="none" w:sz="0" w:space="0" w:color="auto"/>
          </w:divBdr>
          <w:divsChild>
            <w:div w:id="320930464">
              <w:marLeft w:val="0"/>
              <w:marRight w:val="0"/>
              <w:marTop w:val="0"/>
              <w:marBottom w:val="0"/>
              <w:divBdr>
                <w:top w:val="none" w:sz="0" w:space="0" w:color="auto"/>
                <w:left w:val="none" w:sz="0" w:space="0" w:color="auto"/>
                <w:bottom w:val="none" w:sz="0" w:space="0" w:color="auto"/>
                <w:right w:val="none" w:sz="0" w:space="0" w:color="auto"/>
              </w:divBdr>
            </w:div>
          </w:divsChild>
        </w:div>
        <w:div w:id="1863738240">
          <w:marLeft w:val="0"/>
          <w:marRight w:val="0"/>
          <w:marTop w:val="0"/>
          <w:marBottom w:val="0"/>
          <w:divBdr>
            <w:top w:val="none" w:sz="0" w:space="0" w:color="auto"/>
            <w:left w:val="none" w:sz="0" w:space="0" w:color="auto"/>
            <w:bottom w:val="none" w:sz="0" w:space="0" w:color="auto"/>
            <w:right w:val="none" w:sz="0" w:space="0" w:color="auto"/>
          </w:divBdr>
          <w:divsChild>
            <w:div w:id="1333751585">
              <w:marLeft w:val="0"/>
              <w:marRight w:val="0"/>
              <w:marTop w:val="0"/>
              <w:marBottom w:val="0"/>
              <w:divBdr>
                <w:top w:val="none" w:sz="0" w:space="0" w:color="auto"/>
                <w:left w:val="none" w:sz="0" w:space="0" w:color="auto"/>
                <w:bottom w:val="none" w:sz="0" w:space="0" w:color="auto"/>
                <w:right w:val="none" w:sz="0" w:space="0" w:color="auto"/>
              </w:divBdr>
            </w:div>
          </w:divsChild>
        </w:div>
        <w:div w:id="633873390">
          <w:marLeft w:val="0"/>
          <w:marRight w:val="0"/>
          <w:marTop w:val="0"/>
          <w:marBottom w:val="0"/>
          <w:divBdr>
            <w:top w:val="none" w:sz="0" w:space="0" w:color="auto"/>
            <w:left w:val="none" w:sz="0" w:space="0" w:color="auto"/>
            <w:bottom w:val="none" w:sz="0" w:space="0" w:color="auto"/>
            <w:right w:val="none" w:sz="0" w:space="0" w:color="auto"/>
          </w:divBdr>
          <w:divsChild>
            <w:div w:id="1059787678">
              <w:marLeft w:val="0"/>
              <w:marRight w:val="0"/>
              <w:marTop w:val="0"/>
              <w:marBottom w:val="0"/>
              <w:divBdr>
                <w:top w:val="none" w:sz="0" w:space="0" w:color="auto"/>
                <w:left w:val="none" w:sz="0" w:space="0" w:color="auto"/>
                <w:bottom w:val="none" w:sz="0" w:space="0" w:color="auto"/>
                <w:right w:val="none" w:sz="0" w:space="0" w:color="auto"/>
              </w:divBdr>
            </w:div>
          </w:divsChild>
        </w:div>
        <w:div w:id="1097944405">
          <w:marLeft w:val="0"/>
          <w:marRight w:val="0"/>
          <w:marTop w:val="0"/>
          <w:marBottom w:val="0"/>
          <w:divBdr>
            <w:top w:val="none" w:sz="0" w:space="0" w:color="auto"/>
            <w:left w:val="none" w:sz="0" w:space="0" w:color="auto"/>
            <w:bottom w:val="none" w:sz="0" w:space="0" w:color="auto"/>
            <w:right w:val="none" w:sz="0" w:space="0" w:color="auto"/>
          </w:divBdr>
          <w:divsChild>
            <w:div w:id="1797067135">
              <w:marLeft w:val="0"/>
              <w:marRight w:val="0"/>
              <w:marTop w:val="0"/>
              <w:marBottom w:val="0"/>
              <w:divBdr>
                <w:top w:val="none" w:sz="0" w:space="0" w:color="auto"/>
                <w:left w:val="none" w:sz="0" w:space="0" w:color="auto"/>
                <w:bottom w:val="none" w:sz="0" w:space="0" w:color="auto"/>
                <w:right w:val="none" w:sz="0" w:space="0" w:color="auto"/>
              </w:divBdr>
            </w:div>
          </w:divsChild>
        </w:div>
        <w:div w:id="1863282452">
          <w:marLeft w:val="0"/>
          <w:marRight w:val="0"/>
          <w:marTop w:val="0"/>
          <w:marBottom w:val="0"/>
          <w:divBdr>
            <w:top w:val="none" w:sz="0" w:space="0" w:color="auto"/>
            <w:left w:val="none" w:sz="0" w:space="0" w:color="auto"/>
            <w:bottom w:val="none" w:sz="0" w:space="0" w:color="auto"/>
            <w:right w:val="none" w:sz="0" w:space="0" w:color="auto"/>
          </w:divBdr>
          <w:divsChild>
            <w:div w:id="1695688076">
              <w:marLeft w:val="0"/>
              <w:marRight w:val="0"/>
              <w:marTop w:val="0"/>
              <w:marBottom w:val="0"/>
              <w:divBdr>
                <w:top w:val="none" w:sz="0" w:space="0" w:color="auto"/>
                <w:left w:val="none" w:sz="0" w:space="0" w:color="auto"/>
                <w:bottom w:val="none" w:sz="0" w:space="0" w:color="auto"/>
                <w:right w:val="none" w:sz="0" w:space="0" w:color="auto"/>
              </w:divBdr>
            </w:div>
          </w:divsChild>
        </w:div>
        <w:div w:id="637421869">
          <w:marLeft w:val="0"/>
          <w:marRight w:val="0"/>
          <w:marTop w:val="0"/>
          <w:marBottom w:val="0"/>
          <w:divBdr>
            <w:top w:val="none" w:sz="0" w:space="0" w:color="auto"/>
            <w:left w:val="none" w:sz="0" w:space="0" w:color="auto"/>
            <w:bottom w:val="none" w:sz="0" w:space="0" w:color="auto"/>
            <w:right w:val="none" w:sz="0" w:space="0" w:color="auto"/>
          </w:divBdr>
          <w:divsChild>
            <w:div w:id="1891768810">
              <w:marLeft w:val="0"/>
              <w:marRight w:val="0"/>
              <w:marTop w:val="0"/>
              <w:marBottom w:val="0"/>
              <w:divBdr>
                <w:top w:val="none" w:sz="0" w:space="0" w:color="auto"/>
                <w:left w:val="none" w:sz="0" w:space="0" w:color="auto"/>
                <w:bottom w:val="none" w:sz="0" w:space="0" w:color="auto"/>
                <w:right w:val="none" w:sz="0" w:space="0" w:color="auto"/>
              </w:divBdr>
            </w:div>
          </w:divsChild>
        </w:div>
        <w:div w:id="1046100517">
          <w:marLeft w:val="0"/>
          <w:marRight w:val="0"/>
          <w:marTop w:val="0"/>
          <w:marBottom w:val="0"/>
          <w:divBdr>
            <w:top w:val="none" w:sz="0" w:space="0" w:color="auto"/>
            <w:left w:val="none" w:sz="0" w:space="0" w:color="auto"/>
            <w:bottom w:val="none" w:sz="0" w:space="0" w:color="auto"/>
            <w:right w:val="none" w:sz="0" w:space="0" w:color="auto"/>
          </w:divBdr>
          <w:divsChild>
            <w:div w:id="1594318249">
              <w:marLeft w:val="0"/>
              <w:marRight w:val="0"/>
              <w:marTop w:val="0"/>
              <w:marBottom w:val="0"/>
              <w:divBdr>
                <w:top w:val="none" w:sz="0" w:space="0" w:color="auto"/>
                <w:left w:val="none" w:sz="0" w:space="0" w:color="auto"/>
                <w:bottom w:val="none" w:sz="0" w:space="0" w:color="auto"/>
                <w:right w:val="none" w:sz="0" w:space="0" w:color="auto"/>
              </w:divBdr>
            </w:div>
          </w:divsChild>
        </w:div>
        <w:div w:id="145319662">
          <w:marLeft w:val="0"/>
          <w:marRight w:val="0"/>
          <w:marTop w:val="0"/>
          <w:marBottom w:val="0"/>
          <w:divBdr>
            <w:top w:val="none" w:sz="0" w:space="0" w:color="auto"/>
            <w:left w:val="none" w:sz="0" w:space="0" w:color="auto"/>
            <w:bottom w:val="none" w:sz="0" w:space="0" w:color="auto"/>
            <w:right w:val="none" w:sz="0" w:space="0" w:color="auto"/>
          </w:divBdr>
          <w:divsChild>
            <w:div w:id="1125006364">
              <w:marLeft w:val="0"/>
              <w:marRight w:val="0"/>
              <w:marTop w:val="0"/>
              <w:marBottom w:val="0"/>
              <w:divBdr>
                <w:top w:val="none" w:sz="0" w:space="0" w:color="auto"/>
                <w:left w:val="none" w:sz="0" w:space="0" w:color="auto"/>
                <w:bottom w:val="none" w:sz="0" w:space="0" w:color="auto"/>
                <w:right w:val="none" w:sz="0" w:space="0" w:color="auto"/>
              </w:divBdr>
            </w:div>
          </w:divsChild>
        </w:div>
        <w:div w:id="1393893246">
          <w:marLeft w:val="0"/>
          <w:marRight w:val="0"/>
          <w:marTop w:val="0"/>
          <w:marBottom w:val="0"/>
          <w:divBdr>
            <w:top w:val="none" w:sz="0" w:space="0" w:color="auto"/>
            <w:left w:val="none" w:sz="0" w:space="0" w:color="auto"/>
            <w:bottom w:val="none" w:sz="0" w:space="0" w:color="auto"/>
            <w:right w:val="none" w:sz="0" w:space="0" w:color="auto"/>
          </w:divBdr>
          <w:divsChild>
            <w:div w:id="1459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Stuart@correl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e.Turpin@xoserve.com"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3752/xrn5565-cp.pdf"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88689351-A4A1-4923-987A-2BC510D0C65B}"/>
</file>

<file path=customXml/itemProps4.xml><?xml version="1.0" encoding="utf-8"?>
<ds:datastoreItem xmlns:ds="http://schemas.openxmlformats.org/officeDocument/2006/customXml" ds:itemID="{642D908B-708D-470F-BC88-E5734085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5113</CharactersWithSpaces>
  <SharedDoc>false</SharedDoc>
  <HLinks>
    <vt:vector size="24" baseType="variant">
      <vt:variant>
        <vt:i4>8061011</vt:i4>
      </vt:variant>
      <vt:variant>
        <vt:i4>9</vt:i4>
      </vt:variant>
      <vt:variant>
        <vt:i4>0</vt:i4>
      </vt:variant>
      <vt:variant>
        <vt:i4>5</vt:i4>
      </vt:variant>
      <vt:variant>
        <vt:lpwstr>mailto:box.xoserve.portfoliooffice@xoserve.com</vt:lpwstr>
      </vt:variant>
      <vt:variant>
        <vt:lpwstr/>
      </vt:variant>
      <vt:variant>
        <vt:i4>1769501</vt:i4>
      </vt:variant>
      <vt:variant>
        <vt:i4>6</vt:i4>
      </vt:variant>
      <vt:variant>
        <vt:i4>0</vt:i4>
      </vt:variant>
      <vt:variant>
        <vt:i4>5</vt:i4>
      </vt:variant>
      <vt:variant>
        <vt:lpwstr>https://www.xoserve.com/media/42582/xrn5231-provision-of-a-fwacv-service-v10.pdf</vt:lpwstr>
      </vt:variant>
      <vt:variant>
        <vt:lpwstr/>
      </vt:variant>
      <vt:variant>
        <vt:i4>7078014</vt:i4>
      </vt:variant>
      <vt:variant>
        <vt:i4>3</vt:i4>
      </vt:variant>
      <vt:variant>
        <vt:i4>0</vt:i4>
      </vt:variant>
      <vt:variant>
        <vt:i4>5</vt:i4>
      </vt:variant>
      <vt:variant>
        <vt:lpwstr>https://www.gasgovernance.co.uk/sites/default/files/ggf/2021-08/4 EQR - XRN5231 - Flow Weighted Average CV  V1.docx</vt:lpwstr>
      </vt:variant>
      <vt:variant>
        <vt:lpwstr/>
      </vt:variant>
      <vt:variant>
        <vt:i4>1376325</vt:i4>
      </vt:variant>
      <vt:variant>
        <vt:i4>0</vt:i4>
      </vt:variant>
      <vt:variant>
        <vt:i4>0</vt:i4>
      </vt:variant>
      <vt:variant>
        <vt:i4>5</vt:i4>
      </vt:variant>
      <vt:variant>
        <vt:lpwstr>https://www.xoserve.com/media/42472/28785-mt-po-xrn5231-provision-of-a-fwacv-service-solution-review.docx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Alex Stuart</cp:lastModifiedBy>
  <cp:revision>28</cp:revision>
  <cp:lastPrinted>2021-11-12T10:31:00Z</cp:lastPrinted>
  <dcterms:created xsi:type="dcterms:W3CDTF">2022-11-28T12:27:00Z</dcterms:created>
  <dcterms:modified xsi:type="dcterms:W3CDTF">2022-11-28T12:50:00Z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