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87" w:rsidRDefault="002B2E87" w:rsidP="00D66C7E"/>
    <w:p w:rsidR="002B2E87" w:rsidRDefault="002B2E87" w:rsidP="00D66C7E"/>
    <w:p w:rsidR="000C1358" w:rsidRDefault="000C1358" w:rsidP="000C1358">
      <w:pPr>
        <w:pStyle w:val="Heading2"/>
      </w:pPr>
      <w:r>
        <w:t>DSC Business Evaluation Report (BER)</w:t>
      </w:r>
    </w:p>
    <w:p w:rsidR="000C1358" w:rsidRDefault="000C1358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847"/>
        <w:gridCol w:w="5089"/>
      </w:tblGrid>
      <w:tr w:rsidR="00B13C27" w:rsidRPr="002B2E87" w:rsidTr="6ABA8AE3">
        <w:tc>
          <w:tcPr>
            <w:tcW w:w="2439" w:type="pct"/>
            <w:shd w:val="clear" w:color="auto" w:fill="FFFFFF" w:themeFill="background1"/>
            <w:vAlign w:val="center"/>
          </w:tcPr>
          <w:p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:rsidR="00B13C27" w:rsidRPr="00956624" w:rsidRDefault="009F04A3" w:rsidP="00B13C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6302B667">
              <w:rPr>
                <w:rFonts w:ascii="Calibri" w:eastAsia="Times New Roman" w:hAnsi="Calibri" w:cs="Calibri"/>
                <w:sz w:val="20"/>
                <w:szCs w:val="20"/>
              </w:rPr>
              <w:t>XRN5535</w:t>
            </w:r>
            <w:r w:rsidR="2C6FD6D2" w:rsidRPr="6302B667">
              <w:rPr>
                <w:rFonts w:ascii="Calibri" w:eastAsia="Times New Roman" w:hAnsi="Calibri" w:cs="Calibri"/>
                <w:sz w:val="20"/>
                <w:szCs w:val="20"/>
              </w:rPr>
              <w:t xml:space="preserve">A </w:t>
            </w:r>
            <w:r w:rsidRPr="4696043A">
              <w:rPr>
                <w:rFonts w:ascii="Calibri" w:eastAsia="Times New Roman" w:hAnsi="Calibri" w:cs="Calibri"/>
                <w:sz w:val="20"/>
                <w:szCs w:val="20"/>
              </w:rPr>
              <w:t>- Processing of CSS Switch Requests Received in ‘Time Period 5’ – Registration Processing</w:t>
            </w:r>
          </w:p>
        </w:tc>
      </w:tr>
      <w:tr w:rsidR="00B13C27" w:rsidRPr="002B2E87" w:rsidTr="6ABA8AE3">
        <w:tc>
          <w:tcPr>
            <w:tcW w:w="2439" w:type="pct"/>
            <w:shd w:val="clear" w:color="auto" w:fill="FFFFFF" w:themeFill="background1"/>
            <w:vAlign w:val="center"/>
          </w:tcPr>
          <w:p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:rsidR="00B13C27" w:rsidRPr="00956624" w:rsidRDefault="009D14DD" w:rsidP="00B13C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6302B667">
              <w:rPr>
                <w:rFonts w:ascii="Calibri" w:eastAsia="Times New Roman" w:hAnsi="Calibri" w:cs="Calibri"/>
                <w:sz w:val="20"/>
                <w:szCs w:val="20"/>
              </w:rPr>
              <w:t>XRN55</w:t>
            </w:r>
            <w:r w:rsidR="009F3C92" w:rsidRPr="6302B667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  <w:r w:rsidR="58041CDF" w:rsidRPr="6302B667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</w:tr>
      <w:tr w:rsidR="00B13C27" w:rsidRPr="002B2E87" w:rsidTr="6ABA8AE3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B13C27" w:rsidRPr="00956624" w:rsidRDefault="009D14DD" w:rsidP="00B13C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56624">
              <w:rPr>
                <w:rFonts w:ascii="Calibri" w:eastAsia="Times New Roman" w:hAnsi="Calibri" w:cs="Calibri"/>
                <w:sz w:val="20"/>
                <w:szCs w:val="20"/>
              </w:rPr>
              <w:t xml:space="preserve">TBC </w:t>
            </w:r>
          </w:p>
        </w:tc>
      </w:tr>
      <w:tr w:rsidR="00B13C27" w:rsidRPr="002B2E87" w:rsidTr="6ABA8AE3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B13C27" w:rsidRPr="00956624" w:rsidRDefault="00B13C27" w:rsidP="00B13C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3C27" w:rsidRPr="002B2E87" w:rsidTr="6ABA8AE3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B13C27" w:rsidRPr="00956624" w:rsidRDefault="00B13C27" w:rsidP="00B13C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3C27" w:rsidRPr="002B2E87" w:rsidTr="6ABA8AE3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B13C27" w:rsidRPr="00956624" w:rsidRDefault="009F3C92" w:rsidP="00B13C27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Februar</w:t>
            </w:r>
            <w:r w:rsidR="009D14DD" w:rsidRPr="0095662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 2023</w:t>
            </w:r>
          </w:p>
        </w:tc>
      </w:tr>
      <w:tr w:rsidR="002B2E87" w:rsidRPr="002B2E87" w:rsidTr="6ABA8AE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:rsidTr="6ABA8AE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25F4" w:rsidRPr="00DF0284" w:rsidRDefault="00ED6443" w:rsidP="00A107AC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This change request was raised to enable the CDSP to develop systems and processes </w:t>
            </w:r>
            <w:r w:rsidR="007D2F10" w:rsidRPr="00DF0284">
              <w:rPr>
                <w:rFonts w:ascii="Calibri" w:hAnsi="Calibri" w:cs="Calibri"/>
                <w:sz w:val="20"/>
                <w:szCs w:val="20"/>
              </w:rPr>
              <w:t>to manage instances of late messages from the Central Switching Service</w:t>
            </w:r>
            <w:r w:rsidR="000F28DD" w:rsidRPr="00DF0284">
              <w:rPr>
                <w:rFonts w:ascii="Calibri" w:hAnsi="Calibri" w:cs="Calibri"/>
                <w:sz w:val="20"/>
                <w:szCs w:val="20"/>
              </w:rPr>
              <w:t xml:space="preserve"> (CSS)</w:t>
            </w:r>
            <w:r w:rsidR="007D2F10" w:rsidRPr="00DF0284">
              <w:rPr>
                <w:rFonts w:ascii="Calibri" w:hAnsi="Calibri" w:cs="Calibri"/>
                <w:sz w:val="20"/>
                <w:szCs w:val="20"/>
              </w:rPr>
              <w:t xml:space="preserve"> introduced by the Ofgem Faster Switching Programme.</w:t>
            </w:r>
            <w:r w:rsidR="00C40BB0" w:rsidRPr="00DF0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26CC1" w:rsidRPr="00DF0284">
              <w:rPr>
                <w:rFonts w:ascii="Calibri" w:hAnsi="Calibri" w:cs="Calibri"/>
                <w:sz w:val="20"/>
                <w:szCs w:val="20"/>
              </w:rPr>
              <w:t xml:space="preserve">In recognition of the risk of late messages the CDSP had developed processes and communication plans </w:t>
            </w:r>
            <w:proofErr w:type="gramStart"/>
            <w:r w:rsidR="00B26CC1" w:rsidRPr="00DF0284">
              <w:rPr>
                <w:rFonts w:ascii="Calibri" w:hAnsi="Calibri" w:cs="Calibri"/>
                <w:sz w:val="20"/>
                <w:szCs w:val="20"/>
              </w:rPr>
              <w:t>in the event that</w:t>
            </w:r>
            <w:proofErr w:type="gramEnd"/>
            <w:r w:rsidR="00B26CC1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28DD" w:rsidRPr="00DF0284">
              <w:rPr>
                <w:rFonts w:ascii="Calibri" w:hAnsi="Calibri" w:cs="Calibri"/>
                <w:sz w:val="20"/>
                <w:szCs w:val="20"/>
              </w:rPr>
              <w:t xml:space="preserve">CSS did not conclude issuing all Gate Closure messages by the </w:t>
            </w:r>
            <w:r w:rsidR="00E8291B" w:rsidRPr="00DF0284">
              <w:rPr>
                <w:rFonts w:ascii="Calibri" w:hAnsi="Calibri" w:cs="Calibri"/>
                <w:sz w:val="20"/>
                <w:szCs w:val="20"/>
              </w:rPr>
              <w:t>expected time of 18:00 each day.  This work defined that the CDSP could, with varying degre</w:t>
            </w:r>
            <w:r w:rsidR="2D775A1E" w:rsidRPr="00DF0284">
              <w:rPr>
                <w:rFonts w:ascii="Calibri" w:hAnsi="Calibri" w:cs="Calibri"/>
                <w:sz w:val="20"/>
                <w:szCs w:val="20"/>
              </w:rPr>
              <w:t>e</w:t>
            </w:r>
            <w:r w:rsidR="00E8291B" w:rsidRPr="00DF0284">
              <w:rPr>
                <w:rFonts w:ascii="Calibri" w:hAnsi="Calibri" w:cs="Calibri"/>
                <w:sz w:val="20"/>
                <w:szCs w:val="20"/>
              </w:rPr>
              <w:t>s of impact to UK Link and industry participant systems</w:t>
            </w:r>
            <w:r w:rsidR="005A7974" w:rsidRPr="00DF0284">
              <w:rPr>
                <w:rFonts w:ascii="Calibri" w:hAnsi="Calibri" w:cs="Calibri"/>
                <w:sz w:val="20"/>
                <w:szCs w:val="20"/>
              </w:rPr>
              <w:t>, hold jobs in the UK Link system until 03:00 in exceptional circumstances</w:t>
            </w:r>
            <w:r w:rsidR="00D02B4D" w:rsidRPr="00DF0284">
              <w:rPr>
                <w:rFonts w:ascii="Calibri" w:hAnsi="Calibri" w:cs="Calibri"/>
                <w:sz w:val="20"/>
                <w:szCs w:val="20"/>
              </w:rPr>
              <w:t xml:space="preserve">.  Following this time, this was </w:t>
            </w:r>
            <w:r w:rsidR="00DD48CA" w:rsidRPr="00DF0284">
              <w:rPr>
                <w:rFonts w:ascii="Calibri" w:hAnsi="Calibri" w:cs="Calibri"/>
                <w:sz w:val="20"/>
                <w:szCs w:val="20"/>
              </w:rPr>
              <w:t xml:space="preserve">defined as the start of </w:t>
            </w:r>
            <w:r w:rsidR="00D02B4D" w:rsidRPr="00DF0284">
              <w:rPr>
                <w:rFonts w:ascii="Calibri" w:hAnsi="Calibri" w:cs="Calibri"/>
                <w:sz w:val="20"/>
                <w:szCs w:val="20"/>
              </w:rPr>
              <w:t>Time Period 5</w:t>
            </w:r>
            <w:r w:rsidR="00DD48CA" w:rsidRPr="00DF0284">
              <w:rPr>
                <w:rFonts w:ascii="Calibri" w:hAnsi="Calibri" w:cs="Calibri"/>
                <w:sz w:val="20"/>
                <w:szCs w:val="20"/>
              </w:rPr>
              <w:t xml:space="preserve">, the CDSP could not </w:t>
            </w:r>
            <w:r w:rsidR="00606853" w:rsidRPr="00DF0284">
              <w:rPr>
                <w:rFonts w:ascii="Calibri" w:hAnsi="Calibri" w:cs="Calibri"/>
                <w:sz w:val="20"/>
                <w:szCs w:val="20"/>
              </w:rPr>
              <w:t xml:space="preserve">hold jobs without material impact to the gas industry.  This change was raised to enable </w:t>
            </w:r>
            <w:r w:rsidR="002A2828" w:rsidRPr="00DF0284">
              <w:rPr>
                <w:rFonts w:ascii="Calibri" w:hAnsi="Calibri" w:cs="Calibri"/>
                <w:sz w:val="20"/>
                <w:szCs w:val="20"/>
              </w:rPr>
              <w:t>analysis</w:t>
            </w:r>
            <w:r w:rsidR="00606853" w:rsidRPr="00DF0284">
              <w:rPr>
                <w:rFonts w:ascii="Calibri" w:hAnsi="Calibri" w:cs="Calibri"/>
                <w:sz w:val="20"/>
                <w:szCs w:val="20"/>
              </w:rPr>
              <w:t xml:space="preserve"> into the</w:t>
            </w:r>
            <w:r w:rsidR="002A2828" w:rsidRPr="00DF0284">
              <w:rPr>
                <w:rFonts w:ascii="Calibri" w:hAnsi="Calibri" w:cs="Calibri"/>
                <w:sz w:val="20"/>
                <w:szCs w:val="20"/>
              </w:rPr>
              <w:t xml:space="preserve"> processes that the CDSP would follow in the event of receipt of a message</w:t>
            </w:r>
            <w:r w:rsidR="00B425F4" w:rsidRPr="00DF0284">
              <w:rPr>
                <w:rFonts w:ascii="Calibri" w:hAnsi="Calibri" w:cs="Calibri"/>
                <w:sz w:val="20"/>
                <w:szCs w:val="20"/>
              </w:rPr>
              <w:t xml:space="preserve"> after this time.  </w:t>
            </w:r>
          </w:p>
          <w:p w:rsidR="00DE34B8" w:rsidRPr="00DF0284" w:rsidRDefault="00B425F4" w:rsidP="00A107AC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Following the </w:t>
            </w:r>
            <w:r w:rsidR="00C40BB0" w:rsidRPr="00DF0284">
              <w:rPr>
                <w:rFonts w:ascii="Calibri" w:hAnsi="Calibri" w:cs="Calibri"/>
                <w:sz w:val="20"/>
                <w:szCs w:val="20"/>
              </w:rPr>
              <w:t>implement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ation of </w:t>
            </w:r>
            <w:proofErr w:type="gramStart"/>
            <w:r w:rsidRPr="00DF0284">
              <w:rPr>
                <w:rFonts w:ascii="Calibri" w:hAnsi="Calibri" w:cs="Calibri"/>
                <w:sz w:val="20"/>
                <w:szCs w:val="20"/>
              </w:rPr>
              <w:t>CSS</w:t>
            </w:r>
            <w:proofErr w:type="gramEnd"/>
            <w:r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0BB0" w:rsidRPr="00DF0284">
              <w:rPr>
                <w:rFonts w:ascii="Calibri" w:hAnsi="Calibri" w:cs="Calibri"/>
                <w:sz w:val="20"/>
                <w:szCs w:val="20"/>
              </w:rPr>
              <w:t xml:space="preserve">it became clear that the processes within the Switching Operator were not sufficiently reactive 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to ensure that in the event of an incident </w:t>
            </w:r>
            <w:r w:rsidR="00C40BB0" w:rsidRPr="00DF0284">
              <w:rPr>
                <w:rFonts w:ascii="Calibri" w:hAnsi="Calibri" w:cs="Calibri"/>
                <w:sz w:val="20"/>
                <w:szCs w:val="20"/>
              </w:rPr>
              <w:t xml:space="preserve">that the GRDA would receive </w:t>
            </w:r>
            <w:r w:rsidR="00CC0DAB" w:rsidRPr="00DF0284">
              <w:rPr>
                <w:rFonts w:ascii="Calibri" w:hAnsi="Calibri" w:cs="Calibri"/>
                <w:sz w:val="20"/>
                <w:szCs w:val="20"/>
              </w:rPr>
              <w:t xml:space="preserve">all Gate Closure messages within the </w:t>
            </w:r>
            <w:r w:rsidR="00DD477D" w:rsidRPr="00DF0284">
              <w:rPr>
                <w:rFonts w:ascii="Calibri" w:hAnsi="Calibri" w:cs="Calibri"/>
                <w:sz w:val="20"/>
                <w:szCs w:val="20"/>
              </w:rPr>
              <w:t>time periods that we had defined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proofErr w:type="gramStart"/>
            <w:r w:rsidRPr="00DF0284">
              <w:rPr>
                <w:rFonts w:ascii="Calibri" w:hAnsi="Calibri" w:cs="Calibri"/>
                <w:sz w:val="20"/>
                <w:szCs w:val="20"/>
              </w:rPr>
              <w:t>As</w:t>
            </w:r>
            <w:r w:rsidR="002756C3" w:rsidRPr="00DF0284">
              <w:rPr>
                <w:rFonts w:ascii="Calibri" w:hAnsi="Calibri" w:cs="Calibri"/>
                <w:sz w:val="20"/>
                <w:szCs w:val="20"/>
              </w:rPr>
              <w:t xml:space="preserve"> a consequence of</w:t>
            </w:r>
            <w:proofErr w:type="gramEnd"/>
            <w:r w:rsidR="002756C3" w:rsidRPr="00DF0284">
              <w:rPr>
                <w:rFonts w:ascii="Calibri" w:hAnsi="Calibri" w:cs="Calibri"/>
                <w:sz w:val="20"/>
                <w:szCs w:val="20"/>
              </w:rPr>
              <w:t xml:space="preserve"> this, and the lack of assurance that the CSS would be able to generate a Secured Active Notification</w:t>
            </w:r>
            <w:r w:rsidR="00495E27" w:rsidRPr="00DF0284">
              <w:rPr>
                <w:rFonts w:ascii="Calibri" w:hAnsi="Calibri" w:cs="Calibri"/>
                <w:sz w:val="20"/>
                <w:szCs w:val="20"/>
              </w:rPr>
              <w:t xml:space="preserve"> change XRN5535 was amended to</w:t>
            </w:r>
            <w:r w:rsidR="008C595E" w:rsidRPr="00DF0284">
              <w:rPr>
                <w:rFonts w:ascii="Calibri" w:hAnsi="Calibri" w:cs="Calibri"/>
                <w:sz w:val="20"/>
                <w:szCs w:val="20"/>
              </w:rPr>
              <w:t xml:space="preserve"> the following</w:t>
            </w:r>
            <w:r w:rsidR="00C75186" w:rsidRPr="00DF0284">
              <w:rPr>
                <w:rFonts w:ascii="Calibri" w:hAnsi="Calibri" w:cs="Calibri"/>
                <w:sz w:val="20"/>
                <w:szCs w:val="20"/>
              </w:rPr>
              <w:t xml:space="preserve"> to address the immediate Registration issues to enable the CDSP to progress Registrations on UKL.  The following will form the scope of XRN5535 part A:</w:t>
            </w:r>
          </w:p>
          <w:p w:rsidR="00F369CF" w:rsidRPr="00DF0284" w:rsidRDefault="00F369CF" w:rsidP="00495E27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Identify missing messages from CSS and raise incidents with the CSS system</w:t>
            </w:r>
          </w:p>
          <w:p w:rsidR="00F369CF" w:rsidRPr="00DF0284" w:rsidRDefault="00C9203C" w:rsidP="00495E27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Create a process to manage</w:t>
            </w:r>
            <w:r w:rsidR="00DC6D34" w:rsidRPr="00DF0284">
              <w:rPr>
                <w:rFonts w:ascii="Calibri" w:hAnsi="Calibri" w:cs="Calibri"/>
                <w:szCs w:val="20"/>
              </w:rPr>
              <w:t xml:space="preserve"> receipt of ‘proxy Secured Active Notifications’ (</w:t>
            </w:r>
            <w:proofErr w:type="gramStart"/>
            <w:r w:rsidR="00DC6D34" w:rsidRPr="00DF0284">
              <w:rPr>
                <w:rFonts w:ascii="Calibri" w:hAnsi="Calibri" w:cs="Calibri"/>
                <w:szCs w:val="20"/>
              </w:rPr>
              <w:t>i.e.</w:t>
            </w:r>
            <w:proofErr w:type="gramEnd"/>
            <w:r w:rsidR="00DC6D34" w:rsidRPr="00DF0284">
              <w:rPr>
                <w:rFonts w:ascii="Calibri" w:hAnsi="Calibri" w:cs="Calibri"/>
                <w:szCs w:val="20"/>
              </w:rPr>
              <w:t xml:space="preserve"> a message received from the Switching Operator to indicate where a Registration has </w:t>
            </w:r>
            <w:r w:rsidR="00B67669" w:rsidRPr="00DF0284">
              <w:rPr>
                <w:rFonts w:ascii="Calibri" w:hAnsi="Calibri" w:cs="Calibri"/>
                <w:szCs w:val="20"/>
              </w:rPr>
              <w:t>become active where the Secured Active Notification has not been received by the Gas Retail Data Agent</w:t>
            </w:r>
            <w:r w:rsidRPr="00DF0284">
              <w:rPr>
                <w:rFonts w:ascii="Calibri" w:hAnsi="Calibri" w:cs="Calibri"/>
                <w:szCs w:val="20"/>
              </w:rPr>
              <w:t xml:space="preserve">.  This process to include generation of communications to the impacted </w:t>
            </w:r>
            <w:r w:rsidR="00D8193E" w:rsidRPr="00DF0284">
              <w:rPr>
                <w:rFonts w:ascii="Calibri" w:hAnsi="Calibri" w:cs="Calibri"/>
                <w:szCs w:val="20"/>
              </w:rPr>
              <w:t>Losing and Gaining Shipper</w:t>
            </w:r>
            <w:r w:rsidR="00420A20" w:rsidRPr="00DF0284">
              <w:rPr>
                <w:rFonts w:ascii="Calibri" w:hAnsi="Calibri" w:cs="Calibri"/>
                <w:szCs w:val="20"/>
              </w:rPr>
              <w:t xml:space="preserve"> including prompting of a </w:t>
            </w:r>
            <w:r w:rsidR="00DE34B8" w:rsidRPr="00DF0284">
              <w:rPr>
                <w:rFonts w:ascii="Calibri" w:hAnsi="Calibri" w:cs="Calibri"/>
                <w:szCs w:val="20"/>
              </w:rPr>
              <w:t>re-submission of a BRN, as required.</w:t>
            </w:r>
          </w:p>
          <w:p w:rsidR="00495E27" w:rsidRPr="00DF0284" w:rsidRDefault="00454F62" w:rsidP="00495E27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 xml:space="preserve">Enable the CDSP to generate a Registration in the UK Link system in the absence </w:t>
            </w:r>
            <w:r w:rsidR="00F369CF" w:rsidRPr="00DF0284">
              <w:rPr>
                <w:rFonts w:ascii="Calibri" w:hAnsi="Calibri" w:cs="Calibri"/>
                <w:szCs w:val="20"/>
              </w:rPr>
              <w:t>of a Secured Active Notification</w:t>
            </w:r>
          </w:p>
          <w:p w:rsidR="0081669F" w:rsidRPr="00DF0284" w:rsidRDefault="00CF1AC9" w:rsidP="00495E27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 xml:space="preserve">Manage reporting to the </w:t>
            </w:r>
            <w:r w:rsidR="00E93966" w:rsidRPr="00DF0284">
              <w:rPr>
                <w:rFonts w:ascii="Calibri" w:hAnsi="Calibri" w:cs="Calibri"/>
                <w:szCs w:val="20"/>
              </w:rPr>
              <w:t>‘</w:t>
            </w:r>
            <w:r w:rsidRPr="00DF0284">
              <w:rPr>
                <w:rFonts w:ascii="Calibri" w:hAnsi="Calibri" w:cs="Calibri"/>
                <w:szCs w:val="20"/>
              </w:rPr>
              <w:t>CSS Recorded Shipper</w:t>
            </w:r>
            <w:r w:rsidR="00E93966" w:rsidRPr="00DF0284">
              <w:rPr>
                <w:rFonts w:ascii="Calibri" w:hAnsi="Calibri" w:cs="Calibri"/>
                <w:szCs w:val="20"/>
              </w:rPr>
              <w:t>’</w:t>
            </w:r>
            <w:r w:rsidR="00624BCC" w:rsidRPr="00DF0284">
              <w:rPr>
                <w:rFonts w:ascii="Calibri" w:hAnsi="Calibri" w:cs="Calibri"/>
                <w:szCs w:val="20"/>
              </w:rPr>
              <w:t xml:space="preserve"> (</w:t>
            </w:r>
            <w:proofErr w:type="gramStart"/>
            <w:r w:rsidR="009D66D4" w:rsidRPr="00DF0284">
              <w:rPr>
                <w:rFonts w:ascii="Calibri" w:hAnsi="Calibri" w:cs="Calibri"/>
                <w:szCs w:val="20"/>
              </w:rPr>
              <w:t>i.e.</w:t>
            </w:r>
            <w:proofErr w:type="gramEnd"/>
            <w:r w:rsidR="009D66D4" w:rsidRPr="00DF0284">
              <w:rPr>
                <w:rFonts w:ascii="Calibri" w:hAnsi="Calibri" w:cs="Calibri"/>
                <w:szCs w:val="20"/>
              </w:rPr>
              <w:t xml:space="preserve"> </w:t>
            </w:r>
            <w:r w:rsidR="00624BCC" w:rsidRPr="00DF0284">
              <w:rPr>
                <w:rFonts w:ascii="Calibri" w:hAnsi="Calibri" w:cs="Calibri"/>
                <w:szCs w:val="20"/>
              </w:rPr>
              <w:t>a Shipper who is recorded on the Central Switching Service as the registered Shipper, but as a result of the ‘missing message’ issue is not recorded as the Registered User (i.e. Portfolio Shipper) in the UK Link system</w:t>
            </w:r>
            <w:r w:rsidR="009D66D4" w:rsidRPr="00DF0284">
              <w:rPr>
                <w:rFonts w:ascii="Calibri" w:hAnsi="Calibri" w:cs="Calibri"/>
                <w:szCs w:val="20"/>
              </w:rPr>
              <w:t>))</w:t>
            </w:r>
            <w:r w:rsidRPr="00DF0284">
              <w:rPr>
                <w:rFonts w:ascii="Calibri" w:hAnsi="Calibri" w:cs="Calibri"/>
                <w:szCs w:val="20"/>
              </w:rPr>
              <w:t xml:space="preserve"> to provide reporting to highlight</w:t>
            </w:r>
            <w:r w:rsidR="0081669F" w:rsidRPr="00DF0284">
              <w:rPr>
                <w:rFonts w:ascii="Calibri" w:hAnsi="Calibri" w:cs="Calibri"/>
                <w:szCs w:val="20"/>
              </w:rPr>
              <w:t>:</w:t>
            </w:r>
          </w:p>
          <w:p w:rsidR="0081669F" w:rsidRPr="00DF0284" w:rsidRDefault="0081669F" w:rsidP="0081669F">
            <w:pPr>
              <w:pStyle w:val="ListParagraph"/>
              <w:numPr>
                <w:ilvl w:val="1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U</w:t>
            </w:r>
            <w:r w:rsidR="00CF1AC9" w:rsidRPr="00DF0284">
              <w:rPr>
                <w:rFonts w:ascii="Calibri" w:hAnsi="Calibri" w:cs="Calibri"/>
                <w:szCs w:val="20"/>
              </w:rPr>
              <w:t>pdates to the UK Link system from the previous Shipper in the period after the CSS Registration Effective Date</w:t>
            </w:r>
            <w:r w:rsidRPr="00DF0284">
              <w:rPr>
                <w:rFonts w:ascii="Calibri" w:hAnsi="Calibri" w:cs="Calibri"/>
                <w:szCs w:val="20"/>
              </w:rPr>
              <w:t>; and</w:t>
            </w:r>
          </w:p>
          <w:p w:rsidR="00CF1AC9" w:rsidRPr="00DF0284" w:rsidRDefault="001B26E9" w:rsidP="0081669F">
            <w:pPr>
              <w:pStyle w:val="ListParagraph"/>
              <w:numPr>
                <w:ilvl w:val="1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 xml:space="preserve">Rejected UK Link Communications submitted by the </w:t>
            </w:r>
            <w:r w:rsidR="005A68E6" w:rsidRPr="00DF0284">
              <w:rPr>
                <w:rFonts w:ascii="Calibri" w:hAnsi="Calibri" w:cs="Calibri"/>
                <w:szCs w:val="20"/>
              </w:rPr>
              <w:t xml:space="preserve">CSS Recorded Shipper </w:t>
            </w:r>
            <w:r w:rsidR="00420A20" w:rsidRPr="00DF0284">
              <w:rPr>
                <w:rFonts w:ascii="Calibri" w:hAnsi="Calibri" w:cs="Calibri"/>
                <w:szCs w:val="20"/>
              </w:rPr>
              <w:t>in the period after the CSS Registration Effective Date</w:t>
            </w:r>
          </w:p>
          <w:p w:rsidR="00D93002" w:rsidRPr="00DF0284" w:rsidRDefault="00DE34B8" w:rsidP="00A107AC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>The above is proposed as the scope of XRN553</w:t>
            </w:r>
            <w:r w:rsidR="3A302CDB" w:rsidRPr="00DF0284">
              <w:rPr>
                <w:rFonts w:ascii="Calibri" w:hAnsi="Calibri" w:cs="Calibri"/>
                <w:sz w:val="20"/>
                <w:szCs w:val="20"/>
              </w:rPr>
              <w:t>5</w:t>
            </w:r>
            <w:r w:rsidR="00A32F60" w:rsidRPr="00DF0284">
              <w:rPr>
                <w:rFonts w:ascii="Calibri" w:hAnsi="Calibri" w:cs="Calibri"/>
                <w:sz w:val="20"/>
                <w:szCs w:val="20"/>
              </w:rPr>
              <w:t xml:space="preserve"> part A</w:t>
            </w:r>
            <w:r w:rsidR="001B73B0" w:rsidRPr="00DF0284">
              <w:rPr>
                <w:rFonts w:ascii="Calibri" w:hAnsi="Calibri" w:cs="Calibri"/>
                <w:sz w:val="20"/>
                <w:szCs w:val="20"/>
              </w:rPr>
              <w:t xml:space="preserve"> (5535A)</w:t>
            </w:r>
            <w:r w:rsidRPr="00DF0284">
              <w:rPr>
                <w:rFonts w:ascii="Calibri" w:hAnsi="Calibri" w:cs="Calibri"/>
                <w:sz w:val="20"/>
                <w:szCs w:val="20"/>
              </w:rPr>
              <w:t>.  The followi</w:t>
            </w:r>
            <w:r w:rsidR="00E66400" w:rsidRPr="00DF0284">
              <w:rPr>
                <w:rFonts w:ascii="Calibri" w:hAnsi="Calibri" w:cs="Calibri"/>
                <w:sz w:val="20"/>
                <w:szCs w:val="20"/>
              </w:rPr>
              <w:t xml:space="preserve">ng </w:t>
            </w:r>
            <w:r w:rsidR="00692D74" w:rsidRPr="00DF0284">
              <w:rPr>
                <w:rFonts w:ascii="Calibri" w:hAnsi="Calibri" w:cs="Calibri"/>
                <w:sz w:val="20"/>
                <w:szCs w:val="20"/>
              </w:rPr>
              <w:t xml:space="preserve">elements are proposed as the scope of </w:t>
            </w:r>
            <w:proofErr w:type="gramStart"/>
            <w:r w:rsidR="00692D74" w:rsidRPr="00DF0284">
              <w:rPr>
                <w:rFonts w:ascii="Calibri" w:hAnsi="Calibri" w:cs="Calibri"/>
                <w:sz w:val="20"/>
                <w:szCs w:val="20"/>
              </w:rPr>
              <w:t>5535</w:t>
            </w:r>
            <w:r w:rsidR="00A32F60" w:rsidRPr="00DF0284">
              <w:rPr>
                <w:rFonts w:ascii="Calibri" w:hAnsi="Calibri" w:cs="Calibri"/>
                <w:sz w:val="20"/>
                <w:szCs w:val="20"/>
              </w:rPr>
              <w:t xml:space="preserve"> part</w:t>
            </w:r>
            <w:proofErr w:type="gramEnd"/>
            <w:r w:rsidR="00A32F60" w:rsidRPr="00DF0284"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 w:rsidR="00692D74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73B0" w:rsidRPr="00DF0284">
              <w:rPr>
                <w:rFonts w:ascii="Calibri" w:hAnsi="Calibri" w:cs="Calibri"/>
                <w:sz w:val="20"/>
                <w:szCs w:val="20"/>
              </w:rPr>
              <w:t xml:space="preserve">(5535B) </w:t>
            </w:r>
            <w:r w:rsidR="00692D74" w:rsidRPr="00DF0284">
              <w:rPr>
                <w:rFonts w:ascii="Calibri" w:hAnsi="Calibri" w:cs="Calibri"/>
                <w:sz w:val="20"/>
                <w:szCs w:val="20"/>
              </w:rPr>
              <w:t>and are not considered within this BER – as these are subject to a UNC Modification</w:t>
            </w:r>
            <w:r w:rsidR="00D93002" w:rsidRPr="00DF0284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D8193E" w:rsidRPr="00DF0284" w:rsidRDefault="00D93002" w:rsidP="00D93002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G</w:t>
            </w:r>
            <w:r w:rsidR="00692D74" w:rsidRPr="00DF0284">
              <w:rPr>
                <w:rFonts w:ascii="Calibri" w:hAnsi="Calibri" w:cs="Calibri"/>
                <w:szCs w:val="20"/>
              </w:rPr>
              <w:t xml:space="preserve">eneration of </w:t>
            </w:r>
            <w:r w:rsidRPr="00DF0284">
              <w:rPr>
                <w:rFonts w:ascii="Calibri" w:hAnsi="Calibri" w:cs="Calibri"/>
                <w:szCs w:val="20"/>
              </w:rPr>
              <w:t>any transportation invoice adjustments</w:t>
            </w:r>
          </w:p>
          <w:p w:rsidR="00D93002" w:rsidRPr="00DF0284" w:rsidRDefault="00D93002" w:rsidP="00D93002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Generation and application of a Meter Reading for the CSS Registration Effective Date</w:t>
            </w:r>
          </w:p>
          <w:p w:rsidR="00A70FE8" w:rsidRPr="00DF0284" w:rsidRDefault="00A70FE8" w:rsidP="00A70FE8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Analysis and development of automated reporting to support CSS Recorded Shipper</w:t>
            </w:r>
            <w:r w:rsidR="00F55794" w:rsidRPr="00DF0284">
              <w:rPr>
                <w:rFonts w:ascii="Calibri" w:hAnsi="Calibri" w:cs="Calibri"/>
                <w:szCs w:val="20"/>
              </w:rPr>
              <w:t>, if required longer term</w:t>
            </w:r>
          </w:p>
          <w:p w:rsidR="00ED6443" w:rsidRPr="00DF0284" w:rsidRDefault="00D93002" w:rsidP="00A107AC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>This change</w:t>
            </w:r>
            <w:r w:rsidR="00FB4AF7" w:rsidRPr="00DF0284">
              <w:rPr>
                <w:rFonts w:ascii="Calibri" w:hAnsi="Calibri" w:cs="Calibri"/>
                <w:sz w:val="20"/>
                <w:szCs w:val="20"/>
              </w:rPr>
              <w:t>,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 XRN 5535</w:t>
            </w:r>
            <w:r w:rsidR="0079355B" w:rsidRPr="00DF0284">
              <w:rPr>
                <w:rFonts w:ascii="Calibri" w:hAnsi="Calibri" w:cs="Calibri"/>
                <w:sz w:val="20"/>
                <w:szCs w:val="20"/>
              </w:rPr>
              <w:t>A</w:t>
            </w:r>
            <w:r w:rsidR="00FB4AF7" w:rsidRPr="00DF0284">
              <w:rPr>
                <w:rFonts w:ascii="Calibri" w:hAnsi="Calibri" w:cs="Calibri"/>
                <w:sz w:val="20"/>
                <w:szCs w:val="20"/>
              </w:rPr>
              <w:t>,</w:t>
            </w:r>
            <w:r w:rsidR="00014701" w:rsidRPr="00DF0284">
              <w:rPr>
                <w:rFonts w:ascii="Calibri" w:hAnsi="Calibri" w:cs="Calibri"/>
                <w:sz w:val="20"/>
                <w:szCs w:val="20"/>
              </w:rPr>
              <w:t xml:space="preserve"> will be used to manage the</w:t>
            </w:r>
            <w:r w:rsidR="00FB4AF7" w:rsidRPr="00DF0284">
              <w:rPr>
                <w:rFonts w:ascii="Calibri" w:hAnsi="Calibri" w:cs="Calibri"/>
                <w:sz w:val="20"/>
                <w:szCs w:val="20"/>
              </w:rPr>
              <w:t xml:space="preserve"> Registration of </w:t>
            </w:r>
            <w:r w:rsidR="00960670" w:rsidRPr="00DF0284">
              <w:rPr>
                <w:rFonts w:ascii="Calibri" w:hAnsi="Calibri" w:cs="Calibri"/>
                <w:sz w:val="20"/>
                <w:szCs w:val="20"/>
              </w:rPr>
              <w:t>the existing population of m</w:t>
            </w:r>
            <w:r w:rsidR="00FB4AF7" w:rsidRPr="00DF0284">
              <w:rPr>
                <w:rFonts w:ascii="Calibri" w:hAnsi="Calibri" w:cs="Calibri"/>
                <w:sz w:val="20"/>
                <w:szCs w:val="20"/>
              </w:rPr>
              <w:t xml:space="preserve">issing </w:t>
            </w:r>
            <w:r w:rsidR="00960670" w:rsidRPr="00DF0284">
              <w:rPr>
                <w:rFonts w:ascii="Calibri" w:hAnsi="Calibri" w:cs="Calibri"/>
                <w:sz w:val="20"/>
                <w:szCs w:val="20"/>
              </w:rPr>
              <w:t>m</w:t>
            </w:r>
            <w:r w:rsidR="00FB4AF7" w:rsidRPr="00DF0284">
              <w:rPr>
                <w:rFonts w:ascii="Calibri" w:hAnsi="Calibri" w:cs="Calibri"/>
                <w:sz w:val="20"/>
                <w:szCs w:val="20"/>
              </w:rPr>
              <w:t>essages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0670" w:rsidRPr="00DF0284">
              <w:rPr>
                <w:rFonts w:ascii="Calibri" w:hAnsi="Calibri" w:cs="Calibri"/>
                <w:sz w:val="20"/>
                <w:szCs w:val="20"/>
              </w:rPr>
              <w:t>identified following CSS implementation in July 2022</w:t>
            </w:r>
            <w:r w:rsidR="00765EE0" w:rsidRPr="00DF0284">
              <w:rPr>
                <w:rFonts w:ascii="Calibri" w:hAnsi="Calibri" w:cs="Calibri"/>
                <w:sz w:val="20"/>
                <w:szCs w:val="20"/>
              </w:rPr>
              <w:t xml:space="preserve"> (circa 200 messages </w:t>
            </w:r>
            <w:proofErr w:type="gramStart"/>
            <w:r w:rsidR="00FC5DF6" w:rsidRPr="00DF0284">
              <w:rPr>
                <w:rFonts w:ascii="Calibri" w:hAnsi="Calibri" w:cs="Calibri"/>
                <w:sz w:val="20"/>
                <w:szCs w:val="20"/>
              </w:rPr>
              <w:t>at</w:t>
            </w:r>
            <w:proofErr w:type="gramEnd"/>
            <w:r w:rsidR="00FC5DF6" w:rsidRPr="00DF0284">
              <w:rPr>
                <w:rFonts w:ascii="Calibri" w:hAnsi="Calibri" w:cs="Calibri"/>
                <w:sz w:val="20"/>
                <w:szCs w:val="20"/>
              </w:rPr>
              <w:t xml:space="preserve"> January 2023)</w:t>
            </w:r>
            <w:r w:rsidR="00B67C18" w:rsidRPr="00DF0284">
              <w:rPr>
                <w:rFonts w:ascii="Calibri" w:hAnsi="Calibri" w:cs="Calibri"/>
                <w:sz w:val="20"/>
                <w:szCs w:val="20"/>
              </w:rPr>
              <w:t xml:space="preserve">.  This process will endure and </w:t>
            </w:r>
            <w:r w:rsidR="00DA31C8" w:rsidRPr="00DF0284">
              <w:rPr>
                <w:rFonts w:ascii="Calibri" w:hAnsi="Calibri" w:cs="Calibri"/>
                <w:sz w:val="20"/>
                <w:szCs w:val="20"/>
              </w:rPr>
              <w:t xml:space="preserve">is linked to 5567 - </w:t>
            </w:r>
            <w:r w:rsidR="000961A2" w:rsidRPr="00DF0284">
              <w:rPr>
                <w:rFonts w:ascii="Calibri" w:hAnsi="Calibri" w:cs="Calibri"/>
                <w:sz w:val="20"/>
                <w:szCs w:val="20"/>
              </w:rPr>
              <w:t>Implementation of Resend Functionality for Messages from CSS to GRDA (REC CP R0067)</w:t>
            </w:r>
            <w:r w:rsidR="00DA31C8" w:rsidRPr="00DF0284">
              <w:rPr>
                <w:rFonts w:ascii="Calibri" w:hAnsi="Calibri" w:cs="Calibri"/>
                <w:sz w:val="20"/>
                <w:szCs w:val="20"/>
              </w:rPr>
              <w:t>.  Th</w:t>
            </w:r>
            <w:r w:rsidR="0012353E" w:rsidRPr="00DF0284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 w:rsidR="00DA31C8" w:rsidRPr="00DF0284">
              <w:rPr>
                <w:rFonts w:ascii="Calibri" w:hAnsi="Calibri" w:cs="Calibri"/>
                <w:sz w:val="20"/>
                <w:szCs w:val="20"/>
              </w:rPr>
              <w:t xml:space="preserve">process </w:t>
            </w:r>
            <w:r w:rsidR="0012353E" w:rsidRPr="00DF0284">
              <w:rPr>
                <w:rFonts w:ascii="Calibri" w:hAnsi="Calibri" w:cs="Calibri"/>
                <w:sz w:val="20"/>
                <w:szCs w:val="20"/>
              </w:rPr>
              <w:t>will be called in any instances where the GRDA utilises the ‘Refre</w:t>
            </w:r>
            <w:r w:rsidR="00FC5DF6" w:rsidRPr="00DF0284">
              <w:rPr>
                <w:rFonts w:ascii="Calibri" w:hAnsi="Calibri" w:cs="Calibri"/>
                <w:sz w:val="20"/>
                <w:szCs w:val="20"/>
              </w:rPr>
              <w:t xml:space="preserve">sh’ </w:t>
            </w:r>
            <w:r w:rsidR="0012353E" w:rsidRPr="00DF0284">
              <w:rPr>
                <w:rFonts w:ascii="Calibri" w:hAnsi="Calibri" w:cs="Calibri"/>
                <w:sz w:val="20"/>
                <w:szCs w:val="20"/>
              </w:rPr>
              <w:t>functionality</w:t>
            </w:r>
            <w:r w:rsidR="00FC5DF6" w:rsidRPr="00DF028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8280D" w:rsidRPr="00DF0284" w:rsidRDefault="0028280D" w:rsidP="0007561C">
            <w:pPr>
              <w:spacing w:after="60" w:line="276" w:lineRule="auto"/>
              <w:rPr>
                <w:rFonts w:cs="Arial"/>
                <w:sz w:val="20"/>
                <w:szCs w:val="20"/>
              </w:rPr>
            </w:pP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774"/>
              <w:gridCol w:w="1134"/>
              <w:gridCol w:w="1134"/>
              <w:gridCol w:w="3260"/>
              <w:gridCol w:w="2410"/>
              <w:gridCol w:w="984"/>
            </w:tblGrid>
            <w:tr w:rsidR="00A83436" w:rsidRPr="00DF0284" w:rsidTr="4696043A">
              <w:trPr>
                <w:trHeight w:val="29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DF0284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:rsidR="00A83436" w:rsidRPr="00DF0284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052070" w:rsidRPr="00DF0284" w:rsidTr="4696043A">
              <w:trPr>
                <w:trHeight w:val="627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A235D63" w:rsidP="000520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5535</w:t>
                  </w:r>
                  <w:r w:rsidR="0079355B" w:rsidRPr="00DF0284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0052070" w:rsidP="000520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0052070" w:rsidP="000520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A235D63" w:rsidP="000520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F028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XRN5535</w:t>
                  </w:r>
                  <w:r w:rsidR="001B73B0" w:rsidRPr="00DF028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</w:t>
                  </w:r>
                  <w:r w:rsidRPr="00DF028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 Processing of CSS Switch Requests Received in ‘Time Period 5’ – Registration Processing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0052070" w:rsidP="000520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:rsidR="00052070" w:rsidRPr="00DF0284" w:rsidRDefault="00052070" w:rsidP="000520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Shippers</w:t>
                  </w:r>
                </w:p>
              </w:tc>
            </w:tr>
          </w:tbl>
          <w:p w:rsidR="00221043" w:rsidRPr="00DF0284" w:rsidRDefault="00221043" w:rsidP="00694005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2070" w:rsidRPr="00DF0284" w:rsidRDefault="00694005" w:rsidP="00694005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Shippers are listed as ‘impacted’ as this Change Proposal is planned to be funded 100% by Shippers from Service Area 1.  </w:t>
            </w:r>
          </w:p>
          <w:p w:rsidR="00A70FE8" w:rsidRPr="00DF0284" w:rsidRDefault="00694005" w:rsidP="00A70FE8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There should be </w:t>
            </w:r>
            <w:r w:rsidR="00DB0C29" w:rsidRPr="00DF0284">
              <w:rPr>
                <w:rFonts w:ascii="Calibri" w:hAnsi="Calibri" w:cs="Calibri"/>
                <w:sz w:val="20"/>
                <w:szCs w:val="20"/>
              </w:rPr>
              <w:t xml:space="preserve">limited 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functional changes </w:t>
            </w:r>
            <w:r w:rsidR="00DB0C29" w:rsidRPr="00DF0284">
              <w:rPr>
                <w:rFonts w:ascii="Calibri" w:hAnsi="Calibri" w:cs="Calibri"/>
                <w:sz w:val="20"/>
                <w:szCs w:val="20"/>
              </w:rPr>
              <w:t xml:space="preserve">to Shippers with this change – </w:t>
            </w:r>
            <w:proofErr w:type="gramStart"/>
            <w:r w:rsidR="00DB0C29" w:rsidRPr="00DF0284">
              <w:rPr>
                <w:rFonts w:ascii="Calibri" w:hAnsi="Calibri" w:cs="Calibri"/>
                <w:sz w:val="20"/>
                <w:szCs w:val="20"/>
              </w:rPr>
              <w:t>i.e.</w:t>
            </w:r>
            <w:proofErr w:type="gramEnd"/>
            <w:r w:rsidR="00DB0C29" w:rsidRPr="00DF0284">
              <w:rPr>
                <w:rFonts w:ascii="Calibri" w:hAnsi="Calibri" w:cs="Calibri"/>
                <w:sz w:val="20"/>
                <w:szCs w:val="20"/>
              </w:rPr>
              <w:t xml:space="preserve"> the Registration component</w:t>
            </w:r>
            <w:r w:rsidR="00532118" w:rsidRPr="00DF0284">
              <w:rPr>
                <w:rFonts w:ascii="Calibri" w:hAnsi="Calibri" w:cs="Calibri"/>
                <w:sz w:val="20"/>
                <w:szCs w:val="20"/>
              </w:rPr>
              <w:t>.  We are recommending the Gaining Shipper resubmits the Base Registration Nomination (*.BRN)</w:t>
            </w:r>
            <w:r w:rsidR="0069116F" w:rsidRPr="00DF0284">
              <w:rPr>
                <w:rFonts w:ascii="Calibri" w:hAnsi="Calibri" w:cs="Calibri"/>
                <w:sz w:val="20"/>
                <w:szCs w:val="20"/>
              </w:rPr>
              <w:t xml:space="preserve"> with the latest Settlement information.  </w:t>
            </w:r>
            <w:r w:rsidR="00A70FE8" w:rsidRPr="00DF0284">
              <w:rPr>
                <w:rFonts w:ascii="Calibri" w:hAnsi="Calibri" w:cs="Calibri"/>
                <w:sz w:val="20"/>
                <w:szCs w:val="20"/>
              </w:rPr>
              <w:t>The CDSP will issue UK Link Communications in line with a normal Registration becoming Live in the UK Link system.</w:t>
            </w:r>
          </w:p>
          <w:p w:rsidR="00F373A5" w:rsidRPr="00DF0284" w:rsidRDefault="00C25E1B" w:rsidP="00A70FE8">
            <w:pPr>
              <w:spacing w:after="60" w:line="276" w:lineRule="auto"/>
              <w:rPr>
                <w:b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This change will implement </w:t>
            </w:r>
            <w:r w:rsidR="00B6287B" w:rsidRPr="00DF0284">
              <w:rPr>
                <w:rFonts w:ascii="Calibri" w:hAnsi="Calibri" w:cs="Calibri"/>
                <w:sz w:val="20"/>
                <w:szCs w:val="20"/>
              </w:rPr>
              <w:t xml:space="preserve">processes that initiate prospective Registrations.  Whilst the CDSP will endeavour </w:t>
            </w:r>
            <w:r w:rsidR="00515F54" w:rsidRPr="00DF0284">
              <w:rPr>
                <w:rFonts w:ascii="Calibri" w:hAnsi="Calibri" w:cs="Calibri"/>
                <w:sz w:val="20"/>
                <w:szCs w:val="20"/>
              </w:rPr>
              <w:t xml:space="preserve">to minimise the period of misalignment </w:t>
            </w:r>
            <w:r w:rsidR="00E379EA" w:rsidRPr="00DF0284">
              <w:rPr>
                <w:rFonts w:ascii="Calibri" w:hAnsi="Calibri" w:cs="Calibri"/>
                <w:sz w:val="20"/>
                <w:szCs w:val="20"/>
              </w:rPr>
              <w:t xml:space="preserve">this change will require </w:t>
            </w:r>
            <w:r w:rsidRPr="00DF0284">
              <w:rPr>
                <w:rFonts w:ascii="Calibri" w:hAnsi="Calibri" w:cs="Calibri"/>
                <w:sz w:val="20"/>
                <w:szCs w:val="20"/>
              </w:rPr>
              <w:t>continued exception management by gas industry parties as CSS and UKL Registration Effective Dates will not align where refresh functionality will be used</w:t>
            </w:r>
            <w:r w:rsidR="00E379EA" w:rsidRPr="00DF0284">
              <w:rPr>
                <w:rFonts w:ascii="Calibri" w:hAnsi="Calibri" w:cs="Calibri"/>
                <w:sz w:val="20"/>
                <w:szCs w:val="20"/>
              </w:rPr>
              <w:t>.</w:t>
            </w:r>
            <w:r w:rsidR="007750C7" w:rsidRPr="00DF0284">
              <w:rPr>
                <w:rFonts w:ascii="Calibri" w:hAnsi="Calibri" w:cs="Calibri"/>
                <w:sz w:val="20"/>
                <w:szCs w:val="20"/>
              </w:rPr>
              <w:t xml:space="preserve">  At first implementation of the manual processes</w:t>
            </w:r>
            <w:r w:rsidR="00AF3A17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0FE8" w:rsidRPr="00DF0284">
              <w:rPr>
                <w:rFonts w:ascii="Calibri" w:hAnsi="Calibri" w:cs="Calibri"/>
                <w:sz w:val="20"/>
                <w:szCs w:val="20"/>
              </w:rPr>
              <w:t xml:space="preserve">the Registration Effective Date </w:t>
            </w:r>
            <w:r w:rsidR="007750C7" w:rsidRPr="00DF0284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="00FF2239" w:rsidRPr="00DF0284">
              <w:rPr>
                <w:rFonts w:ascii="Calibri" w:hAnsi="Calibri" w:cs="Calibri"/>
                <w:sz w:val="20"/>
                <w:szCs w:val="20"/>
              </w:rPr>
              <w:t>be circa 5</w:t>
            </w:r>
            <w:r w:rsidR="00785FAC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3A17" w:rsidRPr="00DF0284">
              <w:rPr>
                <w:rFonts w:ascii="Calibri" w:hAnsi="Calibri" w:cs="Calibri"/>
                <w:sz w:val="20"/>
                <w:szCs w:val="20"/>
              </w:rPr>
              <w:t xml:space="preserve">– 10 </w:t>
            </w:r>
            <w:r w:rsidR="00785FAC" w:rsidRPr="00DF0284">
              <w:rPr>
                <w:rFonts w:ascii="Calibri" w:hAnsi="Calibri" w:cs="Calibri"/>
                <w:sz w:val="20"/>
                <w:szCs w:val="20"/>
              </w:rPr>
              <w:t>calendar days</w:t>
            </w:r>
            <w:r w:rsidR="00A70FE8" w:rsidRPr="00DF0284">
              <w:rPr>
                <w:rFonts w:ascii="Calibri" w:hAnsi="Calibri" w:cs="Calibri"/>
                <w:sz w:val="20"/>
                <w:szCs w:val="20"/>
              </w:rPr>
              <w:t xml:space="preserve"> after the CDSP initiates the Registration</w:t>
            </w:r>
            <w:r w:rsidR="00AF3A17" w:rsidRPr="00DF0284">
              <w:rPr>
                <w:rFonts w:ascii="Calibri" w:hAnsi="Calibri" w:cs="Calibri"/>
                <w:sz w:val="20"/>
                <w:szCs w:val="20"/>
              </w:rPr>
              <w:t xml:space="preserve">, depending on Shipper </w:t>
            </w:r>
            <w:r w:rsidR="00A70FE8" w:rsidRPr="00DF0284">
              <w:rPr>
                <w:rFonts w:ascii="Calibri" w:hAnsi="Calibri" w:cs="Calibri"/>
                <w:sz w:val="20"/>
                <w:szCs w:val="20"/>
              </w:rPr>
              <w:t>responses to the Detailed Design Change Pack for this c</w:t>
            </w:r>
            <w:r w:rsidR="00865BDD" w:rsidRPr="00DF0284">
              <w:rPr>
                <w:rFonts w:ascii="Calibri" w:hAnsi="Calibri" w:cs="Calibri"/>
                <w:sz w:val="20"/>
                <w:szCs w:val="20"/>
              </w:rPr>
              <w:t>hange</w:t>
            </w:r>
            <w:r w:rsidR="00785FAC" w:rsidRPr="00DF028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B2E87" w:rsidRPr="002B2E87" w:rsidTr="6ABA8AE3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2B2E87" w:rsidRPr="00DF0284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DF0284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:rsidTr="6ABA8AE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5DF6" w:rsidRPr="00DF0284" w:rsidRDefault="00FC5DF6" w:rsidP="00FC5DF6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>The following elements are proposed as the scope of 5535</w:t>
            </w:r>
            <w:r w:rsidR="001B73B0" w:rsidRPr="00DF0284">
              <w:rPr>
                <w:rFonts w:ascii="Calibri" w:hAnsi="Calibri" w:cs="Calibri"/>
                <w:sz w:val="20"/>
                <w:szCs w:val="20"/>
              </w:rPr>
              <w:t>B</w:t>
            </w:r>
            <w:r w:rsidRPr="00DF0284">
              <w:rPr>
                <w:rFonts w:ascii="Calibri" w:hAnsi="Calibri" w:cs="Calibri"/>
                <w:sz w:val="20"/>
                <w:szCs w:val="20"/>
              </w:rPr>
              <w:t xml:space="preserve"> and are not considered within this BER – as these are subject to a UNC Modification:</w:t>
            </w:r>
          </w:p>
          <w:p w:rsidR="00FC5DF6" w:rsidRPr="00DF0284" w:rsidRDefault="00FC5DF6" w:rsidP="00FC5D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Generation of any transportation invoice adjustments</w:t>
            </w:r>
          </w:p>
          <w:p w:rsidR="00FC5DF6" w:rsidRPr="00DF0284" w:rsidRDefault="00FC5DF6" w:rsidP="00FC5D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Generation and application of a Meter Reading for the CSS Registration Effective Date</w:t>
            </w:r>
          </w:p>
          <w:p w:rsidR="00F55794" w:rsidRPr="00DF0284" w:rsidRDefault="00F55794" w:rsidP="00F55794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alibri" w:hAnsi="Calibri" w:cs="Calibri"/>
                <w:szCs w:val="20"/>
              </w:rPr>
            </w:pPr>
            <w:r w:rsidRPr="00DF0284">
              <w:rPr>
                <w:rFonts w:ascii="Calibri" w:hAnsi="Calibri" w:cs="Calibri"/>
                <w:szCs w:val="20"/>
              </w:rPr>
              <w:t>Analysis and development of automated reporting to support CSS Recorded Shipper, if required longer term</w:t>
            </w:r>
          </w:p>
          <w:p w:rsidR="001E58AF" w:rsidRPr="00DF0284" w:rsidRDefault="006D14B9" w:rsidP="009E69E8">
            <w:pPr>
              <w:rPr>
                <w:rFonts w:cs="Arial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These will be subject to a subsequent BER and </w:t>
            </w:r>
            <w:r w:rsidR="006F1A01" w:rsidRPr="00DF0284">
              <w:rPr>
                <w:rFonts w:ascii="Calibri" w:hAnsi="Calibri" w:cs="Calibri"/>
                <w:sz w:val="20"/>
                <w:szCs w:val="20"/>
              </w:rPr>
              <w:t xml:space="preserve">Design </w:t>
            </w:r>
            <w:r w:rsidRPr="00DF0284">
              <w:rPr>
                <w:rFonts w:ascii="Calibri" w:hAnsi="Calibri" w:cs="Calibri"/>
                <w:sz w:val="20"/>
                <w:szCs w:val="20"/>
              </w:rPr>
              <w:t>Change Pack once the r</w:t>
            </w:r>
            <w:r w:rsidR="006F1A01" w:rsidRPr="00DF0284">
              <w:rPr>
                <w:rFonts w:ascii="Calibri" w:hAnsi="Calibri" w:cs="Calibri"/>
                <w:sz w:val="20"/>
                <w:szCs w:val="20"/>
              </w:rPr>
              <w:t>equirements and obligations has been established.</w:t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2B2E87" w:rsidRPr="00DF0284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DF0284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auto"/>
          </w:tcPr>
          <w:p w:rsidR="00A22702" w:rsidRPr="00DF0284" w:rsidRDefault="00A22702" w:rsidP="00607F85">
            <w:pPr>
              <w:rPr>
                <w:noProof/>
              </w:rPr>
            </w:pPr>
          </w:p>
          <w:p w:rsidR="000D252F" w:rsidRPr="00DF0284" w:rsidRDefault="000D252F" w:rsidP="000D252F">
            <w:pPr>
              <w:rPr>
                <w:i/>
                <w:color w:val="0070C0"/>
                <w:sz w:val="20"/>
              </w:rPr>
            </w:pPr>
            <w:r w:rsidRPr="00DF0284">
              <w:rPr>
                <w:i/>
                <w:color w:val="0070C0"/>
                <w:sz w:val="20"/>
              </w:rPr>
              <w:t xml:space="preserve">The following section outlines the proposed costs </w:t>
            </w:r>
          </w:p>
          <w:p w:rsidR="000C1358" w:rsidRPr="00DF0284" w:rsidRDefault="000C1358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9"/>
              <w:gridCol w:w="481"/>
              <w:gridCol w:w="551"/>
              <w:gridCol w:w="471"/>
              <w:gridCol w:w="426"/>
              <w:gridCol w:w="801"/>
              <w:gridCol w:w="611"/>
              <w:gridCol w:w="796"/>
              <w:gridCol w:w="848"/>
              <w:gridCol w:w="562"/>
              <w:gridCol w:w="574"/>
              <w:gridCol w:w="671"/>
              <w:gridCol w:w="611"/>
              <w:gridCol w:w="371"/>
              <w:gridCol w:w="384"/>
              <w:gridCol w:w="412"/>
              <w:gridCol w:w="611"/>
            </w:tblGrid>
            <w:tr w:rsidR="00DE70A1" w:rsidRPr="00DF0284" w:rsidTr="4696043A">
              <w:trPr>
                <w:trHeight w:val="155"/>
              </w:trPr>
              <w:tc>
                <w:tcPr>
                  <w:tcW w:w="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XRN Ref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HLSO £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Design EQR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Build £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Test £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Implement</w:t>
                  </w:r>
                  <w:r w:rsidR="00D57701"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-</w:t>
                  </w:r>
                  <w:proofErr w:type="spellStart"/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ation</w:t>
                  </w:r>
                  <w:proofErr w:type="spellEnd"/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 PIS £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6A2C0B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BP23 </w:t>
                  </w:r>
                  <w:r w:rsidR="00980B8C"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£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6A2C0B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BP24 </w:t>
                  </w:r>
                  <w:r w:rsidR="00980B8C"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£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Delivery Total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CSSC Im</w:t>
                  </w:r>
                  <w:r w:rsidR="00D57701"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p</w:t>
                  </w: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act £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Risk Margin £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BER Total for Approval £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Shipper £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DN £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IGT £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NTS £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noWrap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Total </w:t>
                  </w:r>
                </w:p>
              </w:tc>
            </w:tr>
            <w:tr w:rsidR="008112A5" w:rsidRPr="00DF0284" w:rsidTr="4696043A">
              <w:trPr>
                <w:trHeight w:val="288"/>
              </w:trPr>
              <w:tc>
                <w:tcPr>
                  <w:tcW w:w="2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1E8BEC2F" w:rsidP="469604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 w:themeColor="text1"/>
                      <w:sz w:val="12"/>
                      <w:szCs w:val="12"/>
                    </w:rPr>
                    <w:t>55</w:t>
                  </w:r>
                  <w:r w:rsidR="0581FD61" w:rsidRPr="00DF0284">
                    <w:rPr>
                      <w:rFonts w:ascii="Calibri" w:eastAsia="Times New Roman" w:hAnsi="Calibri" w:cs="Calibri"/>
                      <w:color w:val="000000" w:themeColor="text1"/>
                      <w:sz w:val="12"/>
                      <w:szCs w:val="12"/>
                    </w:rPr>
                    <w:t>35</w:t>
                  </w:r>
                  <w:r w:rsidR="0CC37D51" w:rsidRPr="00DF0284">
                    <w:rPr>
                      <w:rFonts w:ascii="Calibri" w:eastAsia="Times New Roman" w:hAnsi="Calibri" w:cs="Calibri"/>
                      <w:color w:val="000000" w:themeColor="text1"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B057E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DE70A1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D8228B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DE70A1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2E64E9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£0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6A2C0B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£44,000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980B8C" w:rsidRDefault="00DD347E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6ABA8AE3">
                    <w:rPr>
                      <w:rFonts w:ascii="Calibri" w:eastAsia="Times New Roman" w:hAnsi="Calibri" w:cs="Calibri"/>
                      <w:color w:val="000000" w:themeColor="text1"/>
                      <w:sz w:val="12"/>
                      <w:szCs w:val="12"/>
                    </w:rPr>
                    <w:t>£</w:t>
                  </w:r>
                  <w:r w:rsidR="00DE70A1" w:rsidRPr="6ABA8AE3">
                    <w:rPr>
                      <w:rFonts w:ascii="Calibri" w:eastAsia="Times New Roman" w:hAnsi="Calibri" w:cs="Calibri"/>
                      <w:color w:val="000000" w:themeColor="text1"/>
                      <w:sz w:val="12"/>
                      <w:szCs w:val="12"/>
                    </w:rPr>
                    <w:t>44,000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C0138A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6A2C0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88</w:t>
                  </w:r>
                  <w:r w:rsidR="00DE70A1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,000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D5770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D5770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Nil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D5770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6A2C0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88</w:t>
                  </w:r>
                  <w:r w:rsidR="00DE70A1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,000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3F0364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6A2C0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88</w:t>
                  </w:r>
                  <w:r w:rsidR="00DE70A1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,000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3F0364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3F0364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3F0364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B8C" w:rsidRPr="00DF0284" w:rsidRDefault="003F0364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</w:t>
                  </w:r>
                  <w:r w:rsidR="006A2C0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88</w:t>
                  </w:r>
                  <w:r w:rsidR="00D534BF" w:rsidRPr="00DF0284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,000</w:t>
                  </w:r>
                </w:p>
              </w:tc>
            </w:tr>
          </w:tbl>
          <w:p w:rsidR="00A22702" w:rsidRPr="00DF0284" w:rsidRDefault="00A22702" w:rsidP="00607F85">
            <w:pPr>
              <w:rPr>
                <w:rFonts w:cs="Arial"/>
                <w:b/>
                <w:szCs w:val="16"/>
              </w:rPr>
            </w:pPr>
          </w:p>
          <w:p w:rsidR="00F65BA5" w:rsidRPr="00DF0284" w:rsidRDefault="00912B20" w:rsidP="00607F85">
            <w:pPr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>CDSP ha</w:t>
            </w:r>
            <w:r w:rsidR="001559DB" w:rsidRPr="00DF0284">
              <w:rPr>
                <w:rFonts w:ascii="Calibri" w:hAnsi="Calibri" w:cs="Calibri"/>
                <w:sz w:val="20"/>
                <w:szCs w:val="20"/>
              </w:rPr>
              <w:t xml:space="preserve">s developed the functionality </w:t>
            </w:r>
            <w:r w:rsidR="009676B1" w:rsidRPr="00DF0284">
              <w:rPr>
                <w:rFonts w:ascii="Calibri" w:hAnsi="Calibri" w:cs="Calibri"/>
                <w:sz w:val="20"/>
                <w:szCs w:val="20"/>
              </w:rPr>
              <w:t xml:space="preserve">to initiate Registrations in UK Link in the absence of a Secured Active Notification.  </w:t>
            </w:r>
          </w:p>
          <w:p w:rsidR="00F65BA5" w:rsidRPr="00DF0284" w:rsidRDefault="009C76FD" w:rsidP="00607F85">
            <w:pPr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Registrations </w:t>
            </w:r>
            <w:r w:rsidR="005852A7" w:rsidRPr="00DF0284">
              <w:rPr>
                <w:rFonts w:ascii="Calibri" w:hAnsi="Calibri" w:cs="Calibri"/>
                <w:sz w:val="20"/>
                <w:szCs w:val="20"/>
              </w:rPr>
              <w:t xml:space="preserve">initiated by </w:t>
            </w:r>
            <w:r w:rsidR="00E95D5D" w:rsidRPr="00DF0284">
              <w:rPr>
                <w:rFonts w:ascii="Calibri" w:hAnsi="Calibri" w:cs="Calibri"/>
                <w:sz w:val="20"/>
                <w:szCs w:val="20"/>
              </w:rPr>
              <w:t xml:space="preserve">Refresh functionality </w:t>
            </w:r>
            <w:r w:rsidR="005852A7" w:rsidRPr="00DF0284">
              <w:rPr>
                <w:rFonts w:ascii="Calibri" w:hAnsi="Calibri" w:cs="Calibri"/>
                <w:sz w:val="20"/>
                <w:szCs w:val="20"/>
              </w:rPr>
              <w:t xml:space="preserve">(see XRN5567) </w:t>
            </w:r>
            <w:r w:rsidR="0067507A" w:rsidRPr="00DF0284">
              <w:rPr>
                <w:rFonts w:ascii="Calibri" w:hAnsi="Calibri" w:cs="Calibri"/>
                <w:sz w:val="20"/>
                <w:szCs w:val="20"/>
              </w:rPr>
              <w:t>will be</w:t>
            </w:r>
            <w:r w:rsidR="005852A7" w:rsidRPr="00DF0284">
              <w:rPr>
                <w:rFonts w:ascii="Calibri" w:hAnsi="Calibri" w:cs="Calibri"/>
                <w:sz w:val="20"/>
                <w:szCs w:val="20"/>
              </w:rPr>
              <w:t xml:space="preserve"> manually initiated</w:t>
            </w:r>
            <w:r w:rsidR="004D1B96" w:rsidRPr="00DF028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77CDB" w:rsidRPr="00DF0284" w:rsidRDefault="00F65BA5" w:rsidP="00607F85">
            <w:pPr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>Reporting will require manual collation</w:t>
            </w:r>
            <w:r w:rsidR="004D1B96" w:rsidRPr="00DF028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85C23" w:rsidRPr="00DF0284" w:rsidRDefault="00285C23" w:rsidP="00607F8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85C23" w:rsidRPr="00DF0284" w:rsidRDefault="00285C23" w:rsidP="00607F85">
            <w:pPr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This BER proposes that the cost</w:t>
            </w:r>
            <w:r w:rsidR="008D4E27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of £44,000 per annum is funded from the Change Budget</w:t>
            </w:r>
            <w:r w:rsidR="00F96753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two years</w:t>
            </w:r>
            <w:r w:rsidR="008D4E27" w:rsidRPr="00DF0284">
              <w:rPr>
                <w:rFonts w:ascii="Calibri" w:hAnsi="Calibri" w:cs="Calibri"/>
                <w:sz w:val="20"/>
                <w:szCs w:val="20"/>
              </w:rPr>
              <w:t xml:space="preserve"> and that the cost </w:t>
            </w:r>
            <w:r w:rsidR="00DE50CF" w:rsidRPr="00DF0284">
              <w:rPr>
                <w:rFonts w:ascii="Calibri" w:hAnsi="Calibri" w:cs="Calibri"/>
                <w:sz w:val="20"/>
                <w:szCs w:val="20"/>
              </w:rPr>
              <w:t xml:space="preserve">of management of </w:t>
            </w:r>
            <w:r w:rsidR="00425F39" w:rsidRPr="00DF0284">
              <w:rPr>
                <w:rFonts w:ascii="Calibri" w:hAnsi="Calibri" w:cs="Calibri"/>
                <w:sz w:val="20"/>
                <w:szCs w:val="20"/>
              </w:rPr>
              <w:t xml:space="preserve">these manual processes </w:t>
            </w:r>
            <w:r w:rsidR="00DE50CF" w:rsidRPr="00DF0284">
              <w:rPr>
                <w:rFonts w:ascii="Calibri" w:hAnsi="Calibri" w:cs="Calibri"/>
                <w:sz w:val="20"/>
                <w:szCs w:val="20"/>
              </w:rPr>
              <w:t>is</w:t>
            </w:r>
            <w:r w:rsidR="00425F39" w:rsidRPr="00DF0284">
              <w:rPr>
                <w:rFonts w:ascii="Calibri" w:hAnsi="Calibri" w:cs="Calibri"/>
                <w:sz w:val="20"/>
                <w:szCs w:val="20"/>
              </w:rPr>
              <w:t xml:space="preserve"> not added to MTB</w:t>
            </w:r>
            <w:r w:rsidR="00F96753" w:rsidRPr="00DF0284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E33A1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Consequently, </w:t>
            </w:r>
            <w:r w:rsidR="00F871EB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£44,000 shall be </w:t>
            </w:r>
            <w:r w:rsidR="00B91ABB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charged </w:t>
            </w:r>
            <w:r w:rsidR="00E33C0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from </w:t>
            </w:r>
            <w:r w:rsidR="00F871EB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Change Budget for 23/24, and £44,000 </w:t>
            </w:r>
            <w:r w:rsidR="00E33C0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charged for </w:t>
            </w:r>
            <w:r w:rsidR="00060FB3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24/25</w:t>
            </w:r>
            <w:r w:rsidR="00B847E9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847E9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3563" w:rsidRPr="00DF0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6753" w:rsidRPr="00DF0284">
              <w:rPr>
                <w:rFonts w:ascii="Calibri" w:hAnsi="Calibri" w:cs="Calibri"/>
                <w:sz w:val="20"/>
                <w:szCs w:val="20"/>
              </w:rPr>
              <w:t xml:space="preserve">It is proposed </w:t>
            </w:r>
            <w:r w:rsidR="00425F39" w:rsidRPr="00DF0284">
              <w:rPr>
                <w:rFonts w:ascii="Calibri" w:hAnsi="Calibri" w:cs="Calibri"/>
                <w:sz w:val="20"/>
                <w:szCs w:val="20"/>
              </w:rPr>
              <w:t xml:space="preserve">the volume of instances of missing messages are reviewed </w:t>
            </w:r>
            <w:r w:rsidR="00624D18" w:rsidRPr="00DF0284">
              <w:rPr>
                <w:rFonts w:ascii="Calibri" w:hAnsi="Calibri" w:cs="Calibri"/>
                <w:sz w:val="20"/>
                <w:szCs w:val="20"/>
              </w:rPr>
              <w:t xml:space="preserve">in two years following maturity of CSS systems and progression of REC Changes </w:t>
            </w:r>
            <w:r w:rsidR="003B527F" w:rsidRPr="00DF0284">
              <w:rPr>
                <w:rFonts w:ascii="Calibri" w:hAnsi="Calibri" w:cs="Calibri"/>
                <w:sz w:val="20"/>
                <w:szCs w:val="20"/>
              </w:rPr>
              <w:t>that should reduce exceptions</w:t>
            </w:r>
            <w:r w:rsidR="008D4E27" w:rsidRPr="00DF0284">
              <w:rPr>
                <w:rFonts w:ascii="Calibri" w:hAnsi="Calibri" w:cs="Calibri"/>
                <w:sz w:val="20"/>
                <w:szCs w:val="20"/>
              </w:rPr>
              <w:t>, notably</w:t>
            </w:r>
            <w:r w:rsidR="003B527F" w:rsidRPr="00DF0284">
              <w:rPr>
                <w:rFonts w:ascii="Calibri" w:hAnsi="Calibri" w:cs="Calibri"/>
                <w:sz w:val="20"/>
                <w:szCs w:val="20"/>
              </w:rPr>
              <w:t xml:space="preserve"> REC Change</w:t>
            </w:r>
            <w:r w:rsidR="008D4E27" w:rsidRPr="00DF0284">
              <w:rPr>
                <w:rFonts w:ascii="Calibri" w:hAnsi="Calibri" w:cs="Calibri"/>
                <w:sz w:val="20"/>
                <w:szCs w:val="20"/>
              </w:rPr>
              <w:t>s</w:t>
            </w:r>
            <w:r w:rsidR="003B527F" w:rsidRPr="00DF0284">
              <w:rPr>
                <w:rFonts w:ascii="Calibri" w:hAnsi="Calibri" w:cs="Calibri"/>
                <w:sz w:val="20"/>
                <w:szCs w:val="20"/>
              </w:rPr>
              <w:t xml:space="preserve"> R0080 </w:t>
            </w:r>
            <w:r w:rsidR="008D4E27" w:rsidRPr="00DF0284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A5228" w:rsidRPr="00DF0284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Start"/>
            <w:r w:rsidR="0D195573" w:rsidRPr="00DF0284">
              <w:rPr>
                <w:rFonts w:ascii="Calibri" w:hAnsi="Calibri" w:cs="Calibri"/>
                <w:sz w:val="20"/>
                <w:szCs w:val="20"/>
                <w:lang w:val="en-US"/>
              </w:rPr>
              <w:t>mprovements</w:t>
            </w:r>
            <w:proofErr w:type="spellEnd"/>
            <w:r w:rsidR="002A5228" w:rsidRPr="00DF02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 "Failed to deliver" CSS messages</w:t>
            </w:r>
            <w:r w:rsidR="008D4E27" w:rsidRPr="00DF02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R0081 - </w:t>
            </w:r>
            <w:r w:rsidR="008D4E27" w:rsidRPr="00DF0284">
              <w:rPr>
                <w:rFonts w:ascii="Calibri" w:hAnsi="Calibri" w:cs="Calibri"/>
                <w:sz w:val="20"/>
                <w:szCs w:val="20"/>
              </w:rPr>
              <w:t>CSS Market message retry strategy</w:t>
            </w:r>
            <w:r w:rsidR="009C3897" w:rsidRPr="00DF0284">
              <w:rPr>
                <w:rFonts w:ascii="Calibri" w:hAnsi="Calibri" w:cs="Calibri"/>
                <w:sz w:val="20"/>
                <w:szCs w:val="20"/>
              </w:rPr>
              <w:t>.  At this time an appropriate value of MTB costs should be identifiable</w:t>
            </w:r>
            <w:r w:rsidR="002C655C" w:rsidRPr="00DF028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C1358" w:rsidRPr="00DF0284" w:rsidRDefault="000C1358" w:rsidP="39712EE9">
            <w:pPr>
              <w:rPr>
                <w:rFonts w:cs="Arial"/>
                <w:b/>
                <w:bCs/>
              </w:rPr>
            </w:pPr>
          </w:p>
          <w:p w:rsidR="00407373" w:rsidRPr="00DF0284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DF0284">
              <w:rPr>
                <w:rFonts w:cs="Arial"/>
                <w:b/>
                <w:bCs/>
                <w:sz w:val="18"/>
                <w:szCs w:val="18"/>
                <w:u w:val="single"/>
              </w:rPr>
              <w:t>K</w:t>
            </w:r>
            <w:r w:rsidR="00982681" w:rsidRPr="00DF0284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 w:rsidRPr="00DF0284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2B2E87" w:rsidRPr="00DF0284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DF0284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auto"/>
          </w:tcPr>
          <w:p w:rsidR="00F03913" w:rsidRPr="00DF0284" w:rsidRDefault="00384023" w:rsidP="00407A7B">
            <w:pPr>
              <w:rPr>
                <w:rFonts w:ascii="Calibri" w:hAnsi="Calibri" w:cs="Calibri"/>
                <w:sz w:val="20"/>
                <w:szCs w:val="20"/>
              </w:rPr>
            </w:pPr>
            <w:r w:rsidRPr="00DF0284">
              <w:rPr>
                <w:rFonts w:ascii="Calibri" w:hAnsi="Calibri" w:cs="Calibri"/>
                <w:sz w:val="20"/>
                <w:szCs w:val="20"/>
              </w:rPr>
              <w:t xml:space="preserve">This change delivery will require additional </w:t>
            </w:r>
            <w:r w:rsidR="002C655C" w:rsidRPr="00DF0284">
              <w:rPr>
                <w:rFonts w:ascii="Calibri" w:hAnsi="Calibri" w:cs="Calibri"/>
                <w:sz w:val="20"/>
                <w:szCs w:val="20"/>
              </w:rPr>
              <w:t>operational effort.  As stated in the BER for 5567: “</w:t>
            </w:r>
            <w:r w:rsidR="003D5B3A" w:rsidRPr="00DF0284">
              <w:rPr>
                <w:rFonts w:ascii="Calibri" w:hAnsi="Calibri" w:cs="Calibri"/>
                <w:sz w:val="20"/>
                <w:szCs w:val="20"/>
              </w:rPr>
              <w:t xml:space="preserve">The Refresh functionality </w:t>
            </w:r>
            <w:r w:rsidR="002C655C" w:rsidRPr="00DF0284">
              <w:rPr>
                <w:rFonts w:ascii="Calibri" w:hAnsi="Calibri" w:cs="Calibri"/>
                <w:sz w:val="20"/>
                <w:szCs w:val="20"/>
              </w:rPr>
              <w:t>…</w:t>
            </w:r>
            <w:r w:rsidR="00640D56" w:rsidRPr="00DF0284">
              <w:rPr>
                <w:rFonts w:ascii="Calibri" w:hAnsi="Calibri" w:cs="Calibri"/>
                <w:sz w:val="20"/>
                <w:szCs w:val="20"/>
              </w:rPr>
              <w:t xml:space="preserve"> further requires Business Operation support</w:t>
            </w:r>
            <w:r w:rsidR="00A751DB" w:rsidRPr="00DF0284">
              <w:rPr>
                <w:rFonts w:ascii="Calibri" w:hAnsi="Calibri" w:cs="Calibri"/>
                <w:sz w:val="20"/>
                <w:szCs w:val="20"/>
              </w:rPr>
              <w:t xml:space="preserve"> which should be considered as a temporary activity until such time as </w:t>
            </w:r>
            <w:r w:rsidR="00A949F4" w:rsidRPr="00DF0284">
              <w:rPr>
                <w:rFonts w:ascii="Calibri" w:hAnsi="Calibri" w:cs="Calibri"/>
                <w:sz w:val="20"/>
                <w:szCs w:val="20"/>
              </w:rPr>
              <w:t xml:space="preserve">the integration of the two systems </w:t>
            </w:r>
            <w:r w:rsidR="00AC62A8" w:rsidRPr="00DF0284">
              <w:rPr>
                <w:rFonts w:ascii="Calibri" w:hAnsi="Calibri" w:cs="Calibri"/>
                <w:sz w:val="20"/>
                <w:szCs w:val="20"/>
              </w:rPr>
              <w:t xml:space="preserve">are effective.  This BER does not include the Operational team </w:t>
            </w:r>
            <w:proofErr w:type="gramStart"/>
            <w:r w:rsidR="00AC62A8" w:rsidRPr="00DF0284">
              <w:rPr>
                <w:rFonts w:ascii="Calibri" w:hAnsi="Calibri" w:cs="Calibri"/>
                <w:sz w:val="20"/>
                <w:szCs w:val="20"/>
              </w:rPr>
              <w:t>effort</w:t>
            </w:r>
            <w:r w:rsidR="00B65210" w:rsidRPr="00DF0284">
              <w:rPr>
                <w:rFonts w:ascii="Calibri" w:hAnsi="Calibri" w:cs="Calibri"/>
                <w:sz w:val="20"/>
                <w:szCs w:val="20"/>
              </w:rPr>
              <w:t>, but</w:t>
            </w:r>
            <w:proofErr w:type="gramEnd"/>
            <w:r w:rsidR="00B65210" w:rsidRPr="00DF0284">
              <w:rPr>
                <w:rFonts w:ascii="Calibri" w:hAnsi="Calibri" w:cs="Calibri"/>
                <w:sz w:val="20"/>
                <w:szCs w:val="20"/>
              </w:rPr>
              <w:t xml:space="preserve"> proposes that this is considered as part of XRN5535 – which will consider the </w:t>
            </w:r>
            <w:r w:rsidR="005A40C6" w:rsidRPr="00DF0284">
              <w:rPr>
                <w:rFonts w:ascii="Calibri" w:hAnsi="Calibri" w:cs="Calibri"/>
                <w:sz w:val="20"/>
                <w:szCs w:val="20"/>
              </w:rPr>
              <w:t xml:space="preserve">remedial action needed for missing messages that have occurred and </w:t>
            </w:r>
            <w:r w:rsidR="006170FA" w:rsidRPr="00DF0284">
              <w:rPr>
                <w:rFonts w:ascii="Calibri" w:hAnsi="Calibri" w:cs="Calibri"/>
                <w:sz w:val="20"/>
                <w:szCs w:val="20"/>
              </w:rPr>
              <w:t>the necessary process changes</w:t>
            </w:r>
            <w:r w:rsidR="00407A7B" w:rsidRPr="00DF0284">
              <w:rPr>
                <w:rFonts w:ascii="Calibri" w:hAnsi="Calibri" w:cs="Calibri"/>
                <w:sz w:val="20"/>
                <w:szCs w:val="20"/>
              </w:rPr>
              <w:t xml:space="preserve"> in the event that instances occur in the future.</w:t>
            </w:r>
            <w:r w:rsidR="002C655C" w:rsidRPr="00DF0284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407A7B" w:rsidRPr="00DF0284" w:rsidRDefault="00407A7B" w:rsidP="00407A7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373A5" w:rsidRPr="00DF0284" w:rsidRDefault="00407A7B" w:rsidP="00407A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This Change Proposal </w:t>
            </w:r>
            <w:r w:rsidR="00C55408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will include a new</w:t>
            </w:r>
            <w:r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86AB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DSC Service Line</w:t>
            </w:r>
            <w:r w:rsidR="00C55408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that </w:t>
            </w:r>
            <w:r w:rsidR="00CE04F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where the CDSP is made aware that the Registration details in UK Link are not aligned to the Central Switching Service that it shall initiate prospective Registration</w:t>
            </w:r>
            <w:r w:rsidR="00D60923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 UKL</w:t>
            </w:r>
            <w:r w:rsidR="00886AB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F373A5" w:rsidRPr="00DF0284" w:rsidRDefault="00F373A5" w:rsidP="00407A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07A7B" w:rsidRPr="00DF0284" w:rsidRDefault="00F373A5" w:rsidP="00407A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As this is intended to only be added for a period of 2 years and then be subject to review – this is not intended to be added to MTB</w:t>
            </w:r>
            <w:r w:rsidR="00B847E9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is only shown in the table below for visibility</w:t>
            </w:r>
            <w:r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886ABC" w:rsidRPr="00DF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3E04A9" w:rsidRPr="00DF0284" w:rsidRDefault="003E04A9" w:rsidP="002B2E8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360" w:type="dxa"/>
              <w:tblLook w:val="04A0" w:firstRow="1" w:lastRow="0" w:firstColumn="1" w:lastColumn="0" w:noHBand="0" w:noVBand="1"/>
            </w:tblPr>
            <w:tblGrid>
              <w:gridCol w:w="963"/>
              <w:gridCol w:w="2834"/>
              <w:gridCol w:w="2764"/>
              <w:gridCol w:w="2799"/>
            </w:tblGrid>
            <w:tr w:rsidR="002B04DD" w:rsidRPr="00DF0284" w:rsidTr="00980B8C">
              <w:trPr>
                <w:trHeight w:val="520"/>
              </w:trPr>
              <w:tc>
                <w:tcPr>
                  <w:tcW w:w="960" w:type="dxa"/>
                  <w:hideMark/>
                </w:tcPr>
                <w:p w:rsidR="002B04DD" w:rsidRPr="00DF0284" w:rsidRDefault="002B04DD" w:rsidP="002B04D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835" w:type="dxa"/>
                  <w:hideMark/>
                </w:tcPr>
                <w:p w:rsidR="002B04DD" w:rsidRPr="00DF0284" w:rsidRDefault="002B04DD" w:rsidP="002B04D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Xoserve Service Area</w:t>
                  </w:r>
                  <w:r w:rsidR="008012FE" w:rsidRPr="00DF0284">
                    <w:rPr>
                      <w:rFonts w:ascii="Calibri" w:hAnsi="Calibri" w:cs="Calibri"/>
                      <w:sz w:val="20"/>
                      <w:szCs w:val="20"/>
                    </w:rPr>
                    <w:t xml:space="preserve"> &amp; Line</w:t>
                  </w:r>
                </w:p>
              </w:tc>
              <w:tc>
                <w:tcPr>
                  <w:tcW w:w="2765" w:type="dxa"/>
                  <w:hideMark/>
                </w:tcPr>
                <w:p w:rsidR="002B04DD" w:rsidRPr="00DF0284" w:rsidRDefault="002B04DD" w:rsidP="002B04D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800" w:type="dxa"/>
                  <w:hideMark/>
                </w:tcPr>
                <w:p w:rsidR="002B04DD" w:rsidRPr="00DF0284" w:rsidRDefault="002B04DD" w:rsidP="002B04D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1E398E" w:rsidRPr="00DF0284" w:rsidTr="00980B8C">
              <w:trPr>
                <w:trHeight w:val="690"/>
              </w:trPr>
              <w:tc>
                <w:tcPr>
                  <w:tcW w:w="960" w:type="dxa"/>
                  <w:vAlign w:val="center"/>
                  <w:hideMark/>
                </w:tcPr>
                <w:p w:rsidR="001E398E" w:rsidRPr="00DF0284" w:rsidRDefault="006B26D1" w:rsidP="001E398E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X</w:t>
                  </w:r>
                  <w:r w:rsidR="00C452EA" w:rsidRPr="00DF0284">
                    <w:rPr>
                      <w:rFonts w:ascii="Calibri" w:hAnsi="Calibri" w:cs="Calibri"/>
                      <w:sz w:val="20"/>
                      <w:szCs w:val="20"/>
                    </w:rPr>
                    <w:t>RN55</w:t>
                  </w:r>
                  <w:r w:rsidR="00804E5B" w:rsidRPr="00DF0284">
                    <w:rPr>
                      <w:rFonts w:ascii="Calibri" w:hAnsi="Calibri" w:cs="Calibri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E398E" w:rsidRPr="00DF0284" w:rsidRDefault="001E398E" w:rsidP="001E398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 xml:space="preserve">Service area 1: Manage </w:t>
                  </w:r>
                  <w:r w:rsidR="00DD55C4" w:rsidRPr="00DF0284">
                    <w:rPr>
                      <w:rFonts w:ascii="Calibri" w:hAnsi="Calibri" w:cs="Calibri"/>
                      <w:sz w:val="20"/>
                      <w:szCs w:val="20"/>
                    </w:rPr>
                    <w:t>Shipper Transfers</w:t>
                  </w:r>
                </w:p>
              </w:tc>
              <w:tc>
                <w:tcPr>
                  <w:tcW w:w="2765" w:type="dxa"/>
                  <w:vAlign w:val="center"/>
                  <w:hideMark/>
                </w:tcPr>
                <w:p w:rsidR="001E398E" w:rsidRPr="00DF0284" w:rsidRDefault="007F5BF7" w:rsidP="001E398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 xml:space="preserve">Business </w:t>
                  </w:r>
                  <w:r w:rsidR="001E398E" w:rsidRPr="00DF0284">
                    <w:rPr>
                      <w:rFonts w:ascii="Calibri" w:hAnsi="Calibri" w:cs="Calibri"/>
                      <w:sz w:val="20"/>
                      <w:szCs w:val="20"/>
                    </w:rPr>
                    <w:t xml:space="preserve">Operations </w:t>
                  </w:r>
                  <w:r w:rsidR="00F373A5" w:rsidRPr="00DF0284">
                    <w:rPr>
                      <w:rFonts w:ascii="Calibri" w:hAnsi="Calibri" w:cs="Calibri"/>
                      <w:sz w:val="20"/>
                      <w:szCs w:val="20"/>
                    </w:rPr>
                    <w:t>process initiation and reporting</w:t>
                  </w:r>
                </w:p>
              </w:tc>
              <w:tc>
                <w:tcPr>
                  <w:tcW w:w="2800" w:type="dxa"/>
                  <w:hideMark/>
                </w:tcPr>
                <w:p w:rsidR="001E398E" w:rsidRPr="00DF0284" w:rsidRDefault="008012FE" w:rsidP="001E398E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 w:rsidR="001E398E" w:rsidRPr="00DF0284">
                    <w:rPr>
                      <w:rFonts w:ascii="Calibri" w:hAnsi="Calibri" w:cs="Calibri"/>
                      <w:sz w:val="20"/>
                      <w:szCs w:val="20"/>
                    </w:rPr>
                    <w:t>£</w:t>
                  </w:r>
                  <w:r w:rsidR="00804E5B" w:rsidRPr="00DF0284">
                    <w:rPr>
                      <w:rFonts w:ascii="Calibri" w:hAnsi="Calibri" w:cs="Calibri"/>
                      <w:sz w:val="20"/>
                      <w:szCs w:val="20"/>
                    </w:rPr>
                    <w:t>44</w:t>
                  </w:r>
                  <w:r w:rsidR="007B5984" w:rsidRPr="00DF0284">
                    <w:rPr>
                      <w:rFonts w:ascii="Calibri" w:hAnsi="Calibri" w:cs="Calibri"/>
                      <w:sz w:val="20"/>
                      <w:szCs w:val="20"/>
                    </w:rPr>
                    <w:t>,000</w:t>
                  </w:r>
                </w:p>
              </w:tc>
            </w:tr>
            <w:tr w:rsidR="00DD55C4" w:rsidRPr="00DF0284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DD55C4" w:rsidRPr="00DF0284" w:rsidRDefault="00DD55C4" w:rsidP="00DD55C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</w:tcPr>
                <w:p w:rsidR="00DD55C4" w:rsidRPr="00DF0284" w:rsidRDefault="00DD55C4" w:rsidP="00DD55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D55C4" w:rsidRPr="00DF0284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DD55C4" w:rsidRPr="00DF0284" w:rsidRDefault="00DD55C4" w:rsidP="00DD55C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</w:tcPr>
                <w:p w:rsidR="00DD55C4" w:rsidRPr="00DF0284" w:rsidRDefault="00DD55C4" w:rsidP="00DD55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D55C4" w:rsidRPr="00DF0284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D55C4" w:rsidRPr="00DF0284" w:rsidRDefault="00DD55C4" w:rsidP="00DD55C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</w:tcPr>
                <w:p w:rsidR="00DD55C4" w:rsidRPr="00DF0284" w:rsidRDefault="00DD55C4" w:rsidP="00DD55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D55C4" w:rsidRPr="00DF0284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DD55C4" w:rsidRPr="00DF0284" w:rsidRDefault="00DD55C4" w:rsidP="00DD55C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</w:tcPr>
                <w:p w:rsidR="00DD55C4" w:rsidRPr="00DF0284" w:rsidRDefault="00DD55C4" w:rsidP="00DD55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D55C4" w:rsidRPr="00DF0284" w:rsidTr="00980B8C">
              <w:trPr>
                <w:trHeight w:val="290"/>
              </w:trPr>
              <w:tc>
                <w:tcPr>
                  <w:tcW w:w="6560" w:type="dxa"/>
                  <w:gridSpan w:val="3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800" w:type="dxa"/>
                  <w:vAlign w:val="center"/>
                </w:tcPr>
                <w:p w:rsidR="00DD55C4" w:rsidRPr="00DF0284" w:rsidRDefault="00DD55C4" w:rsidP="00DD55C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284">
                    <w:rPr>
                      <w:rFonts w:ascii="Calibri" w:hAnsi="Calibri" w:cs="Calibri"/>
                      <w:sz w:val="20"/>
                      <w:szCs w:val="20"/>
                    </w:rPr>
                    <w:t>£</w:t>
                  </w:r>
                  <w:r w:rsidR="00804E5B" w:rsidRPr="00DF0284">
                    <w:rPr>
                      <w:rFonts w:ascii="Calibri" w:hAnsi="Calibri" w:cs="Calibri"/>
                      <w:sz w:val="20"/>
                      <w:szCs w:val="20"/>
                    </w:rPr>
                    <w:t>44</w:t>
                  </w:r>
                  <w:r w:rsidR="00F47A87" w:rsidRPr="00DF0284">
                    <w:rPr>
                      <w:rFonts w:ascii="Calibri" w:hAnsi="Calibri" w:cs="Calibri"/>
                      <w:sz w:val="20"/>
                      <w:szCs w:val="20"/>
                    </w:rPr>
                    <w:t>,000</w:t>
                  </w:r>
                </w:p>
              </w:tc>
            </w:tr>
          </w:tbl>
          <w:p w:rsidR="001E6419" w:rsidRPr="00DF0284" w:rsidRDefault="001E6419" w:rsidP="002B2E8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auto"/>
          </w:tcPr>
          <w:p w:rsidR="001531E7" w:rsidRDefault="001531E7" w:rsidP="001F7F6F">
            <w:pPr>
              <w:rPr>
                <w:rFonts w:eastAsia="Times New Roman" w:cs="Arial"/>
                <w:b/>
                <w:noProof/>
                <w:sz w:val="20"/>
                <w:szCs w:val="16"/>
              </w:rPr>
            </w:pPr>
          </w:p>
          <w:p w:rsidR="00593A51" w:rsidRPr="00731842" w:rsidRDefault="00D60923" w:rsidP="001F7F6F">
            <w:pPr>
              <w:rPr>
                <w:rFonts w:ascii="Calibri" w:eastAsia="Times New Roman" w:hAnsi="Calibri" w:cs="Calibri"/>
                <w:bCs/>
                <w:sz w:val="20"/>
                <w:szCs w:val="16"/>
                <w:lang w:eastAsia="en-US"/>
              </w:rPr>
            </w:pPr>
            <w:r w:rsidRPr="00731842">
              <w:rPr>
                <w:rFonts w:ascii="Calibri" w:eastAsia="Times New Roman" w:hAnsi="Calibri" w:cs="Calibri"/>
                <w:bCs/>
                <w:sz w:val="20"/>
                <w:szCs w:val="16"/>
                <w:lang w:eastAsia="en-US"/>
              </w:rPr>
              <w:t xml:space="preserve">We cannot </w:t>
            </w:r>
            <w:r w:rsidR="00E90F07" w:rsidRPr="00731842">
              <w:rPr>
                <w:rFonts w:ascii="Calibri" w:eastAsia="Times New Roman" w:hAnsi="Calibri" w:cs="Calibri"/>
                <w:bCs/>
                <w:sz w:val="20"/>
                <w:szCs w:val="16"/>
                <w:lang w:eastAsia="en-US"/>
              </w:rPr>
              <w:t xml:space="preserve">provide a plan for this activity as we are entirely reliant on </w:t>
            </w:r>
            <w:r w:rsidR="00731842" w:rsidRPr="00731842">
              <w:rPr>
                <w:rFonts w:ascii="Calibri" w:eastAsia="Times New Roman" w:hAnsi="Calibri" w:cs="Calibri"/>
                <w:bCs/>
                <w:sz w:val="20"/>
                <w:szCs w:val="16"/>
                <w:lang w:eastAsia="en-US"/>
              </w:rPr>
              <w:t>the Switching Operator providing the necessary reconciliation response regarding messages that have been missing to date.</w:t>
            </w:r>
          </w:p>
          <w:p w:rsidR="00593A51" w:rsidRDefault="00593A5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:rsidR="006B26D1" w:rsidRDefault="00623587" w:rsidP="001F7F6F">
            <w:pPr>
              <w:rPr>
                <w:rFonts w:ascii="Calibri" w:eastAsia="Times New Roman" w:hAnsi="Calibri" w:cs="Calibri"/>
                <w:b/>
                <w:sz w:val="20"/>
                <w:szCs w:val="16"/>
              </w:rPr>
            </w:pPr>
            <w:r w:rsidRPr="00623587">
              <w:rPr>
                <w:rFonts w:ascii="Calibri" w:eastAsia="Times New Roman" w:hAnsi="Calibri" w:cs="Calibri"/>
                <w:b/>
                <w:sz w:val="20"/>
                <w:szCs w:val="16"/>
              </w:rPr>
              <w:t>Dependencies:</w:t>
            </w:r>
          </w:p>
          <w:p w:rsidR="00713756" w:rsidRDefault="00731842" w:rsidP="0071375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Cs/>
                <w:szCs w:val="16"/>
              </w:rPr>
            </w:pPr>
            <w:r>
              <w:rPr>
                <w:rFonts w:ascii="Calibri" w:hAnsi="Calibri" w:cs="Calibri"/>
                <w:bCs/>
                <w:szCs w:val="16"/>
              </w:rPr>
              <w:t>Receipt from the Switching Operator of the ‘proxy Secured Active Notification’</w:t>
            </w:r>
            <w:r w:rsidR="001959D8">
              <w:rPr>
                <w:rFonts w:ascii="Calibri" w:hAnsi="Calibri" w:cs="Calibri"/>
                <w:bCs/>
                <w:szCs w:val="16"/>
              </w:rPr>
              <w:t xml:space="preserve"> for the manual reconciliation.</w:t>
            </w:r>
          </w:p>
          <w:p w:rsidR="001959D8" w:rsidRPr="00713756" w:rsidRDefault="001959D8" w:rsidP="0071375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Cs/>
                <w:szCs w:val="16"/>
              </w:rPr>
            </w:pPr>
            <w:r>
              <w:rPr>
                <w:rFonts w:ascii="Calibri" w:hAnsi="Calibri" w:cs="Calibri"/>
                <w:bCs/>
                <w:szCs w:val="16"/>
              </w:rPr>
              <w:t xml:space="preserve">Implementation of </w:t>
            </w:r>
            <w:r w:rsidR="00995F98">
              <w:rPr>
                <w:rFonts w:ascii="Calibri" w:hAnsi="Calibri" w:cs="Calibri"/>
                <w:bCs/>
                <w:szCs w:val="16"/>
              </w:rPr>
              <w:t>XRN5567 / REC CP R0067 for Refresh functionality</w:t>
            </w:r>
          </w:p>
          <w:p w:rsidR="006B26D1" w:rsidRPr="002B2E87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:rsidTr="6ABA8AE3">
        <w:tc>
          <w:tcPr>
            <w:tcW w:w="5000" w:type="pct"/>
            <w:gridSpan w:val="2"/>
            <w:shd w:val="clear" w:color="auto" w:fill="auto"/>
          </w:tcPr>
          <w:p w:rsidR="003B31A3" w:rsidRPr="00405FDB" w:rsidRDefault="003B31A3" w:rsidP="001E58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FDB">
              <w:rPr>
                <w:rFonts w:ascii="Calibri" w:hAnsi="Calibri" w:cs="Calibri"/>
                <w:b/>
                <w:bCs/>
                <w:sz w:val="20"/>
                <w:szCs w:val="20"/>
              </w:rPr>
              <w:t>Issues:</w:t>
            </w:r>
          </w:p>
          <w:p w:rsidR="003B31A3" w:rsidRDefault="003B31A3" w:rsidP="006A0E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project will not solve the missing message </w:t>
            </w:r>
            <w:r w:rsidR="00E0488B">
              <w:rPr>
                <w:rFonts w:ascii="Calibri" w:hAnsi="Calibri" w:cs="Calibri"/>
                <w:sz w:val="20"/>
                <w:szCs w:val="20"/>
              </w:rPr>
              <w:t xml:space="preserve">problem.  </w:t>
            </w:r>
            <w:r w:rsidR="004D5775">
              <w:rPr>
                <w:rFonts w:ascii="Calibri" w:hAnsi="Calibri" w:cs="Calibri"/>
                <w:sz w:val="20"/>
                <w:szCs w:val="20"/>
              </w:rPr>
              <w:t xml:space="preserve">This change will </w:t>
            </w:r>
            <w:r w:rsidR="00F373A5">
              <w:rPr>
                <w:rFonts w:ascii="Calibri" w:hAnsi="Calibri" w:cs="Calibri"/>
                <w:sz w:val="20"/>
                <w:szCs w:val="20"/>
              </w:rPr>
              <w:t>require continued exception management by gas industry parties as CSS and UKL Registration Effective Dates will not align where refresh functionality will be used.</w:t>
            </w:r>
            <w:r w:rsidR="004D7F3E">
              <w:rPr>
                <w:rFonts w:ascii="Calibri" w:hAnsi="Calibri" w:cs="Calibri"/>
                <w:sz w:val="20"/>
                <w:szCs w:val="20"/>
              </w:rPr>
              <w:t xml:space="preserve">  These exception management processes will need to remain until further REC Change is progressed.</w:t>
            </w:r>
          </w:p>
          <w:p w:rsidR="0009754E" w:rsidRPr="00D24E05" w:rsidRDefault="0009754E" w:rsidP="00F373A5">
            <w:pPr>
              <w:rPr>
                <w:szCs w:val="20"/>
                <w:lang w:val="en-US"/>
              </w:rPr>
            </w:pPr>
          </w:p>
        </w:tc>
      </w:tr>
    </w:tbl>
    <w:p w:rsidR="002B2E87" w:rsidRPr="002B2E87" w:rsidRDefault="002B2E87" w:rsidP="002B2E87">
      <w:pPr>
        <w:rPr>
          <w:rFonts w:eastAsia="Arial" w:cs="Arial"/>
          <w:b/>
        </w:rPr>
      </w:pPr>
    </w:p>
    <w:p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3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:rsidR="00BF66FB" w:rsidRDefault="00BF66FB" w:rsidP="002B2E87">
      <w:pPr>
        <w:pStyle w:val="NoSpacing"/>
        <w:rPr>
          <w:rFonts w:eastAsia="Arial"/>
        </w:rPr>
      </w:pPr>
    </w:p>
    <w:p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:rsidTr="002B2E87">
        <w:tc>
          <w:tcPr>
            <w:tcW w:w="902" w:type="pct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75BC5" w:rsidRPr="002B2E87" w:rsidTr="002B2E87">
        <w:tc>
          <w:tcPr>
            <w:tcW w:w="902" w:type="pct"/>
          </w:tcPr>
          <w:p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:rsidTr="002B2E87">
        <w:tc>
          <w:tcPr>
            <w:tcW w:w="902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:rsidTr="002B2E87">
        <w:tc>
          <w:tcPr>
            <w:tcW w:w="902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:rsidTr="002B2E87">
        <w:tc>
          <w:tcPr>
            <w:tcW w:w="902" w:type="pct"/>
          </w:tcPr>
          <w:p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F825F9" w:rsidRPr="002B2E8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F825F9" w:rsidRPr="00E52009" w:rsidRDefault="00F825F9" w:rsidP="00F825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 approved at ChMC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  <w:tr w:rsidR="00F825F9" w:rsidRPr="002B2E8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F825F9" w:rsidRPr="002B2E87" w:rsidRDefault="008012FE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23/06/2021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F825F9" w:rsidRPr="002B2E87" w:rsidRDefault="001E58AF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James Rigby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F825F9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to section 1</w:t>
            </w:r>
          </w:p>
          <w:p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3</w:t>
            </w:r>
          </w:p>
          <w:p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4</w:t>
            </w:r>
          </w:p>
          <w:p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Inserted a project plan example in section 5</w:t>
            </w:r>
          </w:p>
          <w:p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in section 6</w:t>
            </w:r>
          </w:p>
          <w:p w:rsidR="008012FE" w:rsidRPr="002B2E87" w:rsidRDefault="008012FE" w:rsidP="00F825F9">
            <w:pPr>
              <w:rPr>
                <w:rFonts w:eastAsia="Times New Roman" w:cs="Arial"/>
                <w:sz w:val="18"/>
              </w:rPr>
            </w:pPr>
          </w:p>
        </w:tc>
      </w:tr>
    </w:tbl>
    <w:p w:rsidR="00D66C7E" w:rsidRPr="00D66C7E" w:rsidRDefault="00D66C7E" w:rsidP="00C721D4"/>
    <w:sectPr w:rsidR="00D66C7E" w:rsidRPr="00D66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D1A" w:rsidRDefault="00094D1A" w:rsidP="00324744">
      <w:pPr>
        <w:spacing w:after="0" w:line="240" w:lineRule="auto"/>
      </w:pPr>
      <w:r>
        <w:separator/>
      </w:r>
    </w:p>
  </w:endnote>
  <w:endnote w:type="continuationSeparator" w:id="0">
    <w:p w:rsidR="00094D1A" w:rsidRDefault="00094D1A" w:rsidP="00324744">
      <w:pPr>
        <w:spacing w:after="0" w:line="240" w:lineRule="auto"/>
      </w:pPr>
      <w:r>
        <w:continuationSeparator/>
      </w:r>
    </w:p>
  </w:endnote>
  <w:endnote w:type="continuationNotice" w:id="1">
    <w:p w:rsidR="00094D1A" w:rsidRDefault="00094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8ED28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D1A" w:rsidRDefault="00094D1A" w:rsidP="00324744">
      <w:pPr>
        <w:spacing w:after="0" w:line="240" w:lineRule="auto"/>
      </w:pPr>
      <w:r>
        <w:separator/>
      </w:r>
    </w:p>
  </w:footnote>
  <w:footnote w:type="continuationSeparator" w:id="0">
    <w:p w:rsidR="00094D1A" w:rsidRDefault="00094D1A" w:rsidP="00324744">
      <w:pPr>
        <w:spacing w:after="0" w:line="240" w:lineRule="auto"/>
      </w:pPr>
      <w:r>
        <w:continuationSeparator/>
      </w:r>
    </w:p>
  </w:footnote>
  <w:footnote w:type="continuationNotice" w:id="1">
    <w:p w:rsidR="00094D1A" w:rsidRDefault="00094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1F42CFE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B52A6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5B72"/>
    <w:multiLevelType w:val="hybridMultilevel"/>
    <w:tmpl w:val="9594E832"/>
    <w:lvl w:ilvl="0" w:tplc="DFC2B6A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41261A"/>
    <w:multiLevelType w:val="hybridMultilevel"/>
    <w:tmpl w:val="B82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11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1681"/>
    <w:rsid w:val="00014007"/>
    <w:rsid w:val="00014701"/>
    <w:rsid w:val="00014DA2"/>
    <w:rsid w:val="00016736"/>
    <w:rsid w:val="000229F1"/>
    <w:rsid w:val="00023A08"/>
    <w:rsid w:val="0002511B"/>
    <w:rsid w:val="00025955"/>
    <w:rsid w:val="0003136C"/>
    <w:rsid w:val="00035EB2"/>
    <w:rsid w:val="00035FC9"/>
    <w:rsid w:val="0003758F"/>
    <w:rsid w:val="00040B7E"/>
    <w:rsid w:val="00042DB8"/>
    <w:rsid w:val="00043629"/>
    <w:rsid w:val="0004427F"/>
    <w:rsid w:val="00045E44"/>
    <w:rsid w:val="000471A3"/>
    <w:rsid w:val="000477B6"/>
    <w:rsid w:val="00052070"/>
    <w:rsid w:val="0005209B"/>
    <w:rsid w:val="00055F7C"/>
    <w:rsid w:val="000560C0"/>
    <w:rsid w:val="00057653"/>
    <w:rsid w:val="00057AFE"/>
    <w:rsid w:val="0006032B"/>
    <w:rsid w:val="000608B3"/>
    <w:rsid w:val="00060FB3"/>
    <w:rsid w:val="000612CE"/>
    <w:rsid w:val="00061BCD"/>
    <w:rsid w:val="00062EB0"/>
    <w:rsid w:val="00064FE9"/>
    <w:rsid w:val="00072526"/>
    <w:rsid w:val="00074FDE"/>
    <w:rsid w:val="0007561C"/>
    <w:rsid w:val="00075669"/>
    <w:rsid w:val="000759A1"/>
    <w:rsid w:val="000774B8"/>
    <w:rsid w:val="00077C99"/>
    <w:rsid w:val="00077DB3"/>
    <w:rsid w:val="000818D5"/>
    <w:rsid w:val="00083E49"/>
    <w:rsid w:val="00084714"/>
    <w:rsid w:val="00086F14"/>
    <w:rsid w:val="000870F3"/>
    <w:rsid w:val="00090BF1"/>
    <w:rsid w:val="00093D54"/>
    <w:rsid w:val="00094D1A"/>
    <w:rsid w:val="000958A5"/>
    <w:rsid w:val="000961A2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3758"/>
    <w:rsid w:val="000B406F"/>
    <w:rsid w:val="000B411F"/>
    <w:rsid w:val="000B6963"/>
    <w:rsid w:val="000B73EA"/>
    <w:rsid w:val="000B7CF3"/>
    <w:rsid w:val="000C03BC"/>
    <w:rsid w:val="000C1358"/>
    <w:rsid w:val="000C2924"/>
    <w:rsid w:val="000C3EC6"/>
    <w:rsid w:val="000C6E46"/>
    <w:rsid w:val="000C74D3"/>
    <w:rsid w:val="000D05B9"/>
    <w:rsid w:val="000D16ED"/>
    <w:rsid w:val="000D252F"/>
    <w:rsid w:val="000D3E48"/>
    <w:rsid w:val="000E0DC2"/>
    <w:rsid w:val="000E1463"/>
    <w:rsid w:val="000E16C9"/>
    <w:rsid w:val="000E3819"/>
    <w:rsid w:val="000E55B0"/>
    <w:rsid w:val="000E5E54"/>
    <w:rsid w:val="000F28DD"/>
    <w:rsid w:val="000F2D15"/>
    <w:rsid w:val="00103FC5"/>
    <w:rsid w:val="00104BFB"/>
    <w:rsid w:val="00115508"/>
    <w:rsid w:val="001156AD"/>
    <w:rsid w:val="00120018"/>
    <w:rsid w:val="001207D8"/>
    <w:rsid w:val="00122F88"/>
    <w:rsid w:val="0012353E"/>
    <w:rsid w:val="00123E34"/>
    <w:rsid w:val="00125B61"/>
    <w:rsid w:val="001270A2"/>
    <w:rsid w:val="00127356"/>
    <w:rsid w:val="001353D7"/>
    <w:rsid w:val="00135C0D"/>
    <w:rsid w:val="00136998"/>
    <w:rsid w:val="00137CB9"/>
    <w:rsid w:val="00143EFF"/>
    <w:rsid w:val="001446C2"/>
    <w:rsid w:val="00144E00"/>
    <w:rsid w:val="00150D38"/>
    <w:rsid w:val="0015137D"/>
    <w:rsid w:val="001531E7"/>
    <w:rsid w:val="001559DB"/>
    <w:rsid w:val="00157073"/>
    <w:rsid w:val="0016147C"/>
    <w:rsid w:val="00163D33"/>
    <w:rsid w:val="001742CE"/>
    <w:rsid w:val="00174786"/>
    <w:rsid w:val="001771A2"/>
    <w:rsid w:val="00181F6D"/>
    <w:rsid w:val="00182D1D"/>
    <w:rsid w:val="00183A53"/>
    <w:rsid w:val="001852E1"/>
    <w:rsid w:val="00186E8F"/>
    <w:rsid w:val="00191D7E"/>
    <w:rsid w:val="00192E27"/>
    <w:rsid w:val="00193631"/>
    <w:rsid w:val="001936FC"/>
    <w:rsid w:val="0019390D"/>
    <w:rsid w:val="00193F34"/>
    <w:rsid w:val="001942F6"/>
    <w:rsid w:val="001959D8"/>
    <w:rsid w:val="00195FBE"/>
    <w:rsid w:val="001A4748"/>
    <w:rsid w:val="001B0848"/>
    <w:rsid w:val="001B20C5"/>
    <w:rsid w:val="001B26E9"/>
    <w:rsid w:val="001B73B0"/>
    <w:rsid w:val="001B7DC1"/>
    <w:rsid w:val="001C15F7"/>
    <w:rsid w:val="001C1A4B"/>
    <w:rsid w:val="001D247D"/>
    <w:rsid w:val="001D275E"/>
    <w:rsid w:val="001D668B"/>
    <w:rsid w:val="001D69A1"/>
    <w:rsid w:val="001E398E"/>
    <w:rsid w:val="001E3C5C"/>
    <w:rsid w:val="001E58AF"/>
    <w:rsid w:val="001E6419"/>
    <w:rsid w:val="001E6D34"/>
    <w:rsid w:val="001F350A"/>
    <w:rsid w:val="001F672D"/>
    <w:rsid w:val="001F7F6F"/>
    <w:rsid w:val="00203FBC"/>
    <w:rsid w:val="00220473"/>
    <w:rsid w:val="00221043"/>
    <w:rsid w:val="0022126F"/>
    <w:rsid w:val="00221538"/>
    <w:rsid w:val="00223716"/>
    <w:rsid w:val="002251F1"/>
    <w:rsid w:val="00226D34"/>
    <w:rsid w:val="00233305"/>
    <w:rsid w:val="00237ED2"/>
    <w:rsid w:val="00240FEF"/>
    <w:rsid w:val="00242C0A"/>
    <w:rsid w:val="00245451"/>
    <w:rsid w:val="00246015"/>
    <w:rsid w:val="002466AB"/>
    <w:rsid w:val="00253465"/>
    <w:rsid w:val="002539AB"/>
    <w:rsid w:val="00254336"/>
    <w:rsid w:val="00254BF5"/>
    <w:rsid w:val="00255E1F"/>
    <w:rsid w:val="00260F79"/>
    <w:rsid w:val="00263B6E"/>
    <w:rsid w:val="0027026C"/>
    <w:rsid w:val="002707BF"/>
    <w:rsid w:val="00272075"/>
    <w:rsid w:val="002756C3"/>
    <w:rsid w:val="002765FA"/>
    <w:rsid w:val="00280944"/>
    <w:rsid w:val="0028280D"/>
    <w:rsid w:val="00285C23"/>
    <w:rsid w:val="00286D0E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A1FC5"/>
    <w:rsid w:val="002A2828"/>
    <w:rsid w:val="002A4458"/>
    <w:rsid w:val="002A5228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C655C"/>
    <w:rsid w:val="002D683D"/>
    <w:rsid w:val="002D745C"/>
    <w:rsid w:val="002D74BA"/>
    <w:rsid w:val="002D7A48"/>
    <w:rsid w:val="002E31D5"/>
    <w:rsid w:val="002E37C6"/>
    <w:rsid w:val="002E511B"/>
    <w:rsid w:val="002E64E9"/>
    <w:rsid w:val="002F5086"/>
    <w:rsid w:val="002F6CC9"/>
    <w:rsid w:val="00301338"/>
    <w:rsid w:val="003016CC"/>
    <w:rsid w:val="0030298D"/>
    <w:rsid w:val="0030619C"/>
    <w:rsid w:val="00306F47"/>
    <w:rsid w:val="003138F6"/>
    <w:rsid w:val="0031660D"/>
    <w:rsid w:val="003167BF"/>
    <w:rsid w:val="00324744"/>
    <w:rsid w:val="00325F3A"/>
    <w:rsid w:val="0032604C"/>
    <w:rsid w:val="003270E3"/>
    <w:rsid w:val="00330CC3"/>
    <w:rsid w:val="00332325"/>
    <w:rsid w:val="0033543C"/>
    <w:rsid w:val="00336F7E"/>
    <w:rsid w:val="00340205"/>
    <w:rsid w:val="00341A5A"/>
    <w:rsid w:val="0034304D"/>
    <w:rsid w:val="00345850"/>
    <w:rsid w:val="0035388A"/>
    <w:rsid w:val="0035622F"/>
    <w:rsid w:val="00356379"/>
    <w:rsid w:val="003631E6"/>
    <w:rsid w:val="003650B4"/>
    <w:rsid w:val="0036515E"/>
    <w:rsid w:val="00365696"/>
    <w:rsid w:val="0036721C"/>
    <w:rsid w:val="0037133A"/>
    <w:rsid w:val="00372AF4"/>
    <w:rsid w:val="00373D5C"/>
    <w:rsid w:val="00374984"/>
    <w:rsid w:val="003772D6"/>
    <w:rsid w:val="00384023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31A3"/>
    <w:rsid w:val="003B527F"/>
    <w:rsid w:val="003B52D6"/>
    <w:rsid w:val="003B621F"/>
    <w:rsid w:val="003C04A7"/>
    <w:rsid w:val="003C4226"/>
    <w:rsid w:val="003C5A3F"/>
    <w:rsid w:val="003C5A46"/>
    <w:rsid w:val="003C5C77"/>
    <w:rsid w:val="003D5B3A"/>
    <w:rsid w:val="003E04A9"/>
    <w:rsid w:val="003E1EC0"/>
    <w:rsid w:val="003E26B0"/>
    <w:rsid w:val="003E4886"/>
    <w:rsid w:val="003E55AE"/>
    <w:rsid w:val="003E595D"/>
    <w:rsid w:val="003E76C8"/>
    <w:rsid w:val="003F0364"/>
    <w:rsid w:val="003F14A5"/>
    <w:rsid w:val="003F1DC8"/>
    <w:rsid w:val="003F21E6"/>
    <w:rsid w:val="003F3198"/>
    <w:rsid w:val="003F338D"/>
    <w:rsid w:val="003F509A"/>
    <w:rsid w:val="003F51E3"/>
    <w:rsid w:val="003F698A"/>
    <w:rsid w:val="004002B1"/>
    <w:rsid w:val="00401A1F"/>
    <w:rsid w:val="0040241C"/>
    <w:rsid w:val="00402598"/>
    <w:rsid w:val="004038F0"/>
    <w:rsid w:val="00405FDB"/>
    <w:rsid w:val="00407371"/>
    <w:rsid w:val="00407373"/>
    <w:rsid w:val="00407A7B"/>
    <w:rsid w:val="0041043A"/>
    <w:rsid w:val="00411FB4"/>
    <w:rsid w:val="0041328B"/>
    <w:rsid w:val="0042046E"/>
    <w:rsid w:val="00420A20"/>
    <w:rsid w:val="00420BA0"/>
    <w:rsid w:val="004224DF"/>
    <w:rsid w:val="00425F39"/>
    <w:rsid w:val="00426807"/>
    <w:rsid w:val="004327CF"/>
    <w:rsid w:val="00434A15"/>
    <w:rsid w:val="00434BEE"/>
    <w:rsid w:val="00440BAE"/>
    <w:rsid w:val="0044312E"/>
    <w:rsid w:val="00443425"/>
    <w:rsid w:val="00445256"/>
    <w:rsid w:val="0045266B"/>
    <w:rsid w:val="00454F62"/>
    <w:rsid w:val="0045742C"/>
    <w:rsid w:val="00463EB7"/>
    <w:rsid w:val="0046467E"/>
    <w:rsid w:val="0046499A"/>
    <w:rsid w:val="00470600"/>
    <w:rsid w:val="00473262"/>
    <w:rsid w:val="00475BAB"/>
    <w:rsid w:val="00476907"/>
    <w:rsid w:val="00477BD1"/>
    <w:rsid w:val="00477D87"/>
    <w:rsid w:val="00486D22"/>
    <w:rsid w:val="00487E4D"/>
    <w:rsid w:val="004903EF"/>
    <w:rsid w:val="0049103B"/>
    <w:rsid w:val="00491D60"/>
    <w:rsid w:val="00495E27"/>
    <w:rsid w:val="004A2D20"/>
    <w:rsid w:val="004A4941"/>
    <w:rsid w:val="004A7196"/>
    <w:rsid w:val="004B0D0B"/>
    <w:rsid w:val="004B16E0"/>
    <w:rsid w:val="004B34C8"/>
    <w:rsid w:val="004B5DDF"/>
    <w:rsid w:val="004C2371"/>
    <w:rsid w:val="004C3840"/>
    <w:rsid w:val="004C5D53"/>
    <w:rsid w:val="004C7509"/>
    <w:rsid w:val="004C7621"/>
    <w:rsid w:val="004D02BC"/>
    <w:rsid w:val="004D06B5"/>
    <w:rsid w:val="004D0B72"/>
    <w:rsid w:val="004D1060"/>
    <w:rsid w:val="004D1B96"/>
    <w:rsid w:val="004D22D8"/>
    <w:rsid w:val="004D2459"/>
    <w:rsid w:val="004D5775"/>
    <w:rsid w:val="004D7F3E"/>
    <w:rsid w:val="004E102B"/>
    <w:rsid w:val="004E151D"/>
    <w:rsid w:val="004E37E7"/>
    <w:rsid w:val="004E5E53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1318E"/>
    <w:rsid w:val="005144BB"/>
    <w:rsid w:val="005156C2"/>
    <w:rsid w:val="00515EC5"/>
    <w:rsid w:val="00515F54"/>
    <w:rsid w:val="00517F6F"/>
    <w:rsid w:val="005230DF"/>
    <w:rsid w:val="005249FC"/>
    <w:rsid w:val="00525557"/>
    <w:rsid w:val="00532118"/>
    <w:rsid w:val="00532937"/>
    <w:rsid w:val="0053648B"/>
    <w:rsid w:val="005370DC"/>
    <w:rsid w:val="00537435"/>
    <w:rsid w:val="00540FDC"/>
    <w:rsid w:val="00543428"/>
    <w:rsid w:val="005449C0"/>
    <w:rsid w:val="00544F5A"/>
    <w:rsid w:val="0055011F"/>
    <w:rsid w:val="00550C8D"/>
    <w:rsid w:val="00550EFE"/>
    <w:rsid w:val="0055163D"/>
    <w:rsid w:val="0055298E"/>
    <w:rsid w:val="005538E6"/>
    <w:rsid w:val="00554A0E"/>
    <w:rsid w:val="0055608D"/>
    <w:rsid w:val="00556F4E"/>
    <w:rsid w:val="00564566"/>
    <w:rsid w:val="00570041"/>
    <w:rsid w:val="00577CDB"/>
    <w:rsid w:val="005852A7"/>
    <w:rsid w:val="005864A5"/>
    <w:rsid w:val="00590907"/>
    <w:rsid w:val="00592987"/>
    <w:rsid w:val="005931DD"/>
    <w:rsid w:val="00593A51"/>
    <w:rsid w:val="00595C56"/>
    <w:rsid w:val="005964A0"/>
    <w:rsid w:val="00597E73"/>
    <w:rsid w:val="00597F80"/>
    <w:rsid w:val="005A00C0"/>
    <w:rsid w:val="005A0A28"/>
    <w:rsid w:val="005A0ACF"/>
    <w:rsid w:val="005A153A"/>
    <w:rsid w:val="005A2B24"/>
    <w:rsid w:val="005A2B58"/>
    <w:rsid w:val="005A40C6"/>
    <w:rsid w:val="005A47AA"/>
    <w:rsid w:val="005A64E2"/>
    <w:rsid w:val="005A680F"/>
    <w:rsid w:val="005A68E6"/>
    <w:rsid w:val="005A6CEB"/>
    <w:rsid w:val="005A7974"/>
    <w:rsid w:val="005B133F"/>
    <w:rsid w:val="005B4293"/>
    <w:rsid w:val="005B4A6F"/>
    <w:rsid w:val="005D068A"/>
    <w:rsid w:val="005D16CA"/>
    <w:rsid w:val="005D1E7E"/>
    <w:rsid w:val="005D23C0"/>
    <w:rsid w:val="005D40A8"/>
    <w:rsid w:val="005D4F5D"/>
    <w:rsid w:val="005D7B5A"/>
    <w:rsid w:val="005E1C66"/>
    <w:rsid w:val="005E2260"/>
    <w:rsid w:val="005E2785"/>
    <w:rsid w:val="005E2838"/>
    <w:rsid w:val="005E4D31"/>
    <w:rsid w:val="005F1990"/>
    <w:rsid w:val="005F19A3"/>
    <w:rsid w:val="005F37C2"/>
    <w:rsid w:val="00606853"/>
    <w:rsid w:val="006069BE"/>
    <w:rsid w:val="00607F85"/>
    <w:rsid w:val="00610390"/>
    <w:rsid w:val="00613680"/>
    <w:rsid w:val="00613E31"/>
    <w:rsid w:val="00616569"/>
    <w:rsid w:val="00616DD0"/>
    <w:rsid w:val="006170FA"/>
    <w:rsid w:val="00617345"/>
    <w:rsid w:val="0062016E"/>
    <w:rsid w:val="00622B3E"/>
    <w:rsid w:val="00623587"/>
    <w:rsid w:val="006237F5"/>
    <w:rsid w:val="00624BCC"/>
    <w:rsid w:val="00624D18"/>
    <w:rsid w:val="006275B2"/>
    <w:rsid w:val="006300B9"/>
    <w:rsid w:val="0063343D"/>
    <w:rsid w:val="00635874"/>
    <w:rsid w:val="00636B0A"/>
    <w:rsid w:val="00640D56"/>
    <w:rsid w:val="0064383D"/>
    <w:rsid w:val="00650B5E"/>
    <w:rsid w:val="00651354"/>
    <w:rsid w:val="006551E9"/>
    <w:rsid w:val="00660CA9"/>
    <w:rsid w:val="00662760"/>
    <w:rsid w:val="006643E9"/>
    <w:rsid w:val="006657A1"/>
    <w:rsid w:val="006668AF"/>
    <w:rsid w:val="00667F77"/>
    <w:rsid w:val="00672C70"/>
    <w:rsid w:val="0067507A"/>
    <w:rsid w:val="006769AC"/>
    <w:rsid w:val="00677270"/>
    <w:rsid w:val="00677C69"/>
    <w:rsid w:val="00680861"/>
    <w:rsid w:val="00682C0C"/>
    <w:rsid w:val="00684384"/>
    <w:rsid w:val="006870DE"/>
    <w:rsid w:val="00690D16"/>
    <w:rsid w:val="0069116F"/>
    <w:rsid w:val="00692D74"/>
    <w:rsid w:val="00694005"/>
    <w:rsid w:val="006A0ECE"/>
    <w:rsid w:val="006A2C0B"/>
    <w:rsid w:val="006A50C6"/>
    <w:rsid w:val="006A7370"/>
    <w:rsid w:val="006B1E55"/>
    <w:rsid w:val="006B26D1"/>
    <w:rsid w:val="006B37E7"/>
    <w:rsid w:val="006B5033"/>
    <w:rsid w:val="006B5219"/>
    <w:rsid w:val="006B7B87"/>
    <w:rsid w:val="006C09B4"/>
    <w:rsid w:val="006C228D"/>
    <w:rsid w:val="006C2C66"/>
    <w:rsid w:val="006C6330"/>
    <w:rsid w:val="006C7029"/>
    <w:rsid w:val="006D14B9"/>
    <w:rsid w:val="006D4434"/>
    <w:rsid w:val="006D44C5"/>
    <w:rsid w:val="006D461D"/>
    <w:rsid w:val="006D5230"/>
    <w:rsid w:val="006D5D08"/>
    <w:rsid w:val="006E5B4C"/>
    <w:rsid w:val="006E6DDA"/>
    <w:rsid w:val="006F062B"/>
    <w:rsid w:val="006F1A01"/>
    <w:rsid w:val="006F1AE5"/>
    <w:rsid w:val="006F3DB0"/>
    <w:rsid w:val="007004AF"/>
    <w:rsid w:val="00706CBE"/>
    <w:rsid w:val="00707442"/>
    <w:rsid w:val="00707B37"/>
    <w:rsid w:val="007123BF"/>
    <w:rsid w:val="00712B49"/>
    <w:rsid w:val="00713756"/>
    <w:rsid w:val="0071648B"/>
    <w:rsid w:val="007172CE"/>
    <w:rsid w:val="00724049"/>
    <w:rsid w:val="007243D3"/>
    <w:rsid w:val="00725E9C"/>
    <w:rsid w:val="00730BD9"/>
    <w:rsid w:val="00731842"/>
    <w:rsid w:val="00735F2C"/>
    <w:rsid w:val="00737013"/>
    <w:rsid w:val="007376E1"/>
    <w:rsid w:val="00742128"/>
    <w:rsid w:val="007426F4"/>
    <w:rsid w:val="00743EB3"/>
    <w:rsid w:val="00744317"/>
    <w:rsid w:val="00745D01"/>
    <w:rsid w:val="0074646A"/>
    <w:rsid w:val="00746EF9"/>
    <w:rsid w:val="00750E30"/>
    <w:rsid w:val="00754351"/>
    <w:rsid w:val="007545B7"/>
    <w:rsid w:val="00755B92"/>
    <w:rsid w:val="007647A7"/>
    <w:rsid w:val="00765648"/>
    <w:rsid w:val="00765EE0"/>
    <w:rsid w:val="007750C7"/>
    <w:rsid w:val="00785FAC"/>
    <w:rsid w:val="0079016D"/>
    <w:rsid w:val="00790295"/>
    <w:rsid w:val="007922AC"/>
    <w:rsid w:val="0079355B"/>
    <w:rsid w:val="00794E22"/>
    <w:rsid w:val="00797CAB"/>
    <w:rsid w:val="007A17E4"/>
    <w:rsid w:val="007A27D2"/>
    <w:rsid w:val="007A2935"/>
    <w:rsid w:val="007A56DB"/>
    <w:rsid w:val="007A7F69"/>
    <w:rsid w:val="007B4217"/>
    <w:rsid w:val="007B5984"/>
    <w:rsid w:val="007B666A"/>
    <w:rsid w:val="007B68F8"/>
    <w:rsid w:val="007B79DF"/>
    <w:rsid w:val="007C0752"/>
    <w:rsid w:val="007C2148"/>
    <w:rsid w:val="007C52CE"/>
    <w:rsid w:val="007C6A54"/>
    <w:rsid w:val="007C7390"/>
    <w:rsid w:val="007D2AFB"/>
    <w:rsid w:val="007D2F10"/>
    <w:rsid w:val="007D4F26"/>
    <w:rsid w:val="007D5D6C"/>
    <w:rsid w:val="007D68DD"/>
    <w:rsid w:val="007E4AF7"/>
    <w:rsid w:val="007E71CC"/>
    <w:rsid w:val="007E79F2"/>
    <w:rsid w:val="007F351A"/>
    <w:rsid w:val="007F5BF7"/>
    <w:rsid w:val="00800F15"/>
    <w:rsid w:val="008012FE"/>
    <w:rsid w:val="00801CE0"/>
    <w:rsid w:val="00802485"/>
    <w:rsid w:val="008026AC"/>
    <w:rsid w:val="00804550"/>
    <w:rsid w:val="0080492D"/>
    <w:rsid w:val="00804E5B"/>
    <w:rsid w:val="00810C5C"/>
    <w:rsid w:val="008112A5"/>
    <w:rsid w:val="008158C1"/>
    <w:rsid w:val="0081669F"/>
    <w:rsid w:val="008177C1"/>
    <w:rsid w:val="00817F39"/>
    <w:rsid w:val="00825094"/>
    <w:rsid w:val="00826CF4"/>
    <w:rsid w:val="00827695"/>
    <w:rsid w:val="00830767"/>
    <w:rsid w:val="0083252E"/>
    <w:rsid w:val="00834D83"/>
    <w:rsid w:val="00841378"/>
    <w:rsid w:val="00843AE4"/>
    <w:rsid w:val="00845605"/>
    <w:rsid w:val="00845AC9"/>
    <w:rsid w:val="00846B1C"/>
    <w:rsid w:val="00846F7F"/>
    <w:rsid w:val="00847195"/>
    <w:rsid w:val="008573DE"/>
    <w:rsid w:val="00857E35"/>
    <w:rsid w:val="008605F5"/>
    <w:rsid w:val="00865076"/>
    <w:rsid w:val="00865BDD"/>
    <w:rsid w:val="00873B2A"/>
    <w:rsid w:val="008747D6"/>
    <w:rsid w:val="008775AF"/>
    <w:rsid w:val="00886946"/>
    <w:rsid w:val="00886ABC"/>
    <w:rsid w:val="00886E75"/>
    <w:rsid w:val="008871F6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B03FF"/>
    <w:rsid w:val="008B315E"/>
    <w:rsid w:val="008B5120"/>
    <w:rsid w:val="008B79C2"/>
    <w:rsid w:val="008C35E6"/>
    <w:rsid w:val="008C595E"/>
    <w:rsid w:val="008C7629"/>
    <w:rsid w:val="008D1540"/>
    <w:rsid w:val="008D3D5B"/>
    <w:rsid w:val="008D4E27"/>
    <w:rsid w:val="008D6278"/>
    <w:rsid w:val="008E40B3"/>
    <w:rsid w:val="008E458F"/>
    <w:rsid w:val="008E4C82"/>
    <w:rsid w:val="008E4F9A"/>
    <w:rsid w:val="008E51D8"/>
    <w:rsid w:val="008E9538"/>
    <w:rsid w:val="008F247A"/>
    <w:rsid w:val="008F496C"/>
    <w:rsid w:val="008F611C"/>
    <w:rsid w:val="008F63AC"/>
    <w:rsid w:val="008F7493"/>
    <w:rsid w:val="00900AAB"/>
    <w:rsid w:val="00904029"/>
    <w:rsid w:val="009070A3"/>
    <w:rsid w:val="00907531"/>
    <w:rsid w:val="00912B20"/>
    <w:rsid w:val="009165C9"/>
    <w:rsid w:val="00916754"/>
    <w:rsid w:val="00922F4C"/>
    <w:rsid w:val="00925DCB"/>
    <w:rsid w:val="009278E5"/>
    <w:rsid w:val="00932034"/>
    <w:rsid w:val="0093540E"/>
    <w:rsid w:val="00935C0A"/>
    <w:rsid w:val="009364D3"/>
    <w:rsid w:val="009436FD"/>
    <w:rsid w:val="0094462E"/>
    <w:rsid w:val="00944FE0"/>
    <w:rsid w:val="009454A8"/>
    <w:rsid w:val="00956624"/>
    <w:rsid w:val="009567F5"/>
    <w:rsid w:val="00960670"/>
    <w:rsid w:val="009676B1"/>
    <w:rsid w:val="00970A73"/>
    <w:rsid w:val="00971142"/>
    <w:rsid w:val="00972082"/>
    <w:rsid w:val="009733BE"/>
    <w:rsid w:val="0097393B"/>
    <w:rsid w:val="009756C0"/>
    <w:rsid w:val="00975BC5"/>
    <w:rsid w:val="00975BC7"/>
    <w:rsid w:val="009776C6"/>
    <w:rsid w:val="00980B8C"/>
    <w:rsid w:val="00982681"/>
    <w:rsid w:val="0098732D"/>
    <w:rsid w:val="00987E60"/>
    <w:rsid w:val="009929BD"/>
    <w:rsid w:val="00995536"/>
    <w:rsid w:val="00995846"/>
    <w:rsid w:val="0099595C"/>
    <w:rsid w:val="00995F98"/>
    <w:rsid w:val="009A0DD5"/>
    <w:rsid w:val="009A1BEE"/>
    <w:rsid w:val="009B06B4"/>
    <w:rsid w:val="009B510A"/>
    <w:rsid w:val="009B6FAF"/>
    <w:rsid w:val="009B7ABC"/>
    <w:rsid w:val="009C19E9"/>
    <w:rsid w:val="009C2060"/>
    <w:rsid w:val="009C3897"/>
    <w:rsid w:val="009C4099"/>
    <w:rsid w:val="009C433B"/>
    <w:rsid w:val="009C76FD"/>
    <w:rsid w:val="009D14DD"/>
    <w:rsid w:val="009D16CA"/>
    <w:rsid w:val="009D35A6"/>
    <w:rsid w:val="009D464C"/>
    <w:rsid w:val="009D51E0"/>
    <w:rsid w:val="009D524D"/>
    <w:rsid w:val="009D63E3"/>
    <w:rsid w:val="009D66D4"/>
    <w:rsid w:val="009E0ACB"/>
    <w:rsid w:val="009E1C52"/>
    <w:rsid w:val="009E3962"/>
    <w:rsid w:val="009E69E8"/>
    <w:rsid w:val="009E7CA6"/>
    <w:rsid w:val="009F04A3"/>
    <w:rsid w:val="009F04DE"/>
    <w:rsid w:val="009F3251"/>
    <w:rsid w:val="009F3C92"/>
    <w:rsid w:val="009F5D13"/>
    <w:rsid w:val="00A005A3"/>
    <w:rsid w:val="00A01251"/>
    <w:rsid w:val="00A015F7"/>
    <w:rsid w:val="00A0279C"/>
    <w:rsid w:val="00A02994"/>
    <w:rsid w:val="00A04D14"/>
    <w:rsid w:val="00A060C5"/>
    <w:rsid w:val="00A107AC"/>
    <w:rsid w:val="00A13B7D"/>
    <w:rsid w:val="00A22702"/>
    <w:rsid w:val="00A253FD"/>
    <w:rsid w:val="00A32F60"/>
    <w:rsid w:val="00A338AC"/>
    <w:rsid w:val="00A353F6"/>
    <w:rsid w:val="00A422CD"/>
    <w:rsid w:val="00A439DB"/>
    <w:rsid w:val="00A451D3"/>
    <w:rsid w:val="00A571D0"/>
    <w:rsid w:val="00A60F72"/>
    <w:rsid w:val="00A70FE8"/>
    <w:rsid w:val="00A72FB8"/>
    <w:rsid w:val="00A751DB"/>
    <w:rsid w:val="00A76B7F"/>
    <w:rsid w:val="00A82302"/>
    <w:rsid w:val="00A83436"/>
    <w:rsid w:val="00A843C2"/>
    <w:rsid w:val="00A85D3E"/>
    <w:rsid w:val="00A8684A"/>
    <w:rsid w:val="00A920FB"/>
    <w:rsid w:val="00A94845"/>
    <w:rsid w:val="00A949F4"/>
    <w:rsid w:val="00A96DCE"/>
    <w:rsid w:val="00AA1081"/>
    <w:rsid w:val="00AA2FF8"/>
    <w:rsid w:val="00AA3A13"/>
    <w:rsid w:val="00AB0F5F"/>
    <w:rsid w:val="00AB5B54"/>
    <w:rsid w:val="00AB63DE"/>
    <w:rsid w:val="00AB7141"/>
    <w:rsid w:val="00AC1ABE"/>
    <w:rsid w:val="00AC2244"/>
    <w:rsid w:val="00AC53A8"/>
    <w:rsid w:val="00AC5FC0"/>
    <w:rsid w:val="00AC62A8"/>
    <w:rsid w:val="00AD03E3"/>
    <w:rsid w:val="00AD5778"/>
    <w:rsid w:val="00AE2302"/>
    <w:rsid w:val="00AE298F"/>
    <w:rsid w:val="00AE31DA"/>
    <w:rsid w:val="00AE33C8"/>
    <w:rsid w:val="00AE49E2"/>
    <w:rsid w:val="00AE5F7F"/>
    <w:rsid w:val="00AF3920"/>
    <w:rsid w:val="00AF3A17"/>
    <w:rsid w:val="00AF3B49"/>
    <w:rsid w:val="00AF3E44"/>
    <w:rsid w:val="00AF635B"/>
    <w:rsid w:val="00AF6B03"/>
    <w:rsid w:val="00B02E70"/>
    <w:rsid w:val="00B03E33"/>
    <w:rsid w:val="00B049AA"/>
    <w:rsid w:val="00B057E1"/>
    <w:rsid w:val="00B13330"/>
    <w:rsid w:val="00B13C27"/>
    <w:rsid w:val="00B229D6"/>
    <w:rsid w:val="00B26CC1"/>
    <w:rsid w:val="00B33D35"/>
    <w:rsid w:val="00B33E2C"/>
    <w:rsid w:val="00B33EAC"/>
    <w:rsid w:val="00B34CAA"/>
    <w:rsid w:val="00B3593B"/>
    <w:rsid w:val="00B36854"/>
    <w:rsid w:val="00B37431"/>
    <w:rsid w:val="00B41BFA"/>
    <w:rsid w:val="00B41E08"/>
    <w:rsid w:val="00B41FDB"/>
    <w:rsid w:val="00B425F4"/>
    <w:rsid w:val="00B42B1D"/>
    <w:rsid w:val="00B4305E"/>
    <w:rsid w:val="00B4637B"/>
    <w:rsid w:val="00B4794F"/>
    <w:rsid w:val="00B47993"/>
    <w:rsid w:val="00B50D30"/>
    <w:rsid w:val="00B5252D"/>
    <w:rsid w:val="00B5496A"/>
    <w:rsid w:val="00B61962"/>
    <w:rsid w:val="00B6287B"/>
    <w:rsid w:val="00B64E4A"/>
    <w:rsid w:val="00B64EBB"/>
    <w:rsid w:val="00B65210"/>
    <w:rsid w:val="00B65398"/>
    <w:rsid w:val="00B67669"/>
    <w:rsid w:val="00B67C18"/>
    <w:rsid w:val="00B7195F"/>
    <w:rsid w:val="00B719B1"/>
    <w:rsid w:val="00B763B9"/>
    <w:rsid w:val="00B763CF"/>
    <w:rsid w:val="00B827C6"/>
    <w:rsid w:val="00B847E9"/>
    <w:rsid w:val="00B91ABB"/>
    <w:rsid w:val="00B91BE7"/>
    <w:rsid w:val="00B945A7"/>
    <w:rsid w:val="00B957D3"/>
    <w:rsid w:val="00B95BC2"/>
    <w:rsid w:val="00BA0C35"/>
    <w:rsid w:val="00BA0DBB"/>
    <w:rsid w:val="00BA3A3F"/>
    <w:rsid w:val="00BA3EE0"/>
    <w:rsid w:val="00BA6734"/>
    <w:rsid w:val="00BB1BAC"/>
    <w:rsid w:val="00BB251D"/>
    <w:rsid w:val="00BC0E84"/>
    <w:rsid w:val="00BC1C21"/>
    <w:rsid w:val="00BC35A1"/>
    <w:rsid w:val="00BC4DFE"/>
    <w:rsid w:val="00BC5E63"/>
    <w:rsid w:val="00BD0214"/>
    <w:rsid w:val="00BD0A45"/>
    <w:rsid w:val="00BD1798"/>
    <w:rsid w:val="00BD389E"/>
    <w:rsid w:val="00BE31B4"/>
    <w:rsid w:val="00BF3DF4"/>
    <w:rsid w:val="00BF4C6E"/>
    <w:rsid w:val="00BF56ED"/>
    <w:rsid w:val="00BF66FB"/>
    <w:rsid w:val="00C0138A"/>
    <w:rsid w:val="00C016C4"/>
    <w:rsid w:val="00C07933"/>
    <w:rsid w:val="00C13264"/>
    <w:rsid w:val="00C133A0"/>
    <w:rsid w:val="00C14213"/>
    <w:rsid w:val="00C147D6"/>
    <w:rsid w:val="00C17454"/>
    <w:rsid w:val="00C20208"/>
    <w:rsid w:val="00C202D5"/>
    <w:rsid w:val="00C226CF"/>
    <w:rsid w:val="00C248AD"/>
    <w:rsid w:val="00C25E1B"/>
    <w:rsid w:val="00C25F07"/>
    <w:rsid w:val="00C279BD"/>
    <w:rsid w:val="00C31751"/>
    <w:rsid w:val="00C31AF4"/>
    <w:rsid w:val="00C3295A"/>
    <w:rsid w:val="00C36EC3"/>
    <w:rsid w:val="00C40BB0"/>
    <w:rsid w:val="00C4330F"/>
    <w:rsid w:val="00C452EA"/>
    <w:rsid w:val="00C45C19"/>
    <w:rsid w:val="00C50B49"/>
    <w:rsid w:val="00C52D70"/>
    <w:rsid w:val="00C54CBB"/>
    <w:rsid w:val="00C55408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2EC9"/>
    <w:rsid w:val="00C74383"/>
    <w:rsid w:val="00C75186"/>
    <w:rsid w:val="00C75A48"/>
    <w:rsid w:val="00C760B3"/>
    <w:rsid w:val="00C811E7"/>
    <w:rsid w:val="00C8261C"/>
    <w:rsid w:val="00C83698"/>
    <w:rsid w:val="00C84421"/>
    <w:rsid w:val="00C873DC"/>
    <w:rsid w:val="00C87499"/>
    <w:rsid w:val="00C907E2"/>
    <w:rsid w:val="00C91812"/>
    <w:rsid w:val="00C9203C"/>
    <w:rsid w:val="00C92201"/>
    <w:rsid w:val="00C94964"/>
    <w:rsid w:val="00C967C0"/>
    <w:rsid w:val="00C96857"/>
    <w:rsid w:val="00C97875"/>
    <w:rsid w:val="00C97A18"/>
    <w:rsid w:val="00C97E08"/>
    <w:rsid w:val="00CA3866"/>
    <w:rsid w:val="00CA47A8"/>
    <w:rsid w:val="00CA4840"/>
    <w:rsid w:val="00CA6F57"/>
    <w:rsid w:val="00CB043F"/>
    <w:rsid w:val="00CB08EC"/>
    <w:rsid w:val="00CB0E14"/>
    <w:rsid w:val="00CB27FE"/>
    <w:rsid w:val="00CB3DC0"/>
    <w:rsid w:val="00CB572F"/>
    <w:rsid w:val="00CB6DCB"/>
    <w:rsid w:val="00CB70CD"/>
    <w:rsid w:val="00CC0DAB"/>
    <w:rsid w:val="00CC0E20"/>
    <w:rsid w:val="00CC2ADC"/>
    <w:rsid w:val="00CC68F6"/>
    <w:rsid w:val="00CC7F24"/>
    <w:rsid w:val="00CD3310"/>
    <w:rsid w:val="00CD35A1"/>
    <w:rsid w:val="00CD3B81"/>
    <w:rsid w:val="00CD50CD"/>
    <w:rsid w:val="00CD69CD"/>
    <w:rsid w:val="00CD7E18"/>
    <w:rsid w:val="00CD7F4C"/>
    <w:rsid w:val="00CE01BC"/>
    <w:rsid w:val="00CE04FC"/>
    <w:rsid w:val="00CE6953"/>
    <w:rsid w:val="00CF074C"/>
    <w:rsid w:val="00CF1AC9"/>
    <w:rsid w:val="00CF37EC"/>
    <w:rsid w:val="00D02B4D"/>
    <w:rsid w:val="00D052BD"/>
    <w:rsid w:val="00D0538A"/>
    <w:rsid w:val="00D136FE"/>
    <w:rsid w:val="00D1599B"/>
    <w:rsid w:val="00D162D0"/>
    <w:rsid w:val="00D21980"/>
    <w:rsid w:val="00D224DA"/>
    <w:rsid w:val="00D22F20"/>
    <w:rsid w:val="00D24E05"/>
    <w:rsid w:val="00D263C7"/>
    <w:rsid w:val="00D269F5"/>
    <w:rsid w:val="00D303A3"/>
    <w:rsid w:val="00D30641"/>
    <w:rsid w:val="00D33910"/>
    <w:rsid w:val="00D3531C"/>
    <w:rsid w:val="00D360CF"/>
    <w:rsid w:val="00D36CF6"/>
    <w:rsid w:val="00D370BA"/>
    <w:rsid w:val="00D43EB1"/>
    <w:rsid w:val="00D4510D"/>
    <w:rsid w:val="00D47323"/>
    <w:rsid w:val="00D5051B"/>
    <w:rsid w:val="00D5264F"/>
    <w:rsid w:val="00D52F5C"/>
    <w:rsid w:val="00D534BF"/>
    <w:rsid w:val="00D56421"/>
    <w:rsid w:val="00D57701"/>
    <w:rsid w:val="00D60923"/>
    <w:rsid w:val="00D6193F"/>
    <w:rsid w:val="00D61D8C"/>
    <w:rsid w:val="00D63563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193E"/>
    <w:rsid w:val="00D8228B"/>
    <w:rsid w:val="00D828FD"/>
    <w:rsid w:val="00D82FD6"/>
    <w:rsid w:val="00D83C1B"/>
    <w:rsid w:val="00D8702E"/>
    <w:rsid w:val="00D87FF7"/>
    <w:rsid w:val="00D904B7"/>
    <w:rsid w:val="00D90E9E"/>
    <w:rsid w:val="00D91870"/>
    <w:rsid w:val="00D93002"/>
    <w:rsid w:val="00D97738"/>
    <w:rsid w:val="00DA31C8"/>
    <w:rsid w:val="00DA32E8"/>
    <w:rsid w:val="00DA4910"/>
    <w:rsid w:val="00DB0C29"/>
    <w:rsid w:val="00DB1C70"/>
    <w:rsid w:val="00DB2804"/>
    <w:rsid w:val="00DB488E"/>
    <w:rsid w:val="00DB7344"/>
    <w:rsid w:val="00DC6D34"/>
    <w:rsid w:val="00DD03F7"/>
    <w:rsid w:val="00DD14E1"/>
    <w:rsid w:val="00DD347E"/>
    <w:rsid w:val="00DD4309"/>
    <w:rsid w:val="00DD477D"/>
    <w:rsid w:val="00DD48CA"/>
    <w:rsid w:val="00DD55C4"/>
    <w:rsid w:val="00DD5C08"/>
    <w:rsid w:val="00DD70AB"/>
    <w:rsid w:val="00DD7946"/>
    <w:rsid w:val="00DE0FE3"/>
    <w:rsid w:val="00DE1870"/>
    <w:rsid w:val="00DE34B8"/>
    <w:rsid w:val="00DE50CF"/>
    <w:rsid w:val="00DE6183"/>
    <w:rsid w:val="00DE6368"/>
    <w:rsid w:val="00DE67AD"/>
    <w:rsid w:val="00DE70A1"/>
    <w:rsid w:val="00DF0284"/>
    <w:rsid w:val="00DF3483"/>
    <w:rsid w:val="00DF7F79"/>
    <w:rsid w:val="00E01B8D"/>
    <w:rsid w:val="00E0488B"/>
    <w:rsid w:val="00E05837"/>
    <w:rsid w:val="00E106CA"/>
    <w:rsid w:val="00E1121F"/>
    <w:rsid w:val="00E17CF1"/>
    <w:rsid w:val="00E20E6E"/>
    <w:rsid w:val="00E22F8F"/>
    <w:rsid w:val="00E2459A"/>
    <w:rsid w:val="00E24C85"/>
    <w:rsid w:val="00E27E62"/>
    <w:rsid w:val="00E30722"/>
    <w:rsid w:val="00E31D77"/>
    <w:rsid w:val="00E33A1C"/>
    <w:rsid w:val="00E33C0C"/>
    <w:rsid w:val="00E33D35"/>
    <w:rsid w:val="00E357B8"/>
    <w:rsid w:val="00E379EA"/>
    <w:rsid w:val="00E41517"/>
    <w:rsid w:val="00E422EC"/>
    <w:rsid w:val="00E43930"/>
    <w:rsid w:val="00E44E1D"/>
    <w:rsid w:val="00E45748"/>
    <w:rsid w:val="00E46BC0"/>
    <w:rsid w:val="00E510C5"/>
    <w:rsid w:val="00E52009"/>
    <w:rsid w:val="00E55905"/>
    <w:rsid w:val="00E57EF1"/>
    <w:rsid w:val="00E62754"/>
    <w:rsid w:val="00E630B5"/>
    <w:rsid w:val="00E65354"/>
    <w:rsid w:val="00E66400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5EE8"/>
    <w:rsid w:val="00E761D3"/>
    <w:rsid w:val="00E8291B"/>
    <w:rsid w:val="00E8669A"/>
    <w:rsid w:val="00E90F07"/>
    <w:rsid w:val="00E93966"/>
    <w:rsid w:val="00E9528A"/>
    <w:rsid w:val="00E95D5D"/>
    <w:rsid w:val="00E97E8D"/>
    <w:rsid w:val="00EA140D"/>
    <w:rsid w:val="00EA7A7A"/>
    <w:rsid w:val="00EA7D96"/>
    <w:rsid w:val="00EC0757"/>
    <w:rsid w:val="00EC10E8"/>
    <w:rsid w:val="00EC132B"/>
    <w:rsid w:val="00EC48CB"/>
    <w:rsid w:val="00EC495E"/>
    <w:rsid w:val="00EC7D22"/>
    <w:rsid w:val="00ED04CF"/>
    <w:rsid w:val="00ED1693"/>
    <w:rsid w:val="00ED16AA"/>
    <w:rsid w:val="00ED1A0C"/>
    <w:rsid w:val="00ED3AC7"/>
    <w:rsid w:val="00ED6443"/>
    <w:rsid w:val="00EE2472"/>
    <w:rsid w:val="00EE2BF2"/>
    <w:rsid w:val="00EE4571"/>
    <w:rsid w:val="00EE4E3F"/>
    <w:rsid w:val="00EE5435"/>
    <w:rsid w:val="00EF327D"/>
    <w:rsid w:val="00EF62F0"/>
    <w:rsid w:val="00EF6BAA"/>
    <w:rsid w:val="00EF70E9"/>
    <w:rsid w:val="00F0059E"/>
    <w:rsid w:val="00F01272"/>
    <w:rsid w:val="00F0272A"/>
    <w:rsid w:val="00F03847"/>
    <w:rsid w:val="00F03913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3D46"/>
    <w:rsid w:val="00F24979"/>
    <w:rsid w:val="00F267BB"/>
    <w:rsid w:val="00F27D4F"/>
    <w:rsid w:val="00F3152F"/>
    <w:rsid w:val="00F369CF"/>
    <w:rsid w:val="00F373A5"/>
    <w:rsid w:val="00F420FC"/>
    <w:rsid w:val="00F427DB"/>
    <w:rsid w:val="00F42E70"/>
    <w:rsid w:val="00F4467F"/>
    <w:rsid w:val="00F44B03"/>
    <w:rsid w:val="00F45E78"/>
    <w:rsid w:val="00F47A87"/>
    <w:rsid w:val="00F50E2D"/>
    <w:rsid w:val="00F53CA2"/>
    <w:rsid w:val="00F5457A"/>
    <w:rsid w:val="00F54826"/>
    <w:rsid w:val="00F55794"/>
    <w:rsid w:val="00F60C1F"/>
    <w:rsid w:val="00F6186F"/>
    <w:rsid w:val="00F648DD"/>
    <w:rsid w:val="00F65BA5"/>
    <w:rsid w:val="00F70FD3"/>
    <w:rsid w:val="00F71999"/>
    <w:rsid w:val="00F7242F"/>
    <w:rsid w:val="00F73386"/>
    <w:rsid w:val="00F825F9"/>
    <w:rsid w:val="00F852B3"/>
    <w:rsid w:val="00F871EB"/>
    <w:rsid w:val="00F87354"/>
    <w:rsid w:val="00F90374"/>
    <w:rsid w:val="00F90DD9"/>
    <w:rsid w:val="00F91A2E"/>
    <w:rsid w:val="00F9305F"/>
    <w:rsid w:val="00F93C9B"/>
    <w:rsid w:val="00F95876"/>
    <w:rsid w:val="00F96753"/>
    <w:rsid w:val="00FA095D"/>
    <w:rsid w:val="00FA0FAB"/>
    <w:rsid w:val="00FA3C69"/>
    <w:rsid w:val="00FA5B25"/>
    <w:rsid w:val="00FA6F22"/>
    <w:rsid w:val="00FB0DA5"/>
    <w:rsid w:val="00FB108A"/>
    <w:rsid w:val="00FB108C"/>
    <w:rsid w:val="00FB15CC"/>
    <w:rsid w:val="00FB2F9A"/>
    <w:rsid w:val="00FB37A5"/>
    <w:rsid w:val="00FB4AF7"/>
    <w:rsid w:val="00FB54E9"/>
    <w:rsid w:val="00FB5994"/>
    <w:rsid w:val="00FB734A"/>
    <w:rsid w:val="00FC3017"/>
    <w:rsid w:val="00FC3424"/>
    <w:rsid w:val="00FC5DF6"/>
    <w:rsid w:val="00FD3D80"/>
    <w:rsid w:val="00FD79A4"/>
    <w:rsid w:val="00FE0B99"/>
    <w:rsid w:val="00FE496F"/>
    <w:rsid w:val="00FE5813"/>
    <w:rsid w:val="00FE70D0"/>
    <w:rsid w:val="00FF05F8"/>
    <w:rsid w:val="00FF0E37"/>
    <w:rsid w:val="00FF2239"/>
    <w:rsid w:val="00FF573D"/>
    <w:rsid w:val="00FF77FB"/>
    <w:rsid w:val="0581FD61"/>
    <w:rsid w:val="0A235D63"/>
    <w:rsid w:val="0B3F3EB3"/>
    <w:rsid w:val="0CC37D51"/>
    <w:rsid w:val="0D195573"/>
    <w:rsid w:val="13FC1176"/>
    <w:rsid w:val="1CAEF634"/>
    <w:rsid w:val="1D2FE75F"/>
    <w:rsid w:val="1E8BEC2F"/>
    <w:rsid w:val="2095F158"/>
    <w:rsid w:val="29BB1F16"/>
    <w:rsid w:val="2C6FD6D2"/>
    <w:rsid w:val="2D775A1E"/>
    <w:rsid w:val="3124A265"/>
    <w:rsid w:val="36ADE0F2"/>
    <w:rsid w:val="384532EE"/>
    <w:rsid w:val="39712EE9"/>
    <w:rsid w:val="39D36DB0"/>
    <w:rsid w:val="3A302CDB"/>
    <w:rsid w:val="442689AF"/>
    <w:rsid w:val="4696043A"/>
    <w:rsid w:val="49212404"/>
    <w:rsid w:val="4BC8E631"/>
    <w:rsid w:val="51AB0AC7"/>
    <w:rsid w:val="56E3BA69"/>
    <w:rsid w:val="58041CDF"/>
    <w:rsid w:val="58F79635"/>
    <w:rsid w:val="59D051A9"/>
    <w:rsid w:val="5C3FA2A3"/>
    <w:rsid w:val="5C4D837B"/>
    <w:rsid w:val="5F2EF19A"/>
    <w:rsid w:val="6302B667"/>
    <w:rsid w:val="63699548"/>
    <w:rsid w:val="6549C5FC"/>
    <w:rsid w:val="657133D8"/>
    <w:rsid w:val="6ABA8AE3"/>
    <w:rsid w:val="6EEFDFBD"/>
    <w:rsid w:val="703ECAE0"/>
    <w:rsid w:val="706ACD0C"/>
    <w:rsid w:val="7196393F"/>
    <w:rsid w:val="727C089B"/>
    <w:rsid w:val="745268C2"/>
    <w:rsid w:val="7497D44B"/>
    <w:rsid w:val="74B0E446"/>
    <w:rsid w:val="7633A4AC"/>
    <w:rsid w:val="776666EA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7BF67367-3B7F-4942-B875-199DD5F2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customStyle="1" w:styleId="ilfuvd">
    <w:name w:val="ilfuvd"/>
    <w:basedOn w:val="DefaultParagraphFont"/>
    <w:rsid w:val="001E58AF"/>
  </w:style>
  <w:style w:type="paragraph" w:styleId="NormalWeb">
    <w:name w:val="Normal (Web)"/>
    <w:basedOn w:val="Normal"/>
    <w:uiPriority w:val="99"/>
    <w:semiHidden/>
    <w:unhideWhenUsed/>
    <w:rsid w:val="002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D5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/>
        <AccountId xsi:nil="true"/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D6ED8-8320-41F0-A5F8-5D719A26F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3E35-CB88-4347-A366-EF7150B2331C}"/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8265</Characters>
  <Application>Microsoft Office Word</Application>
  <DocSecurity>0</DocSecurity>
  <Lines>68</Lines>
  <Paragraphs>19</Paragraphs>
  <ScaleCrop>false</ScaleCrop>
  <Company>National Grid</Company>
  <LinksUpToDate>false</LinksUpToDate>
  <CharactersWithSpaces>9696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1</cp:revision>
  <dcterms:created xsi:type="dcterms:W3CDTF">2023-01-30T16:15:00Z</dcterms:created>
  <dcterms:modified xsi:type="dcterms:W3CDTF">2023-01-30T16:15:00Z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Order">
    <vt:r8>798600</vt:r8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