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E7" w:rsidRPr="00B533E7" w:rsidRDefault="00B533E7" w:rsidP="00B533E7">
      <w:pPr>
        <w:pStyle w:val="ListParagraph"/>
        <w:ind w:left="0"/>
        <w:rPr>
          <w:b/>
          <w:u w:val="single"/>
        </w:rPr>
      </w:pPr>
      <w:r w:rsidRPr="00B533E7">
        <w:rPr>
          <w:b/>
          <w:u w:val="single"/>
        </w:rPr>
        <w:t>Information Provision Consultation</w:t>
      </w:r>
    </w:p>
    <w:p w:rsidR="00B533E7" w:rsidRDefault="00B533E7" w:rsidP="00B533E7">
      <w:pPr>
        <w:pStyle w:val="ListParagraph"/>
        <w:ind w:left="0"/>
        <w:rPr>
          <w:b/>
        </w:rPr>
      </w:pPr>
      <w:r>
        <w:rPr>
          <w:b/>
        </w:rPr>
        <w:t>Consultation Questions</w:t>
      </w:r>
    </w:p>
    <w:p w:rsidR="00B533E7" w:rsidRDefault="00B533E7" w:rsidP="00B533E7">
      <w:pPr>
        <w:pStyle w:val="ListParagraph"/>
        <w:ind w:left="0"/>
      </w:pPr>
      <w:r>
        <w:t xml:space="preserve">In order to help with your response, below are the series of questions we ask in the Information Provision Consultation. This is provided in a word document so it can be used as a basis of your response. </w:t>
      </w:r>
    </w:p>
    <w:p w:rsidR="00B533E7" w:rsidRDefault="00B533E7" w:rsidP="00B533E7">
      <w:pPr>
        <w:pStyle w:val="ListParagraph"/>
        <w:ind w:left="0"/>
      </w:pPr>
      <w:bookmarkStart w:id="0" w:name="_GoBack"/>
      <w:bookmarkEnd w:id="0"/>
    </w:p>
    <w:p w:rsidR="00B533E7" w:rsidRPr="003D522A" w:rsidRDefault="00B533E7" w:rsidP="00B533E7">
      <w:pPr>
        <w:pStyle w:val="ListParagraph"/>
        <w:rPr>
          <w:b/>
          <w:i/>
          <w:u w:val="single"/>
        </w:rPr>
      </w:pPr>
      <w:r w:rsidRPr="003D522A">
        <w:rPr>
          <w:b/>
          <w:i/>
          <w:u w:val="single"/>
        </w:rPr>
        <w:t>General questions</w:t>
      </w:r>
    </w:p>
    <w:p w:rsidR="00B533E7" w:rsidRPr="00192E5B" w:rsidRDefault="00B533E7" w:rsidP="00B533E7">
      <w:pPr>
        <w:pStyle w:val="ListParagraph"/>
      </w:pPr>
      <w:r w:rsidRPr="00192E5B">
        <w:t xml:space="preserve">Q1.   </w:t>
      </w:r>
      <w:r>
        <w:t xml:space="preserve"> </w:t>
      </w:r>
      <w:r w:rsidRPr="00192E5B">
        <w:t xml:space="preserve">Do you wish your </w:t>
      </w:r>
      <w:r>
        <w:t xml:space="preserve">consultation </w:t>
      </w:r>
      <w:r w:rsidRPr="00192E5B">
        <w:t>response to remain anonymous?</w:t>
      </w:r>
    </w:p>
    <w:p w:rsidR="00B533E7" w:rsidRPr="00192E5B" w:rsidRDefault="00B533E7" w:rsidP="00B533E7">
      <w:pPr>
        <w:ind w:firstLine="720"/>
      </w:pPr>
      <w:r w:rsidRPr="00192E5B">
        <w:t xml:space="preserve">Q2.   </w:t>
      </w:r>
      <w:r>
        <w:t xml:space="preserve"> Do you agree with the cost/</w:t>
      </w:r>
      <w:r w:rsidRPr="00192E5B">
        <w:t xml:space="preserve">benefit approach outlined in section </w:t>
      </w:r>
      <w:r>
        <w:t>4</w:t>
      </w:r>
      <w:r w:rsidRPr="00192E5B">
        <w:t xml:space="preserve">? </w:t>
      </w:r>
    </w:p>
    <w:p w:rsidR="00B533E7" w:rsidRPr="00192E5B" w:rsidRDefault="00B533E7" w:rsidP="00B533E7">
      <w:pPr>
        <w:pStyle w:val="ListParagraph"/>
      </w:pPr>
    </w:p>
    <w:p w:rsidR="00B533E7" w:rsidRPr="003D522A" w:rsidRDefault="00B533E7" w:rsidP="00B533E7">
      <w:pPr>
        <w:pStyle w:val="ListParagraph"/>
        <w:rPr>
          <w:b/>
          <w:i/>
          <w:u w:val="single"/>
        </w:rPr>
      </w:pPr>
      <w:r w:rsidRPr="003D522A">
        <w:rPr>
          <w:b/>
          <w:i/>
          <w:u w:val="single"/>
        </w:rPr>
        <w:t xml:space="preserve">Gas Quality Information </w:t>
      </w:r>
    </w:p>
    <w:p w:rsidR="00B533E7" w:rsidRPr="00192E5B" w:rsidRDefault="00B533E7" w:rsidP="00B533E7">
      <w:pPr>
        <w:pStyle w:val="ListParagraph"/>
        <w:rPr>
          <w:i/>
          <w:u w:val="single"/>
        </w:rPr>
      </w:pPr>
      <w:r w:rsidRPr="00192E5B">
        <w:t>Q3.</w:t>
      </w:r>
      <w:r w:rsidRPr="00192E5B">
        <w:rPr>
          <w:i/>
        </w:rPr>
        <w:t xml:space="preserve">   </w:t>
      </w:r>
      <w:r>
        <w:rPr>
          <w:i/>
        </w:rPr>
        <w:t xml:space="preserve"> </w:t>
      </w:r>
      <w:r w:rsidRPr="00192E5B">
        <w:t>On a scale of 1-10, how useful is the gas quality information currently provided on MIPI? (1 being not useful at all and 10 being very useful). Please provide your reasoning.</w:t>
      </w:r>
    </w:p>
    <w:p w:rsidR="00B533E7" w:rsidRPr="00192E5B" w:rsidRDefault="00B533E7" w:rsidP="00B533E7">
      <w:pPr>
        <w:ind w:firstLine="720"/>
      </w:pPr>
      <w:r>
        <w:t xml:space="preserve">Q.4    </w:t>
      </w:r>
      <w:r w:rsidRPr="00192E5B">
        <w:t>What do you currently use the gas quality information provided on MIPI for?</w:t>
      </w:r>
    </w:p>
    <w:p w:rsidR="00B533E7" w:rsidRPr="00192E5B" w:rsidRDefault="00B533E7" w:rsidP="00B533E7">
      <w:pPr>
        <w:ind w:left="720"/>
      </w:pPr>
      <w:r>
        <w:t xml:space="preserve">Q.5    </w:t>
      </w:r>
      <w:r w:rsidRPr="00192E5B">
        <w:t>Are there any gas quality informa</w:t>
      </w:r>
      <w:r>
        <w:t>tion reports listed in section 2</w:t>
      </w:r>
      <w:r w:rsidRPr="00192E5B">
        <w:t xml:space="preserve"> that you have not used in the last 12 months? </w:t>
      </w:r>
    </w:p>
    <w:p w:rsidR="00B533E7" w:rsidRPr="008F30FC" w:rsidRDefault="00B533E7" w:rsidP="00B533E7">
      <w:pPr>
        <w:ind w:left="720"/>
      </w:pPr>
      <w:r w:rsidRPr="00192E5B">
        <w:t xml:space="preserve">Q.6   </w:t>
      </w:r>
      <w:r>
        <w:t xml:space="preserve"> </w:t>
      </w:r>
      <w:r w:rsidRPr="00192E5B">
        <w:t xml:space="preserve">Please complete the </w:t>
      </w:r>
      <w:r>
        <w:t xml:space="preserve">series of question below. If you have multiple responses to Q6a then please complete the series of questions once for every point.  </w:t>
      </w:r>
    </w:p>
    <w:p w:rsidR="00B533E7" w:rsidRDefault="00B533E7" w:rsidP="00B533E7">
      <w:pPr>
        <w:pStyle w:val="ListParagraph"/>
        <w:ind w:left="2160" w:hanging="884"/>
        <w:rPr>
          <w:i/>
        </w:rPr>
      </w:pPr>
      <w:r>
        <w:t xml:space="preserve">    Q6a.</w:t>
      </w:r>
      <w:r>
        <w:tab/>
        <w:t xml:space="preserve">What would you like to do that you currently cannot do with the gas quality information already provided by NG NTS? </w:t>
      </w:r>
      <w:r>
        <w:rPr>
          <w:i/>
        </w:rPr>
        <w:t xml:space="preserve"> </w:t>
      </w:r>
    </w:p>
    <w:p w:rsidR="00B533E7" w:rsidRDefault="00B533E7" w:rsidP="00B533E7">
      <w:pPr>
        <w:pStyle w:val="ListParagraph"/>
        <w:ind w:left="2160" w:hanging="884"/>
        <w:rPr>
          <w:i/>
        </w:rPr>
      </w:pPr>
    </w:p>
    <w:p w:rsidR="00B533E7" w:rsidRDefault="00B533E7" w:rsidP="00B533E7">
      <w:pPr>
        <w:pStyle w:val="ListParagraph"/>
        <w:ind w:left="2160" w:hanging="884"/>
      </w:pPr>
      <w:r>
        <w:t xml:space="preserve">    Q6b. </w:t>
      </w:r>
      <w:r>
        <w:rPr>
          <w:i/>
        </w:rPr>
        <w:tab/>
      </w:r>
      <w:r>
        <w:t xml:space="preserve">What information would enable you to do what you currently cannot? </w:t>
      </w:r>
    </w:p>
    <w:p w:rsidR="00B533E7" w:rsidRDefault="00B533E7" w:rsidP="00B533E7">
      <w:pPr>
        <w:pStyle w:val="ListParagraph"/>
        <w:ind w:left="2160" w:hanging="884"/>
      </w:pPr>
    </w:p>
    <w:p w:rsidR="00B533E7" w:rsidRDefault="00B533E7" w:rsidP="00B533E7">
      <w:pPr>
        <w:pStyle w:val="ListParagraph"/>
        <w:ind w:left="2160" w:hanging="884"/>
      </w:pPr>
      <w:r>
        <w:t xml:space="preserve">    Q6c.</w:t>
      </w:r>
      <w:r>
        <w:tab/>
        <w:t>What financial benefits / costs saving could this provide for you?</w:t>
      </w:r>
    </w:p>
    <w:p w:rsidR="00B533E7" w:rsidRDefault="00B533E7" w:rsidP="00B533E7">
      <w:pPr>
        <w:pStyle w:val="ListParagraph"/>
        <w:ind w:left="2160" w:hanging="884"/>
      </w:pPr>
    </w:p>
    <w:p w:rsidR="00B533E7" w:rsidRDefault="00B533E7" w:rsidP="00B533E7">
      <w:pPr>
        <w:pStyle w:val="ListParagraph"/>
        <w:ind w:left="2160" w:hanging="884"/>
      </w:pPr>
      <w:r>
        <w:t xml:space="preserve">    Q6d. </w:t>
      </w:r>
      <w:r>
        <w:tab/>
        <w:t xml:space="preserve">What operational benefits would this bring? </w:t>
      </w:r>
    </w:p>
    <w:p w:rsidR="00B533E7" w:rsidRDefault="00B533E7" w:rsidP="00B533E7">
      <w:pPr>
        <w:ind w:left="720"/>
      </w:pPr>
      <w:r>
        <w:t>Q.7</w:t>
      </w:r>
      <w:r w:rsidRPr="00192E5B">
        <w:t xml:space="preserve">   How easy is it to find the </w:t>
      </w:r>
      <w:r>
        <w:t>gas quality reports</w:t>
      </w:r>
      <w:r w:rsidRPr="00192E5B">
        <w:t xml:space="preserve"> that you require? (1 being not very easy at all and 10 being very easy)</w:t>
      </w:r>
    </w:p>
    <w:p w:rsidR="00B533E7" w:rsidRPr="00B533E7" w:rsidRDefault="00B533E7" w:rsidP="00B533E7">
      <w:pPr>
        <w:pStyle w:val="ListParagraph"/>
      </w:pPr>
    </w:p>
    <w:p w:rsidR="00B533E7" w:rsidRDefault="00B533E7" w:rsidP="00B533E7">
      <w:pPr>
        <w:pStyle w:val="ListParagraph"/>
        <w:rPr>
          <w:b/>
          <w:i/>
          <w:u w:val="single"/>
        </w:rPr>
      </w:pPr>
      <w:r w:rsidRPr="0094427C">
        <w:rPr>
          <w:b/>
          <w:i/>
          <w:u w:val="single"/>
        </w:rPr>
        <w:t>Balancing related information</w:t>
      </w:r>
    </w:p>
    <w:p w:rsidR="00B533E7" w:rsidRPr="00192E5B" w:rsidRDefault="00B533E7" w:rsidP="00B533E7">
      <w:pPr>
        <w:pStyle w:val="ListParagraph"/>
      </w:pPr>
      <w:r>
        <w:t>Q.8</w:t>
      </w:r>
      <w:r w:rsidRPr="00192E5B">
        <w:t xml:space="preserve">    On a scale of 1-10, how useful is the balancing information provided as outlined in Appendix 1? (1 being not useful at all and 10 being very useful) Please provide your reasoning.</w:t>
      </w:r>
    </w:p>
    <w:p w:rsidR="00B533E7" w:rsidRPr="00192E5B" w:rsidRDefault="00B533E7" w:rsidP="00B533E7">
      <w:pPr>
        <w:ind w:firstLine="720"/>
      </w:pPr>
      <w:r>
        <w:t>Q.9</w:t>
      </w:r>
      <w:r w:rsidRPr="00192E5B">
        <w:t xml:space="preserve">    What do you currently use the balancing information outlined in Appendix 1 for?</w:t>
      </w:r>
    </w:p>
    <w:p w:rsidR="00B533E7" w:rsidRPr="00192E5B" w:rsidRDefault="00B533E7" w:rsidP="00B533E7">
      <w:pPr>
        <w:ind w:left="720"/>
      </w:pPr>
      <w:r>
        <w:t>Q.10</w:t>
      </w:r>
      <w:r w:rsidRPr="00192E5B">
        <w:t xml:space="preserve">    Please can you indicate, in the fourth column on the table in Appendix 1, whether there are any balancing information reports listed that you have not used in the last 12 months? </w:t>
      </w:r>
    </w:p>
    <w:p w:rsidR="00B533E7" w:rsidRPr="008F30FC" w:rsidRDefault="00B533E7" w:rsidP="00B533E7">
      <w:pPr>
        <w:ind w:left="720"/>
      </w:pPr>
      <w:r>
        <w:lastRenderedPageBreak/>
        <w:t>Q.11</w:t>
      </w:r>
      <w:r w:rsidRPr="00192E5B">
        <w:t xml:space="preserve">  </w:t>
      </w:r>
      <w:r>
        <w:t xml:space="preserve"> </w:t>
      </w:r>
      <w:r w:rsidRPr="00192E5B">
        <w:t xml:space="preserve">Please complete the </w:t>
      </w:r>
      <w:r>
        <w:t xml:space="preserve">series of question below. If you have multiple responses to Q6a then please complete the series of questions once for every point.  </w:t>
      </w:r>
    </w:p>
    <w:p w:rsidR="00B533E7" w:rsidRDefault="00B533E7" w:rsidP="00B533E7">
      <w:pPr>
        <w:pStyle w:val="ListParagraph"/>
        <w:ind w:left="2160" w:hanging="884"/>
        <w:rPr>
          <w:i/>
        </w:rPr>
      </w:pPr>
      <w:r>
        <w:t xml:space="preserve">    Q11a.</w:t>
      </w:r>
      <w:r>
        <w:tab/>
        <w:t xml:space="preserve">What would you like to do that you currently cannot do with the information already provided by NG NTS? </w:t>
      </w:r>
      <w:r>
        <w:rPr>
          <w:i/>
        </w:rPr>
        <w:t xml:space="preserve"> </w:t>
      </w:r>
    </w:p>
    <w:p w:rsidR="00B533E7" w:rsidRDefault="00B533E7" w:rsidP="00B533E7">
      <w:pPr>
        <w:pStyle w:val="ListParagraph"/>
        <w:ind w:left="2160" w:hanging="884"/>
        <w:rPr>
          <w:i/>
        </w:rPr>
      </w:pPr>
    </w:p>
    <w:p w:rsidR="00B533E7" w:rsidRDefault="00B533E7" w:rsidP="00B533E7">
      <w:pPr>
        <w:pStyle w:val="ListParagraph"/>
        <w:ind w:left="2160" w:hanging="884"/>
      </w:pPr>
      <w:r>
        <w:t xml:space="preserve">    Q11b. </w:t>
      </w:r>
      <w:r>
        <w:rPr>
          <w:i/>
        </w:rPr>
        <w:tab/>
      </w:r>
      <w:r>
        <w:t xml:space="preserve">What information would enable you to do what you currently cannot? </w:t>
      </w:r>
    </w:p>
    <w:p w:rsidR="00B533E7" w:rsidRDefault="00B533E7" w:rsidP="00B533E7">
      <w:pPr>
        <w:pStyle w:val="ListParagraph"/>
        <w:ind w:left="2160" w:hanging="884"/>
      </w:pPr>
    </w:p>
    <w:p w:rsidR="00B533E7" w:rsidRDefault="00B533E7" w:rsidP="00B533E7">
      <w:pPr>
        <w:pStyle w:val="ListParagraph"/>
        <w:ind w:left="2160" w:hanging="884"/>
      </w:pPr>
      <w:r>
        <w:t xml:space="preserve">    Q11c.</w:t>
      </w:r>
      <w:r>
        <w:tab/>
        <w:t>What financial benefits / costs saving could this provide for you?</w:t>
      </w:r>
    </w:p>
    <w:p w:rsidR="00B533E7" w:rsidRDefault="00B533E7" w:rsidP="00B533E7">
      <w:pPr>
        <w:pStyle w:val="ListParagraph"/>
        <w:ind w:left="2160" w:hanging="884"/>
      </w:pPr>
    </w:p>
    <w:p w:rsidR="00B533E7" w:rsidRDefault="00B533E7" w:rsidP="00B533E7">
      <w:pPr>
        <w:pStyle w:val="ListParagraph"/>
        <w:ind w:left="2160" w:hanging="884"/>
      </w:pPr>
      <w:r>
        <w:t xml:space="preserve">    Q11d. </w:t>
      </w:r>
      <w:r>
        <w:tab/>
        <w:t xml:space="preserve">What operational benefits would this bring? </w:t>
      </w:r>
    </w:p>
    <w:p w:rsidR="00B533E7" w:rsidRDefault="00B533E7" w:rsidP="00B533E7">
      <w:pPr>
        <w:ind w:left="720"/>
      </w:pPr>
      <w:r>
        <w:t>Q.12</w:t>
      </w:r>
      <w:r w:rsidRPr="00192E5B">
        <w:t xml:space="preserve">   How easy is it to find the balancing reports that you require? (1 being not very easy at all and 10 being very easy)</w:t>
      </w:r>
    </w:p>
    <w:p w:rsidR="00B533E7" w:rsidRDefault="00B533E7" w:rsidP="00B533E7">
      <w:pPr>
        <w:pStyle w:val="ListParagraph"/>
      </w:pPr>
    </w:p>
    <w:p w:rsidR="00B533E7" w:rsidRPr="003D522A" w:rsidRDefault="00B533E7" w:rsidP="00B533E7">
      <w:pPr>
        <w:pStyle w:val="ListParagraph"/>
        <w:rPr>
          <w:b/>
          <w:i/>
          <w:u w:val="single"/>
        </w:rPr>
      </w:pPr>
      <w:r>
        <w:rPr>
          <w:b/>
          <w:i/>
          <w:u w:val="single"/>
        </w:rPr>
        <w:t>Wider</w:t>
      </w:r>
      <w:r w:rsidRPr="003D522A">
        <w:rPr>
          <w:b/>
          <w:i/>
          <w:u w:val="single"/>
        </w:rPr>
        <w:t xml:space="preserve"> information</w:t>
      </w:r>
    </w:p>
    <w:p w:rsidR="00B533E7" w:rsidRDefault="00B533E7" w:rsidP="00B533E7">
      <w:pPr>
        <w:pStyle w:val="ListParagraph"/>
      </w:pPr>
      <w:r>
        <w:t>Q.13    In Appendix 2 the wider information which is also provided on MIPI is listed. Whilst we are consulting on the information we provide it seemed appropriate to also include this information as part of this consultation. Therefore, p</w:t>
      </w:r>
      <w:r w:rsidRPr="00192E5B">
        <w:t>lease can you indicate, in the fourth c</w:t>
      </w:r>
      <w:r>
        <w:t>olumn on the table in Appendix 2</w:t>
      </w:r>
      <w:r w:rsidRPr="00192E5B">
        <w:t xml:space="preserve">, whether there are any </w:t>
      </w:r>
      <w:r>
        <w:t>wider</w:t>
      </w:r>
      <w:r w:rsidRPr="00192E5B">
        <w:t xml:space="preserve"> information reports listed that you have not used in the last 12 months?</w:t>
      </w:r>
    </w:p>
    <w:p w:rsidR="00B533E7" w:rsidRDefault="00B533E7">
      <w:r>
        <w:br w:type="page"/>
      </w:r>
    </w:p>
    <w:p w:rsidR="00B533E7" w:rsidRPr="008C5D04" w:rsidRDefault="00B533E7" w:rsidP="00B533E7">
      <w:pPr>
        <w:rPr>
          <w:b/>
        </w:rPr>
      </w:pPr>
      <w:r w:rsidRPr="008C5D04">
        <w:rPr>
          <w:b/>
        </w:rPr>
        <w:lastRenderedPageBreak/>
        <w:t xml:space="preserve">Appendix 1: </w:t>
      </w:r>
      <w:r>
        <w:rPr>
          <w:b/>
        </w:rPr>
        <w:t>Balancing related i</w:t>
      </w:r>
      <w:r w:rsidRPr="008C5D04">
        <w:rPr>
          <w:b/>
        </w:rPr>
        <w:t xml:space="preserve">nformation </w:t>
      </w:r>
      <w:r>
        <w:rPr>
          <w:b/>
        </w:rPr>
        <w:t xml:space="preserve">currently published </w:t>
      </w:r>
    </w:p>
    <w:tbl>
      <w:tblPr>
        <w:tblStyle w:val="TableGrid"/>
        <w:tblW w:w="0" w:type="auto"/>
        <w:tblLook w:val="04A0" w:firstRow="1" w:lastRow="0" w:firstColumn="1" w:lastColumn="0" w:noHBand="0" w:noVBand="1"/>
      </w:tblPr>
      <w:tblGrid>
        <w:gridCol w:w="1668"/>
        <w:gridCol w:w="4313"/>
        <w:gridCol w:w="1498"/>
        <w:gridCol w:w="1763"/>
      </w:tblGrid>
      <w:tr w:rsidR="00B533E7" w:rsidTr="00B533E7">
        <w:tc>
          <w:tcPr>
            <w:tcW w:w="1668" w:type="dxa"/>
            <w:shd w:val="clear" w:color="auto" w:fill="0070C0"/>
          </w:tcPr>
          <w:p w:rsidR="00B533E7" w:rsidRPr="00CA5066" w:rsidRDefault="00B533E7" w:rsidP="00B533E7">
            <w:pPr>
              <w:rPr>
                <w:b/>
                <w:color w:val="FFFFFF" w:themeColor="background1"/>
                <w:sz w:val="24"/>
                <w:szCs w:val="24"/>
              </w:rPr>
            </w:pPr>
            <w:r w:rsidRPr="00CA5066">
              <w:rPr>
                <w:b/>
                <w:color w:val="FFFFFF" w:themeColor="background1"/>
                <w:sz w:val="24"/>
                <w:szCs w:val="24"/>
              </w:rPr>
              <w:t>Report Name</w:t>
            </w:r>
          </w:p>
        </w:tc>
        <w:tc>
          <w:tcPr>
            <w:tcW w:w="4313" w:type="dxa"/>
            <w:shd w:val="clear" w:color="auto" w:fill="0070C0"/>
          </w:tcPr>
          <w:p w:rsidR="00B533E7" w:rsidRPr="00CA5066" w:rsidRDefault="00B533E7" w:rsidP="00B533E7">
            <w:pPr>
              <w:rPr>
                <w:b/>
                <w:color w:val="FFFFFF" w:themeColor="background1"/>
                <w:sz w:val="24"/>
                <w:szCs w:val="24"/>
              </w:rPr>
            </w:pPr>
            <w:r w:rsidRPr="00CA5066">
              <w:rPr>
                <w:b/>
                <w:color w:val="FFFFFF" w:themeColor="background1"/>
                <w:sz w:val="24"/>
                <w:szCs w:val="24"/>
              </w:rPr>
              <w:t>Summary</w:t>
            </w:r>
          </w:p>
        </w:tc>
        <w:tc>
          <w:tcPr>
            <w:tcW w:w="1498" w:type="dxa"/>
            <w:shd w:val="clear" w:color="auto" w:fill="0070C0"/>
          </w:tcPr>
          <w:p w:rsidR="00B533E7" w:rsidRPr="00CA5066" w:rsidRDefault="00B533E7" w:rsidP="00B533E7">
            <w:pPr>
              <w:rPr>
                <w:b/>
                <w:color w:val="FFFFFF" w:themeColor="background1"/>
                <w:sz w:val="24"/>
                <w:szCs w:val="24"/>
              </w:rPr>
            </w:pPr>
            <w:r w:rsidRPr="00CA5066">
              <w:rPr>
                <w:b/>
                <w:color w:val="FFFFFF" w:themeColor="background1"/>
                <w:sz w:val="24"/>
                <w:szCs w:val="24"/>
              </w:rPr>
              <w:t>Publication frequency</w:t>
            </w:r>
          </w:p>
        </w:tc>
        <w:tc>
          <w:tcPr>
            <w:tcW w:w="1763" w:type="dxa"/>
            <w:shd w:val="clear" w:color="auto" w:fill="0070C0"/>
          </w:tcPr>
          <w:p w:rsidR="00B533E7" w:rsidRPr="00CA5066" w:rsidRDefault="00B533E7" w:rsidP="00B533E7">
            <w:pPr>
              <w:rPr>
                <w:b/>
                <w:color w:val="FFFFFF" w:themeColor="background1"/>
                <w:sz w:val="24"/>
                <w:szCs w:val="24"/>
              </w:rPr>
            </w:pPr>
            <w:r>
              <w:rPr>
                <w:b/>
                <w:color w:val="FFFFFF" w:themeColor="background1"/>
                <w:sz w:val="24"/>
                <w:szCs w:val="24"/>
              </w:rPr>
              <w:t>Have you used in the last 12 months?</w:t>
            </w:r>
          </w:p>
        </w:tc>
      </w:tr>
      <w:tr w:rsidR="00B533E7" w:rsidTr="00B533E7">
        <w:tc>
          <w:tcPr>
            <w:tcW w:w="1668" w:type="dxa"/>
          </w:tcPr>
          <w:p w:rsidR="00B533E7" w:rsidRPr="000C4158" w:rsidRDefault="00B533E7" w:rsidP="00B533E7">
            <w:pPr>
              <w:rPr>
                <w:rFonts w:ascii="Arial" w:hAnsi="Arial" w:cs="Arial"/>
                <w:sz w:val="16"/>
                <w:szCs w:val="16"/>
              </w:rPr>
            </w:pPr>
            <w:r>
              <w:rPr>
                <w:rFonts w:ascii="Arial" w:hAnsi="Arial" w:cs="Arial"/>
                <w:sz w:val="16"/>
                <w:szCs w:val="16"/>
              </w:rPr>
              <w:t>Daily Summary Report (DSR)</w:t>
            </w:r>
          </w:p>
        </w:tc>
        <w:tc>
          <w:tcPr>
            <w:tcW w:w="4313" w:type="dxa"/>
          </w:tcPr>
          <w:p w:rsidR="00B533E7" w:rsidRPr="000C4158" w:rsidRDefault="00B533E7" w:rsidP="00B533E7">
            <w:pPr>
              <w:rPr>
                <w:rFonts w:ascii="Arial" w:hAnsi="Arial" w:cs="Arial"/>
                <w:sz w:val="16"/>
                <w:szCs w:val="16"/>
              </w:rPr>
            </w:pPr>
            <w:r>
              <w:rPr>
                <w:rFonts w:ascii="Arial" w:hAnsi="Arial" w:cs="Arial"/>
                <w:sz w:val="16"/>
                <w:szCs w:val="16"/>
              </w:rPr>
              <w:t xml:space="preserve">This report provides a consolidated view of the latest forecast and actual data available. It is updated continuously throughout the day as information becomes available. The report also contains the Gas Deficit Warning status and Margins Notice Trigger Levels for D and D-1. Users can also navigate to the Data Item Explorer for further clarity on definitions for the data items included in the graphs. </w:t>
            </w:r>
          </w:p>
        </w:tc>
        <w:tc>
          <w:tcPr>
            <w:tcW w:w="1498" w:type="dxa"/>
          </w:tcPr>
          <w:p w:rsidR="00B533E7" w:rsidRDefault="00B533E7" w:rsidP="00B533E7">
            <w:pPr>
              <w:rPr>
                <w:rFonts w:ascii="Arial" w:hAnsi="Arial" w:cs="Arial"/>
                <w:sz w:val="16"/>
                <w:szCs w:val="16"/>
              </w:rPr>
            </w:pPr>
            <w:r>
              <w:rPr>
                <w:rFonts w:ascii="Arial" w:hAnsi="Arial" w:cs="Arial"/>
                <w:sz w:val="16"/>
                <w:szCs w:val="16"/>
              </w:rPr>
              <w:t>Updated continuously throughout the day as information becomes available.</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9242" w:type="dxa"/>
            <w:gridSpan w:val="4"/>
            <w:shd w:val="clear" w:color="auto" w:fill="3399FF"/>
          </w:tcPr>
          <w:p w:rsidR="00B533E7" w:rsidRPr="00CA5066" w:rsidRDefault="00B533E7" w:rsidP="00B533E7">
            <w:pPr>
              <w:rPr>
                <w:b/>
              </w:rPr>
            </w:pPr>
            <w:r w:rsidRPr="00CA5066">
              <w:rPr>
                <w:b/>
                <w:color w:val="FFFFFF" w:themeColor="background1"/>
              </w:rPr>
              <w:t>Energy – Daily Reports</w:t>
            </w:r>
          </w:p>
        </w:tc>
      </w:tr>
      <w:tr w:rsidR="00B533E7" w:rsidTr="00B533E7">
        <w:tc>
          <w:tcPr>
            <w:tcW w:w="9242" w:type="dxa"/>
            <w:gridSpan w:val="4"/>
            <w:shd w:val="clear" w:color="auto" w:fill="CCECFF"/>
          </w:tcPr>
          <w:p w:rsidR="00B533E7" w:rsidRPr="00CA5066" w:rsidRDefault="00B533E7" w:rsidP="00B533E7">
            <w:pPr>
              <w:rPr>
                <w:b/>
              </w:rPr>
            </w:pPr>
            <w:r w:rsidRPr="00CA5066">
              <w:rPr>
                <w:b/>
                <w:color w:val="0070C0"/>
              </w:rPr>
              <w:t>Pre Day / Within Day</w:t>
            </w:r>
          </w:p>
        </w:tc>
      </w:tr>
      <w:tr w:rsidR="00B533E7" w:rsidTr="00B533E7">
        <w:trPr>
          <w:trHeight w:val="1239"/>
        </w:trPr>
        <w:tc>
          <w:tcPr>
            <w:tcW w:w="1668" w:type="dxa"/>
          </w:tcPr>
          <w:p w:rsidR="00B533E7" w:rsidRPr="00CA4193" w:rsidRDefault="00B533E7" w:rsidP="00B533E7">
            <w:pPr>
              <w:rPr>
                <w:rFonts w:ascii="Arial" w:hAnsi="Arial" w:cs="Arial"/>
                <w:sz w:val="16"/>
                <w:szCs w:val="16"/>
              </w:rPr>
            </w:pPr>
            <w:r>
              <w:rPr>
                <w:rFonts w:ascii="Arial" w:hAnsi="Arial" w:cs="Arial"/>
                <w:sz w:val="16"/>
                <w:szCs w:val="16"/>
              </w:rPr>
              <w:t>Aggregate Physical NTS System Entry Flows (NTSAPF)</w:t>
            </w:r>
          </w:p>
        </w:tc>
        <w:tc>
          <w:tcPr>
            <w:tcW w:w="4313" w:type="dxa"/>
          </w:tcPr>
          <w:p w:rsidR="00B533E7" w:rsidRDefault="00B533E7" w:rsidP="00B533E7">
            <w:r>
              <w:rPr>
                <w:rFonts w:ascii="Arial" w:hAnsi="Arial" w:cs="Arial"/>
                <w:sz w:val="16"/>
                <w:szCs w:val="16"/>
              </w:rPr>
              <w:t>This report shows for a single gas day, the forecast end of day aggregated flows into the NTS derived from a straight line extrapolation of the physical metered instantaneous flows entering the network. The report is published hourly from midnight at the day ahead stage through to 0300 on the gas day.</w:t>
            </w:r>
          </w:p>
        </w:tc>
        <w:tc>
          <w:tcPr>
            <w:tcW w:w="1498" w:type="dxa"/>
          </w:tcPr>
          <w:p w:rsidR="00B533E7" w:rsidRDefault="00B533E7" w:rsidP="00B533E7">
            <w:pPr>
              <w:rPr>
                <w:rFonts w:ascii="Arial" w:hAnsi="Arial" w:cs="Arial"/>
                <w:sz w:val="16"/>
                <w:szCs w:val="16"/>
              </w:rPr>
            </w:pPr>
            <w:r>
              <w:rPr>
                <w:rFonts w:ascii="Arial" w:hAnsi="Arial" w:cs="Arial"/>
                <w:sz w:val="16"/>
                <w:szCs w:val="16"/>
              </w:rPr>
              <w:t>Hourly (from midnight at the day ahead stage through to 0300 on the gas day)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Pr="00CA4193" w:rsidRDefault="00B533E7" w:rsidP="00B533E7">
            <w:pPr>
              <w:rPr>
                <w:rFonts w:ascii="Arial" w:hAnsi="Arial" w:cs="Arial"/>
                <w:sz w:val="16"/>
                <w:szCs w:val="16"/>
              </w:rPr>
            </w:pPr>
            <w:r>
              <w:rPr>
                <w:rFonts w:ascii="Arial" w:hAnsi="Arial" w:cs="Arial"/>
                <w:sz w:val="16"/>
                <w:szCs w:val="16"/>
              </w:rPr>
              <w:t>D-2 to D-5 NTS Demand Forecast Report (NTSDE)</w:t>
            </w: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latest NTS Demand Forecast for the period D-2 to D-5. The report also provides an indication of the confidence level that can be associated with the forecast. The forecast is updated on a daily basis and is published at approximately 16:00.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(at 16:00)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Pr="00CA4193" w:rsidRDefault="00B533E7" w:rsidP="00B533E7">
            <w:pPr>
              <w:rPr>
                <w:rFonts w:ascii="Arial" w:hAnsi="Arial" w:cs="Arial"/>
                <w:sz w:val="16"/>
                <w:szCs w:val="16"/>
              </w:rPr>
            </w:pPr>
            <w:r>
              <w:rPr>
                <w:rFonts w:ascii="Arial" w:hAnsi="Arial" w:cs="Arial"/>
                <w:sz w:val="16"/>
                <w:szCs w:val="16"/>
              </w:rPr>
              <w:t>Day Ahead Gas Flow Nominations</w:t>
            </w:r>
          </w:p>
        </w:tc>
        <w:tc>
          <w:tcPr>
            <w:tcW w:w="4313" w:type="dxa"/>
          </w:tcPr>
          <w:p w:rsidR="00B533E7" w:rsidRDefault="00B533E7" w:rsidP="00B533E7">
            <w:pPr>
              <w:rPr>
                <w:rFonts w:ascii="Arial" w:hAnsi="Arial" w:cs="Arial"/>
                <w:sz w:val="16"/>
                <w:szCs w:val="16"/>
              </w:rPr>
            </w:pPr>
            <w:r>
              <w:rPr>
                <w:rFonts w:ascii="Arial" w:hAnsi="Arial" w:cs="Arial"/>
                <w:sz w:val="16"/>
                <w:szCs w:val="16"/>
              </w:rPr>
              <w:t>This report shows the Day Ahead aggregate gas flow nominations at major Aggregate System Entry Points (ASEPs). These are the Input nominations at mono-directional points and net flow nominations at bi-directional sites. Where an input nomination is not submitted, a zero value is displayed in line with MOD 223. Published before D-1 18:00.</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(before D-1 18:00)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Pr="00CA4193" w:rsidRDefault="00B533E7" w:rsidP="00B533E7">
            <w:pPr>
              <w:rPr>
                <w:rFonts w:ascii="Arial" w:hAnsi="Arial" w:cs="Arial"/>
                <w:sz w:val="16"/>
                <w:szCs w:val="16"/>
              </w:rPr>
            </w:pPr>
            <w:r>
              <w:rPr>
                <w:rFonts w:ascii="Arial" w:hAnsi="Arial" w:cs="Arial"/>
                <w:sz w:val="16"/>
                <w:szCs w:val="16"/>
              </w:rPr>
              <w:t>End Of Day Aggregate Forecast NTS System Entry Flows (NTSAFF)</w:t>
            </w: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for a single gasday, the forecast end of day aggregate flows into the NTS calculated as the aggregate of the received DFN - Delivery Flow Notifications. The report is published hourly from midnight at the day ahead stage through to 0300 on the gas day.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Hourly (from midnight at the day ahead stage through to 0300 on the gas day)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Pr="00CA4193" w:rsidRDefault="00B533E7" w:rsidP="00B533E7">
            <w:pPr>
              <w:rPr>
                <w:rFonts w:ascii="Arial" w:hAnsi="Arial" w:cs="Arial"/>
                <w:sz w:val="16"/>
                <w:szCs w:val="16"/>
              </w:rPr>
            </w:pPr>
            <w:r>
              <w:rPr>
                <w:rFonts w:ascii="Arial" w:hAnsi="Arial" w:cs="Arial"/>
                <w:sz w:val="16"/>
                <w:szCs w:val="16"/>
              </w:rPr>
              <w:t>Forecast Composite Weather Variables (SISR01)</w:t>
            </w:r>
          </w:p>
        </w:tc>
        <w:tc>
          <w:tcPr>
            <w:tcW w:w="4313" w:type="dxa"/>
          </w:tcPr>
          <w:p w:rsidR="00B533E7" w:rsidRDefault="00B533E7" w:rsidP="00B533E7">
            <w:pPr>
              <w:rPr>
                <w:rFonts w:ascii="Arial" w:hAnsi="Arial" w:cs="Arial"/>
                <w:sz w:val="16"/>
                <w:szCs w:val="16"/>
              </w:rPr>
            </w:pPr>
            <w:r>
              <w:rPr>
                <w:rFonts w:ascii="Arial" w:hAnsi="Arial" w:cs="Arial"/>
                <w:sz w:val="16"/>
                <w:szCs w:val="16"/>
              </w:rPr>
              <w:t>This report shows the Local Distribution Zone (LDZ) Forecast Composite Weather Variables (CWV). CWV is created from 2-hourly temperatures and 4-hourly wind speeds to produce a linear relationship with LDZ demand. Benefits include 1. Improves the fit of weather/demand models. 2. Historical weather can be used to estimate what demand would have been at current levels of connected load. 3. Linear relationship with LDZ demand simplifies demand models.</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 xml:space="preserve">Multiple times a day in line with demand forecasts. </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Forecast Demands (SISR03)</w:t>
            </w: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latest available approved Forecast Demand for each of the LDZs (Local Distribution Zones) for a single gas day, the sum of all LDZ forecast demand and the forecast of NTS throughput. The report is updated at a number of stages through the gas day in line with UNC requirements for within day and D-1 demand forecasts.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 xml:space="preserve">Multiple times a day in line with demand forecasts. </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Nomination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provides Nomination data at intervals for Day Ahead Nomination at 17:00, Within Day at Re-nominations at 06:00, 12:00, 18:00, 24:00 and EOD Final at 06:00 D+1. Data is provided at Total Aggregate level for Entry and Exit, at aggregated level per site type and for some site types given at site level also. Note: Some points have been excluded at site type level due to the Ofgem Consultation on relevant points. This is subject to review.</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lastRenderedPageBreak/>
              <w:t xml:space="preserve">Daily (at intervals for Day Ahead Nomination at 17:00, Within Day at Re-nominations at 06:00, 12:00, 18:00, 24:00 and EOD Final at </w:t>
            </w:r>
            <w:r>
              <w:rPr>
                <w:rFonts w:ascii="Arial" w:hAnsi="Arial" w:cs="Arial"/>
                <w:sz w:val="16"/>
                <w:szCs w:val="16"/>
              </w:rPr>
              <w:lastRenderedPageBreak/>
              <w:t>06:00 D+1)</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lastRenderedPageBreak/>
              <w:t>System Nomination Balance (NB05)</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aggregate Shipper Nomination Imbalance for a given gas day. The report is published hourly from midnight at the day ahead through to 03:00 on the gas day.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Hourly (from midnight at the day ahead through to 03:00 on the gas day)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System Status Information (NB92)</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shows for a single Gas Day the Opening Linepack, two projected Closing Linepack figures (PCLP1 - derived from DFNs and PCLP2 - derived from INS noms), and forecast NTS Demand. The report is published hourly from midnight at the day ahead stage through to 0300 on the gas day.</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Hourly (from midnight at the day ahead through to 03:00 on the gas day)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9242" w:type="dxa"/>
            <w:gridSpan w:val="4"/>
            <w:shd w:val="clear" w:color="auto" w:fill="CCECFF"/>
          </w:tcPr>
          <w:p w:rsidR="00B533E7" w:rsidRPr="00CA5066" w:rsidRDefault="00B533E7" w:rsidP="00B533E7">
            <w:pPr>
              <w:rPr>
                <w:rFonts w:cstheme="minorHAnsi"/>
                <w:b/>
                <w:color w:val="0070C0"/>
              </w:rPr>
            </w:pPr>
            <w:r w:rsidRPr="00CA5066">
              <w:rPr>
                <w:rFonts w:cstheme="minorHAnsi"/>
                <w:b/>
                <w:color w:val="0070C0"/>
              </w:rPr>
              <w:t>After Day</w:t>
            </w: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Actual Composite Weather Variables (SISR02)</w:t>
            </w: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shows the Local Distribution Zone (LDZ) Actual Composite Weather Variables (CWV). CWV is a weather variable created from 2-hourly temperatures and 4-hourly wind speeds transformed to produce a linear relationship with LDZ demand. The benefits of these are 1. Improves the fit of weather/demand models. 2. Historical weather can be used to estimate what demand would have been at current levels of connected load. 3. Linear relationship with LDZ demand greatly simplifies demand models. Frequency: D+1 </w:t>
            </w:r>
          </w:p>
        </w:tc>
        <w:tc>
          <w:tcPr>
            <w:tcW w:w="1498" w:type="dxa"/>
          </w:tcPr>
          <w:p w:rsidR="00B533E7" w:rsidRDefault="00B533E7" w:rsidP="00B533E7">
            <w:pPr>
              <w:rPr>
                <w:rFonts w:ascii="Arial" w:hAnsi="Arial" w:cs="Arial"/>
                <w:sz w:val="16"/>
                <w:szCs w:val="16"/>
              </w:rPr>
            </w:pPr>
            <w:r>
              <w:rPr>
                <w:rFonts w:ascii="Arial" w:hAnsi="Arial" w:cs="Arial"/>
                <w:sz w:val="16"/>
                <w:szCs w:val="16"/>
              </w:rPr>
              <w:t>Daily (D+1)</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Actual Demands (SISR04)</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shows the Actual Commercial Demands for each of the LDZs for a single Gas Day, the sum of all LDZ demand, and the actual throughput for the NTS (this figure includes all LDZs, Storage Injections, Interconnectors and NTS direct feed VLDMC demands). Total NTS demand excludes linepack change and shrinkage. Initial Information updated at D+1 with final closed out data at D+6. All updates are published at approximately 12:00. </w:t>
            </w:r>
          </w:p>
        </w:tc>
        <w:tc>
          <w:tcPr>
            <w:tcW w:w="1498" w:type="dxa"/>
          </w:tcPr>
          <w:p w:rsidR="00B533E7" w:rsidRDefault="00B533E7" w:rsidP="00B533E7">
            <w:pPr>
              <w:rPr>
                <w:rFonts w:ascii="Arial" w:hAnsi="Arial" w:cs="Arial"/>
                <w:sz w:val="16"/>
                <w:szCs w:val="16"/>
              </w:rPr>
            </w:pPr>
            <w:r>
              <w:rPr>
                <w:rFonts w:ascii="Arial" w:hAnsi="Arial" w:cs="Arial"/>
                <w:sz w:val="16"/>
                <w:szCs w:val="16"/>
              </w:rPr>
              <w:t>Daily (D+1 at approx.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Actual Offtake Flows (AOF)</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is for publication of the previous day`s total physical flows from the NTS by individual NTS Exit Point. This includes each individual storage site, power station, interconnector, NTS connected industrial load and individual NTS exit points into each LDZ. Total physical output excludes linepack change and shrinkage. This report will be updated at D+1. The volume data is published at 11:00 and the cv and energy published at 12.30. </w:t>
            </w:r>
          </w:p>
        </w:tc>
        <w:tc>
          <w:tcPr>
            <w:tcW w:w="1498" w:type="dxa"/>
          </w:tcPr>
          <w:p w:rsidR="00B533E7" w:rsidRDefault="00B533E7" w:rsidP="00B533E7">
            <w:pPr>
              <w:rPr>
                <w:rFonts w:ascii="Arial" w:hAnsi="Arial" w:cs="Arial"/>
                <w:sz w:val="16"/>
                <w:szCs w:val="16"/>
              </w:rPr>
            </w:pPr>
            <w:r>
              <w:rPr>
                <w:rFonts w:ascii="Arial" w:hAnsi="Arial" w:cs="Arial"/>
                <w:sz w:val="16"/>
                <w:szCs w:val="16"/>
              </w:rPr>
              <w:t>Daily (D+1. The volume data is published at 11:00 and the cv and energy published at 12.30)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Aggregate Allocation Report</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The allocations report shows allocations aggregated by Entry and Exit and also by Site Type at D+2 (initial) and then updated at M+7 for Exit data items and M+15 for Entry data items to show the Final allocation. The report is published at 22:45 hours. </w:t>
            </w:r>
          </w:p>
        </w:tc>
        <w:tc>
          <w:tcPr>
            <w:tcW w:w="1498" w:type="dxa"/>
          </w:tcPr>
          <w:p w:rsidR="00B533E7" w:rsidRDefault="00B533E7" w:rsidP="00B533E7">
            <w:pPr>
              <w:rPr>
                <w:rFonts w:ascii="Arial" w:hAnsi="Arial" w:cs="Arial"/>
                <w:sz w:val="16"/>
                <w:szCs w:val="16"/>
              </w:rPr>
            </w:pPr>
            <w:r>
              <w:rPr>
                <w:rFonts w:ascii="Arial" w:hAnsi="Arial" w:cs="Arial"/>
                <w:sz w:val="16"/>
                <w:szCs w:val="16"/>
              </w:rPr>
              <w:t>Daily (D+2 at 22:45 and M+7)</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Calorific Value Report</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is for the publication of the previous day's Calorific value data.This report will be updated at D+1.This report is published at 10:30. </w:t>
            </w:r>
          </w:p>
        </w:tc>
        <w:tc>
          <w:tcPr>
            <w:tcW w:w="1498" w:type="dxa"/>
          </w:tcPr>
          <w:p w:rsidR="00B533E7" w:rsidRDefault="00B533E7" w:rsidP="00B533E7">
            <w:pPr>
              <w:rPr>
                <w:rFonts w:ascii="Arial" w:hAnsi="Arial" w:cs="Arial"/>
                <w:sz w:val="16"/>
                <w:szCs w:val="16"/>
              </w:rPr>
            </w:pPr>
            <w:r>
              <w:rPr>
                <w:rFonts w:ascii="Arial" w:hAnsi="Arial" w:cs="Arial"/>
                <w:sz w:val="16"/>
                <w:szCs w:val="16"/>
              </w:rPr>
              <w:t>Daily (D+1 at 10:30)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Demand Analysis LDZ DM and NDM (NORM06)</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shows the Daily Metered (DM) and Non Daily Metered (NDM) Demand in kWh for each of the 13 Local Distribution Zones (LDZs), published at D+1, pre-closeout and D+6, post closeout. </w:t>
            </w:r>
          </w:p>
        </w:tc>
        <w:tc>
          <w:tcPr>
            <w:tcW w:w="1498" w:type="dxa"/>
          </w:tcPr>
          <w:p w:rsidR="00B533E7" w:rsidRDefault="00B533E7" w:rsidP="00B533E7">
            <w:pPr>
              <w:rPr>
                <w:rFonts w:ascii="Arial" w:hAnsi="Arial" w:cs="Arial"/>
                <w:sz w:val="16"/>
                <w:szCs w:val="16"/>
              </w:rPr>
            </w:pPr>
            <w:r>
              <w:rPr>
                <w:rFonts w:ascii="Arial" w:hAnsi="Arial" w:cs="Arial"/>
                <w:sz w:val="16"/>
                <w:szCs w:val="16"/>
              </w:rPr>
              <w:t>Daily (D+1 and D+6)</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Gas Trading Report (NORD06)</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shows NBP Trades reported to National Grid through ATLink Trade nominations. It shows the number of confirmed trades and the total energy traded. Also provided are details of the average, high and low amounts of gas traded. A summary of Non-Matching trades gives an indication of the overall intended trading position. It is recognised that trade nominations may not reflect all individual trades as netting off may occur. Information updated at D+1. All updates are published at approximately 12:00. </w:t>
            </w:r>
          </w:p>
        </w:tc>
        <w:tc>
          <w:tcPr>
            <w:tcW w:w="1498" w:type="dxa"/>
          </w:tcPr>
          <w:p w:rsidR="00B533E7" w:rsidRDefault="00B533E7" w:rsidP="00B533E7">
            <w:pPr>
              <w:rPr>
                <w:rFonts w:ascii="Arial" w:hAnsi="Arial" w:cs="Arial"/>
                <w:sz w:val="16"/>
                <w:szCs w:val="16"/>
              </w:rPr>
            </w:pPr>
            <w:r>
              <w:rPr>
                <w:rFonts w:ascii="Arial" w:hAnsi="Arial" w:cs="Arial"/>
                <w:sz w:val="16"/>
                <w:szCs w:val="16"/>
              </w:rPr>
              <w:t>Daily (D+1)</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NTS Commercial Entry End Of Day (NTSEOD)</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The Report provides information that indicates that the End of Day (EOD) quantity of gas that has commercially flowed through an NTS system entry point on a specific Gas Day . The Report indicates aggregate entry nominations onto the NTS, and may not reflect the actual physical flow of gas onto the NTS, as it does not take into </w:t>
            </w:r>
            <w:r>
              <w:rPr>
                <w:rFonts w:ascii="Arial" w:hAnsi="Arial" w:cs="Arial"/>
                <w:sz w:val="16"/>
                <w:szCs w:val="16"/>
              </w:rPr>
              <w:lastRenderedPageBreak/>
              <w:t xml:space="preserve">account any Exit Nominations at sites where there is potential for 2 way flow (storage sites and interconnectors). The report is updated at D+2. The report is published at approximately 12:00. </w:t>
            </w:r>
          </w:p>
        </w:tc>
        <w:tc>
          <w:tcPr>
            <w:tcW w:w="1498" w:type="dxa"/>
          </w:tcPr>
          <w:p w:rsidR="00B533E7" w:rsidRDefault="00B533E7" w:rsidP="00B533E7">
            <w:pPr>
              <w:rPr>
                <w:rFonts w:ascii="Arial" w:hAnsi="Arial" w:cs="Arial"/>
                <w:sz w:val="16"/>
                <w:szCs w:val="16"/>
              </w:rPr>
            </w:pPr>
            <w:r>
              <w:rPr>
                <w:rFonts w:ascii="Arial" w:hAnsi="Arial" w:cs="Arial"/>
                <w:sz w:val="16"/>
                <w:szCs w:val="16"/>
              </w:rPr>
              <w:lastRenderedPageBreak/>
              <w:t>Daily (D+1 at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lastRenderedPageBreak/>
              <w:t>NTS Exit Flex Utilisation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NTS Exit Flex Utilisation Report provides the Zonal Offtake:06:00 to 22:00 in mscm, End of Day Zonal Offtake in mscm and Zonal Flex Utilization in mscm for Measured at D+1 and Measured at D+6.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and D+6)</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NTS Linepack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NTS Linepack Report provides the information of NTS Linepack by Linepack Area for the Gas Day Measured at D+1 and NTS Linepack by Linepack Area for the Gas Day Measured at D+6.</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and D+6)</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NTS Physical Entry End Of Day (NTSEOD)</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provides System Entry Energy in kWh, System Entry Volume in mscm and System Entry Calorific values(CV) in MJ/scm for the corresponding System Entries.</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NTS Shrinkage - Gas Procurement and Disposal</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details the activity undertaken by National Grid in its role as the NTS Shrinkage Provider to procure and/or dispose of gas in the market(s) in order to meet its License and Network Code obligations in respect of NTS Shrinkage gas requirements. Report is a weekly report (publishing data for Sunday to Saturday) and is updated daily with the latest D+5 data, and published at approximately 11:15am.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 xml:space="preserve">Daily with the latest D+5 data, at approximately 11:15am. </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Operational Summary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is for the publication of the previous day's Operational Summary data. This report is published at 16:15.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16:15)</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Price Information History (OC46)</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System Average Price (SAP), System Marginal Price (Buy)(SMP Buy) and the System Marginal Price (Sell)(SMP Sell) values at each hour through a given Gas Day. The averages are up to that point in the day. The report is updated at D+1 and published at approximately 12:00.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Storage and LNG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The Storage and LNG report shows aggregated storage values and LNG values at D+1. This report is published at 16:00. For detailed definitions please see the supplementary Help file for this report.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16:00)</w:t>
            </w:r>
          </w:p>
          <w:p w:rsidR="00B533E7" w:rsidRPr="00C43C65"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UK Wholesale Gas Market Liquidity Data</w:t>
            </w:r>
          </w:p>
          <w:p w:rsidR="00B533E7" w:rsidRDefault="00B533E7" w:rsidP="00B533E7">
            <w:pPr>
              <w:rPr>
                <w:rFonts w:ascii="Arial" w:hAnsi="Arial" w:cs="Arial"/>
                <w:sz w:val="16"/>
                <w:szCs w:val="16"/>
              </w:rPr>
            </w:pPr>
          </w:p>
        </w:tc>
        <w:tc>
          <w:tcPr>
            <w:tcW w:w="4313" w:type="dxa"/>
          </w:tcPr>
          <w:p w:rsidR="00B533E7" w:rsidRPr="00C43C65" w:rsidRDefault="00B533E7" w:rsidP="00B533E7">
            <w:pPr>
              <w:rPr>
                <w:rFonts w:ascii="Arial" w:hAnsi="Arial" w:cs="Arial"/>
                <w:sz w:val="16"/>
                <w:szCs w:val="16"/>
              </w:rPr>
            </w:pPr>
            <w:r>
              <w:rPr>
                <w:rFonts w:ascii="Arial" w:hAnsi="Arial" w:cs="Arial"/>
                <w:sz w:val="16"/>
                <w:szCs w:val="16"/>
              </w:rPr>
              <w:t xml:space="preserve">This report shows the total energy of gas trades by shippers on and before the relevant Gas Day, the total number of trades made in respect of each gas day, the number of trading parties, and the level of physical flows into the NTS via total daily input nominations. It is published Daily. Frequency: D+1 </w:t>
            </w:r>
          </w:p>
        </w:tc>
        <w:tc>
          <w:tcPr>
            <w:tcW w:w="1498" w:type="dxa"/>
          </w:tcPr>
          <w:p w:rsidR="00B533E7" w:rsidRDefault="00B533E7" w:rsidP="00B533E7">
            <w:pPr>
              <w:rPr>
                <w:rFonts w:ascii="Arial" w:hAnsi="Arial" w:cs="Arial"/>
                <w:sz w:val="16"/>
                <w:szCs w:val="16"/>
              </w:rPr>
            </w:pPr>
            <w:r>
              <w:rPr>
                <w:rFonts w:ascii="Arial" w:hAnsi="Arial" w:cs="Arial"/>
                <w:sz w:val="16"/>
                <w:szCs w:val="16"/>
              </w:rPr>
              <w:t>Daily (D+1)</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Use of Balancing Tools (NORM01)</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details on a daily basis, the Constrained LNG (the injection and withdrawal of gas at LNG points for balancing purposes) and the change in Linepack in kWh; this figure is calculated for each day using the average NTS Calorific Value (CV) figure.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Weather Correction Factors / Scaling Factors (DA10)</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Weather Correction Factor and Scaling Factor values, (both Forecast and Allocated), in each LDZ (Local Distribution Zone) for the given Gas Day. Report is initially published on D+1 (the day after the gas day), and updated daily up to D+6. The report is published at approximately 12:00.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9242" w:type="dxa"/>
            <w:gridSpan w:val="4"/>
            <w:shd w:val="clear" w:color="auto" w:fill="CCECFF"/>
          </w:tcPr>
          <w:p w:rsidR="00B533E7" w:rsidRPr="00CA5066" w:rsidRDefault="00B533E7" w:rsidP="00B533E7">
            <w:pPr>
              <w:rPr>
                <w:b/>
                <w:color w:val="0070C0"/>
              </w:rPr>
            </w:pPr>
            <w:r w:rsidRPr="00CA5066">
              <w:rPr>
                <w:rFonts w:cstheme="minorHAnsi"/>
                <w:b/>
                <w:color w:val="0070C0"/>
              </w:rPr>
              <w:t>Daily Balance Report</w:t>
            </w: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Cashout Balancing Prices (NORD01a)</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total Nominated and Actual inputs and outputs to/from the system; a summary of Balancing Actions used, Supply, Demand and Linepack details and a Price Summary. The Nominations balance is updated at D+2, the Allocations balance is updated at D+7. All other information is updated at D+1. All updates are published </w:t>
            </w:r>
            <w:r>
              <w:rPr>
                <w:rFonts w:ascii="Arial" w:hAnsi="Arial" w:cs="Arial"/>
                <w:sz w:val="16"/>
                <w:szCs w:val="16"/>
              </w:rPr>
              <w:lastRenderedPageBreak/>
              <w:t>at approximately 12:00</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lastRenderedPageBreak/>
              <w:t>Daily (D+1 at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lastRenderedPageBreak/>
              <w:t>Daily Balance Report (NORD01b)</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total Nominated and Actual inputs and outputs to/from the system; a summary of Balancing Actions used, Supply, Demand and Linepack details and a Price Summary. The Nominations balance is updated at D+2, the Allocations balance is updated at D+7. All other information is updated at D+1. All updates are published at approximately 12:00.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Daily Operation Information (NORD01c)</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total Nominated and Actual inputs and outputs to/from the system; a summary of Balancing Actions used, Supply, Demand and Linepack details and a Price Summary. The Nominations balance is updated at D+2, the Allocations balance is updated at D+7. All other information is updated at D+1. All updates are published at approximately 12:00. *** Due to Modification 090 LDZ information will no longer be published from 1st October 2011. ***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(The Nominations balance is updated at D+2, the Allocations balance is updated at D+7. All other information is updated at D+1. All updates are published at approximately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9242" w:type="dxa"/>
            <w:gridSpan w:val="4"/>
            <w:shd w:val="clear" w:color="auto" w:fill="3399FF"/>
          </w:tcPr>
          <w:p w:rsidR="00B533E7" w:rsidRPr="00CA5066" w:rsidRDefault="00B533E7" w:rsidP="00B533E7">
            <w:pPr>
              <w:rPr>
                <w:b/>
                <w:color w:val="FFFFFF" w:themeColor="background1"/>
              </w:rPr>
            </w:pPr>
            <w:r w:rsidRPr="00CA5066">
              <w:rPr>
                <w:rFonts w:cstheme="minorHAnsi"/>
                <w:b/>
                <w:color w:val="FFFFFF" w:themeColor="background1"/>
              </w:rPr>
              <w:t>Energy – Monthly Reports</w:t>
            </w: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Aggregate Financial Position (NORM04)</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on a monthly basis the Imbalance Payment / Charge figures in £s, the Scheduling Charge (also in £s), split into Entry, Exit and DMA, the net OCM Balancing Costs (also in £s), the PRI (Physical Renomination Incentive) Charge (also in £s), and the Net Total of all of these (also expressed in £s). Frequency: Monthly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Monthly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Storage Withdrawals And Injections Allocations (NORM12)</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provides aggregated figures showing the amount of gas injected from the Total System into all Storage Facilities; and the amount of gas withdrawn from Storage Facilities into the NTS in a day excluding Boil off. It is provided at approximately 16:30, M+30. Frequency: Monthly</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Monthly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Total Shrinkage Figures Report (NORM13)</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daily Forecast Shrinkage, Actual Shrinkage, Assessed Shrinkage, and Assessed NTS Shrinkage values. The report is shown on a monthly basis and is published at M+16. Frequency: Monthly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Monthly</w:t>
            </w:r>
          </w:p>
          <w:p w:rsidR="00B533E7" w:rsidRDefault="00B533E7" w:rsidP="00B533E7"/>
        </w:tc>
        <w:tc>
          <w:tcPr>
            <w:tcW w:w="1763" w:type="dxa"/>
          </w:tcPr>
          <w:p w:rsidR="00B533E7" w:rsidRDefault="00B533E7" w:rsidP="00B533E7">
            <w:pPr>
              <w:rPr>
                <w:rFonts w:ascii="Arial" w:hAnsi="Arial" w:cs="Arial"/>
                <w:sz w:val="16"/>
                <w:szCs w:val="16"/>
              </w:rPr>
            </w:pPr>
          </w:p>
        </w:tc>
      </w:tr>
    </w:tbl>
    <w:p w:rsidR="00B533E7" w:rsidRDefault="00B533E7" w:rsidP="00B533E7"/>
    <w:p w:rsidR="00B533E7" w:rsidRDefault="00B533E7" w:rsidP="00B533E7"/>
    <w:p w:rsidR="00B533E7" w:rsidRDefault="00B533E7" w:rsidP="00B533E7">
      <w:pPr>
        <w:rPr>
          <w:b/>
        </w:rPr>
      </w:pPr>
    </w:p>
    <w:p w:rsidR="00B533E7" w:rsidRDefault="00B533E7" w:rsidP="00B533E7">
      <w:pPr>
        <w:rPr>
          <w:b/>
        </w:rPr>
      </w:pPr>
    </w:p>
    <w:p w:rsidR="00B533E7" w:rsidRDefault="00B533E7" w:rsidP="00B533E7">
      <w:pPr>
        <w:rPr>
          <w:b/>
        </w:rPr>
      </w:pPr>
    </w:p>
    <w:p w:rsidR="00B533E7" w:rsidRDefault="00B533E7" w:rsidP="00B533E7">
      <w:pPr>
        <w:rPr>
          <w:b/>
        </w:rPr>
      </w:pPr>
    </w:p>
    <w:p w:rsidR="00B533E7" w:rsidRDefault="00B533E7" w:rsidP="00B533E7">
      <w:pPr>
        <w:rPr>
          <w:b/>
        </w:rPr>
      </w:pPr>
    </w:p>
    <w:p w:rsidR="00B533E7" w:rsidRDefault="00B533E7" w:rsidP="00B533E7">
      <w:pPr>
        <w:rPr>
          <w:b/>
        </w:rPr>
      </w:pPr>
    </w:p>
    <w:p w:rsidR="00B533E7" w:rsidRDefault="00B533E7" w:rsidP="00B533E7">
      <w:pPr>
        <w:rPr>
          <w:b/>
        </w:rPr>
      </w:pPr>
    </w:p>
    <w:p w:rsidR="00B533E7" w:rsidRDefault="00B533E7" w:rsidP="00B533E7">
      <w:r>
        <w:rPr>
          <w:b/>
        </w:rPr>
        <w:lastRenderedPageBreak/>
        <w:t>Appendix 2</w:t>
      </w:r>
      <w:r w:rsidRPr="008C5D04">
        <w:rPr>
          <w:b/>
        </w:rPr>
        <w:t xml:space="preserve">: </w:t>
      </w:r>
      <w:r>
        <w:rPr>
          <w:b/>
        </w:rPr>
        <w:t>Wider i</w:t>
      </w:r>
      <w:r w:rsidRPr="008C5D04">
        <w:rPr>
          <w:b/>
        </w:rPr>
        <w:t xml:space="preserve">nformation </w:t>
      </w:r>
      <w:r>
        <w:rPr>
          <w:b/>
        </w:rPr>
        <w:t xml:space="preserve">currently published </w:t>
      </w:r>
    </w:p>
    <w:tbl>
      <w:tblPr>
        <w:tblStyle w:val="TableGrid"/>
        <w:tblW w:w="0" w:type="auto"/>
        <w:tblLook w:val="04A0" w:firstRow="1" w:lastRow="0" w:firstColumn="1" w:lastColumn="0" w:noHBand="0" w:noVBand="1"/>
      </w:tblPr>
      <w:tblGrid>
        <w:gridCol w:w="1668"/>
        <w:gridCol w:w="4313"/>
        <w:gridCol w:w="1498"/>
        <w:gridCol w:w="1763"/>
      </w:tblGrid>
      <w:tr w:rsidR="00B533E7" w:rsidTr="00B533E7">
        <w:tc>
          <w:tcPr>
            <w:tcW w:w="1668" w:type="dxa"/>
            <w:shd w:val="clear" w:color="auto" w:fill="0070C0"/>
          </w:tcPr>
          <w:p w:rsidR="00B533E7" w:rsidRPr="00CA5066" w:rsidRDefault="00B533E7" w:rsidP="00B533E7">
            <w:pPr>
              <w:rPr>
                <w:b/>
                <w:color w:val="FFFFFF" w:themeColor="background1"/>
                <w:sz w:val="24"/>
                <w:szCs w:val="24"/>
              </w:rPr>
            </w:pPr>
            <w:r w:rsidRPr="00CA5066">
              <w:rPr>
                <w:b/>
                <w:color w:val="FFFFFF" w:themeColor="background1"/>
                <w:sz w:val="24"/>
                <w:szCs w:val="24"/>
              </w:rPr>
              <w:t>Report Name</w:t>
            </w:r>
          </w:p>
        </w:tc>
        <w:tc>
          <w:tcPr>
            <w:tcW w:w="4313" w:type="dxa"/>
            <w:shd w:val="clear" w:color="auto" w:fill="0070C0"/>
          </w:tcPr>
          <w:p w:rsidR="00B533E7" w:rsidRPr="00CA5066" w:rsidRDefault="00B533E7" w:rsidP="00B533E7">
            <w:pPr>
              <w:rPr>
                <w:b/>
                <w:color w:val="FFFFFF" w:themeColor="background1"/>
                <w:sz w:val="24"/>
                <w:szCs w:val="24"/>
              </w:rPr>
            </w:pPr>
            <w:r w:rsidRPr="00CA5066">
              <w:rPr>
                <w:b/>
                <w:color w:val="FFFFFF" w:themeColor="background1"/>
                <w:sz w:val="24"/>
                <w:szCs w:val="24"/>
              </w:rPr>
              <w:t>Summary</w:t>
            </w:r>
          </w:p>
        </w:tc>
        <w:tc>
          <w:tcPr>
            <w:tcW w:w="1498" w:type="dxa"/>
            <w:shd w:val="clear" w:color="auto" w:fill="0070C0"/>
          </w:tcPr>
          <w:p w:rsidR="00B533E7" w:rsidRPr="00CA5066" w:rsidRDefault="00B533E7" w:rsidP="00B533E7">
            <w:pPr>
              <w:rPr>
                <w:b/>
                <w:color w:val="FFFFFF" w:themeColor="background1"/>
                <w:sz w:val="24"/>
                <w:szCs w:val="24"/>
              </w:rPr>
            </w:pPr>
            <w:r w:rsidRPr="00CA5066">
              <w:rPr>
                <w:b/>
                <w:color w:val="FFFFFF" w:themeColor="background1"/>
                <w:sz w:val="24"/>
                <w:szCs w:val="24"/>
              </w:rPr>
              <w:t>Publication frequency</w:t>
            </w:r>
          </w:p>
        </w:tc>
        <w:tc>
          <w:tcPr>
            <w:tcW w:w="1763" w:type="dxa"/>
            <w:shd w:val="clear" w:color="auto" w:fill="0070C0"/>
          </w:tcPr>
          <w:p w:rsidR="00B533E7" w:rsidRPr="00CA5066" w:rsidRDefault="00B533E7" w:rsidP="00B533E7">
            <w:pPr>
              <w:rPr>
                <w:b/>
                <w:color w:val="FFFFFF" w:themeColor="background1"/>
                <w:sz w:val="24"/>
                <w:szCs w:val="24"/>
              </w:rPr>
            </w:pPr>
            <w:r>
              <w:rPr>
                <w:b/>
                <w:color w:val="FFFFFF" w:themeColor="background1"/>
                <w:sz w:val="24"/>
                <w:szCs w:val="24"/>
              </w:rPr>
              <w:t>Have you used in the last 12 months?</w:t>
            </w:r>
          </w:p>
        </w:tc>
      </w:tr>
      <w:tr w:rsidR="00B533E7" w:rsidTr="00B533E7">
        <w:tc>
          <w:tcPr>
            <w:tcW w:w="9242" w:type="dxa"/>
            <w:gridSpan w:val="4"/>
            <w:shd w:val="clear" w:color="auto" w:fill="3399FF"/>
          </w:tcPr>
          <w:p w:rsidR="00B533E7" w:rsidRPr="004A6F58" w:rsidRDefault="00B533E7" w:rsidP="00B533E7">
            <w:pPr>
              <w:rPr>
                <w:b/>
              </w:rPr>
            </w:pPr>
            <w:r w:rsidRPr="004A6F58">
              <w:rPr>
                <w:b/>
                <w:color w:val="FFFFFF" w:themeColor="background1"/>
              </w:rPr>
              <w:t xml:space="preserve">Entry Capacity </w:t>
            </w:r>
            <w:r>
              <w:rPr>
                <w:b/>
                <w:color w:val="FFFFFF" w:themeColor="background1"/>
              </w:rPr>
              <w:t xml:space="preserve"> - Daily Reports </w:t>
            </w:r>
          </w:p>
        </w:tc>
      </w:tr>
      <w:tr w:rsidR="00B533E7" w:rsidTr="00B533E7">
        <w:tc>
          <w:tcPr>
            <w:tcW w:w="9242" w:type="dxa"/>
            <w:gridSpan w:val="4"/>
            <w:shd w:val="clear" w:color="auto" w:fill="CCECFF"/>
          </w:tcPr>
          <w:p w:rsidR="00B533E7" w:rsidRPr="004A6F58" w:rsidRDefault="00B533E7" w:rsidP="00B533E7">
            <w:pPr>
              <w:rPr>
                <w:b/>
                <w:color w:val="0070C0"/>
              </w:rPr>
            </w:pPr>
            <w:r w:rsidRPr="004A6F58">
              <w:rPr>
                <w:b/>
                <w:color w:val="0070C0"/>
              </w:rPr>
              <w:t>Within Day</w:t>
            </w: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Daily Auctions Summary Report (Within Day)</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provides a summary features of daily capacity auctions including highest and lowest accepted bids, average price, number of bids and total volume of capacity sold. Provided at hourly intervals between 01:00 - 23:00, D. Frequency: Hourly</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Hourly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9242" w:type="dxa"/>
            <w:gridSpan w:val="4"/>
            <w:shd w:val="clear" w:color="auto" w:fill="CCECFF"/>
          </w:tcPr>
          <w:p w:rsidR="00B533E7" w:rsidRPr="004A6F58" w:rsidRDefault="00B533E7" w:rsidP="00B533E7">
            <w:pPr>
              <w:rPr>
                <w:b/>
              </w:rPr>
            </w:pPr>
            <w:r w:rsidRPr="004A6F58">
              <w:rPr>
                <w:b/>
                <w:color w:val="0070C0"/>
              </w:rPr>
              <w:t>After Day</w:t>
            </w: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Capacity Availability Report (NORD07)</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Entry Capacity is defined in Network Code Section B. This Report gives a tabular indication of the capacity available and capacity booked across all ASEPs (Aggregated System Entry Points). Storage installations have been shown at aggregate level. Also provided are details of the Buy Back and Scale Back volumes. The Report also gives the various prices from the daily capacity auctions in a tabular format.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Entry Capacity Trading Analysis (NORM26)</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shows the amount of days for which capacity trades were made. This is split by capacity trade type. This report is published at D+2. Frequency: Daily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Long Term Capacity Auctions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shows the Long Term Capacity sold values at an individual method of sale or auction type for each Aggregate System Entry Point (ASEP). This is published with daily values.</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Monthly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Future Entry Capacity Traded (NORD03a)</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gives a tabular indication of entry capacity trading activity at the terminal and aggregate storage entry points. Trading for today is distinguished from trading for the future. Graphs of future capacity traded (Terminal and aggregate Storage) and the levels of Entry Capacity Booked (Terminals and aggregate Storage for the day) are provided for context. For storage installations this report shows only the total system entry capacity booked at the Storage Facilities and not space available or deliverability at the Storage Facilities. The report is updated at D+1. The report is published at approximately 12:00.</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approximately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Future Entry Capacity Traded - Capacity (NORD03b)</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This Report gives a tabular indication of entry capacity trading activity at the terminal and aggregate storage entry points. Trading for today is distinguished from trading for the future. Graphs of future capacity traded (Terminal and aggregate Storage) and the levels of Entry Capacity Booked (Terminals and aggregate Storage for the day) are provided for context. For storage installations this report shows only the total system entry capacity booked at the Storage Facilities and not space available or deliverability at the Storage Facilities. The report is updated at D+1. The report is published at approximately 12:00.</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approximately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Future Entry Capacity Traded - Transactions (NORD03c)</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gives a tabular indication of entry capacity trading activity at the terminal and aggregate storage entry points. Trading for today is distinguished from trading for the future. Graphs of future capacity traded (Terminal and aggregate Storage) and the levels of Entry Capacity Booked (Terminals and aggregate Storage for the day) are provided for context. For storage installations this report shows only the total system entry capacity booked at the Storage Facilities and not space available or deliverability at the Storage Facilities. The report is </w:t>
            </w:r>
            <w:r>
              <w:rPr>
                <w:rFonts w:ascii="Arial" w:hAnsi="Arial" w:cs="Arial"/>
                <w:sz w:val="16"/>
                <w:szCs w:val="16"/>
              </w:rPr>
              <w:lastRenderedPageBreak/>
              <w:t>updated at D+1. The report is published at approximately 12:00.</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lastRenderedPageBreak/>
              <w:t>Daily (D+1 at approximately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lastRenderedPageBreak/>
              <w:t>Within Day Entry Capacity Traded - Transactions (NORD03d)</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gives a tabular indication of entry capacity trading activity at the terminal and aggregate storage entry points. Trading for today is distinguished from trading for the future. Graphs of future capacity traded (Terminal and aggregate Storage) and the levels of Entry Capacity Booked (Terminals and aggregate Storage for the day) are provided for context. For storage installations this report shows only the total system entry capacity booked at the Storage Facilities and not space available or deliverability at the Storage Facilities. The report is updated at D+1. The report is published at approximately 12:00.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approximately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Within Day Entry Capacity Traded - Capacity (NORD03e)</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gives a tabular indication of entry capacity trading activity at the terminal and aggregate storage entry points. Trading for today is distinguished from trading for the future. Graphs of future capacity traded (Terminal and aggregate Storage) and the levels of Entry Capacity Booked (Terminals and aggregate Storage for the day) are provided for context. For storage installations this report shows only the total system entry capacity booked at the Storage Facilities and not space available or deliverability at the Storage Facilities. The report is updated at D+1. The report is published at approximately 12:00.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 (D+1 at approximately 12:00)</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9242" w:type="dxa"/>
            <w:gridSpan w:val="4"/>
            <w:shd w:val="clear" w:color="auto" w:fill="3399FF"/>
          </w:tcPr>
          <w:p w:rsidR="00B533E7" w:rsidRPr="004A6F58" w:rsidRDefault="00B533E7" w:rsidP="00B533E7">
            <w:pPr>
              <w:rPr>
                <w:b/>
                <w:color w:val="FFFFFF" w:themeColor="background1"/>
              </w:rPr>
            </w:pPr>
            <w:r w:rsidRPr="004A6F58">
              <w:rPr>
                <w:b/>
                <w:color w:val="FFFFFF" w:themeColor="background1"/>
              </w:rPr>
              <w:t xml:space="preserve">Exit Capacity – Daily reports </w:t>
            </w:r>
          </w:p>
        </w:tc>
      </w:tr>
      <w:tr w:rsidR="00B533E7" w:rsidTr="00B533E7">
        <w:tc>
          <w:tcPr>
            <w:tcW w:w="9242" w:type="dxa"/>
            <w:gridSpan w:val="4"/>
            <w:shd w:val="clear" w:color="auto" w:fill="CCECFF"/>
          </w:tcPr>
          <w:p w:rsidR="00B533E7" w:rsidRPr="004A6F58" w:rsidRDefault="00B533E7" w:rsidP="00B533E7">
            <w:pPr>
              <w:rPr>
                <w:b/>
                <w:color w:val="0070C0"/>
              </w:rPr>
            </w:pPr>
            <w:r>
              <w:rPr>
                <w:b/>
                <w:color w:val="0070C0"/>
              </w:rPr>
              <w:t>Within Day</w:t>
            </w: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Exit Capacity Constraint Report (Prompt Buyback and Offtake Flow Reduction)</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Prompt Buyback Table gives a tabular indication of any capacity buyback actions at a system exit point. Offtake Flow Reduction Table contains information relating to offtake flow reductions.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Exit Capacity Constraint Report (Scaleback and Restoration)</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gives a tabular indication of the Scaleback/Restoration across all system exit points.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Exit Capacity Daily Price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This report gives an indication of the various prices paid for exit capacity across all system exit points.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Daily</w:t>
            </w:r>
          </w:p>
          <w:p w:rsidR="00B533E7" w:rsidRDefault="00B533E7" w:rsidP="00B533E7"/>
        </w:tc>
        <w:tc>
          <w:tcPr>
            <w:tcW w:w="1763" w:type="dxa"/>
          </w:tcPr>
          <w:p w:rsidR="00B533E7" w:rsidRDefault="00B533E7" w:rsidP="00B533E7">
            <w:pPr>
              <w:rPr>
                <w:rFonts w:ascii="Arial" w:hAnsi="Arial" w:cs="Arial"/>
                <w:sz w:val="16"/>
                <w:szCs w:val="16"/>
              </w:rPr>
            </w:pPr>
          </w:p>
        </w:tc>
      </w:tr>
      <w:tr w:rsidR="00B533E7" w:rsidTr="00B533E7">
        <w:tc>
          <w:tcPr>
            <w:tcW w:w="1668" w:type="dxa"/>
          </w:tcPr>
          <w:p w:rsidR="00B533E7" w:rsidRDefault="00B533E7" w:rsidP="00B533E7">
            <w:pPr>
              <w:rPr>
                <w:rFonts w:ascii="Arial" w:hAnsi="Arial" w:cs="Arial"/>
                <w:sz w:val="16"/>
                <w:szCs w:val="16"/>
              </w:rPr>
            </w:pPr>
            <w:r>
              <w:rPr>
                <w:rFonts w:ascii="Arial" w:hAnsi="Arial" w:cs="Arial"/>
                <w:sz w:val="16"/>
                <w:szCs w:val="16"/>
              </w:rPr>
              <w:t>Firm Exit Capacity Buyback Forwards and Options Report</w:t>
            </w:r>
          </w:p>
          <w:p w:rsidR="00B533E7" w:rsidRDefault="00B533E7" w:rsidP="00B533E7">
            <w:pPr>
              <w:rPr>
                <w:rFonts w:ascii="Arial" w:hAnsi="Arial" w:cs="Arial"/>
                <w:sz w:val="16"/>
                <w:szCs w:val="16"/>
              </w:rPr>
            </w:pPr>
          </w:p>
        </w:tc>
        <w:tc>
          <w:tcPr>
            <w:tcW w:w="4313" w:type="dxa"/>
          </w:tcPr>
          <w:p w:rsidR="00B533E7" w:rsidRDefault="00B533E7" w:rsidP="00B533E7">
            <w:pPr>
              <w:rPr>
                <w:rFonts w:ascii="Arial" w:hAnsi="Arial" w:cs="Arial"/>
                <w:sz w:val="16"/>
                <w:szCs w:val="16"/>
              </w:rPr>
            </w:pPr>
            <w:r>
              <w:rPr>
                <w:rFonts w:ascii="Arial" w:hAnsi="Arial" w:cs="Arial"/>
                <w:sz w:val="16"/>
                <w:szCs w:val="16"/>
              </w:rPr>
              <w:t xml:space="preserve">Please use the "Exit Capacity Publications" link for : -  </w:t>
            </w:r>
            <w:r>
              <w:rPr>
                <w:rFonts w:ascii="Arial" w:hAnsi="Arial" w:cs="Arial"/>
                <w:sz w:val="16"/>
                <w:szCs w:val="16"/>
              </w:rPr>
              <w:br/>
              <w:t xml:space="preserve">• Firm Exit Capacity Assignment Report  </w:t>
            </w:r>
            <w:r>
              <w:rPr>
                <w:rFonts w:ascii="Arial" w:hAnsi="Arial" w:cs="Arial"/>
                <w:sz w:val="16"/>
                <w:szCs w:val="16"/>
              </w:rPr>
              <w:br/>
              <w:t xml:space="preserve">• Firm Exit Capacity Transfer Report  </w:t>
            </w:r>
            <w:r>
              <w:rPr>
                <w:rFonts w:ascii="Arial" w:hAnsi="Arial" w:cs="Arial"/>
                <w:sz w:val="16"/>
                <w:szCs w:val="16"/>
              </w:rPr>
              <w:br/>
              <w:t xml:space="preserve">• Firm Exit Capacity Buyback Forwards and Options Report  </w:t>
            </w:r>
            <w:r>
              <w:rPr>
                <w:rFonts w:ascii="Arial" w:hAnsi="Arial" w:cs="Arial"/>
                <w:sz w:val="16"/>
                <w:szCs w:val="16"/>
              </w:rPr>
              <w:br/>
            </w:r>
            <w:r>
              <w:rPr>
                <w:rFonts w:ascii="Arial" w:hAnsi="Arial" w:cs="Arial"/>
                <w:sz w:val="16"/>
                <w:szCs w:val="16"/>
              </w:rPr>
              <w:br/>
              <w:t xml:space="preserve">Also, Please note that data related to these reports is not available within Data Item Explorer.  </w:t>
            </w:r>
          </w:p>
          <w:p w:rsidR="00B533E7" w:rsidRDefault="00B533E7" w:rsidP="00B533E7"/>
        </w:tc>
        <w:tc>
          <w:tcPr>
            <w:tcW w:w="1498" w:type="dxa"/>
          </w:tcPr>
          <w:p w:rsidR="00B533E7" w:rsidRDefault="00B533E7" w:rsidP="00B533E7">
            <w:pPr>
              <w:rPr>
                <w:rFonts w:ascii="Arial" w:hAnsi="Arial" w:cs="Arial"/>
                <w:sz w:val="16"/>
                <w:szCs w:val="16"/>
              </w:rPr>
            </w:pPr>
            <w:r>
              <w:rPr>
                <w:rFonts w:ascii="Arial" w:hAnsi="Arial" w:cs="Arial"/>
                <w:sz w:val="16"/>
                <w:szCs w:val="16"/>
              </w:rPr>
              <w:t>N/A</w:t>
            </w:r>
          </w:p>
          <w:p w:rsidR="00B533E7" w:rsidRDefault="00B533E7" w:rsidP="00B533E7"/>
        </w:tc>
        <w:tc>
          <w:tcPr>
            <w:tcW w:w="1763" w:type="dxa"/>
          </w:tcPr>
          <w:p w:rsidR="00B533E7" w:rsidRDefault="00B533E7" w:rsidP="00B533E7">
            <w:pPr>
              <w:rPr>
                <w:rFonts w:ascii="Arial" w:hAnsi="Arial" w:cs="Arial"/>
                <w:sz w:val="16"/>
                <w:szCs w:val="16"/>
              </w:rPr>
            </w:pPr>
          </w:p>
        </w:tc>
      </w:tr>
    </w:tbl>
    <w:p w:rsidR="00B533E7" w:rsidRDefault="00B533E7" w:rsidP="00B533E7"/>
    <w:p w:rsidR="00AF43AE" w:rsidRDefault="00AF43AE"/>
    <w:sectPr w:rsidR="00AF4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5F9"/>
    <w:multiLevelType w:val="hybridMultilevel"/>
    <w:tmpl w:val="AFF0FA2E"/>
    <w:lvl w:ilvl="0" w:tplc="78107F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E7"/>
    <w:rsid w:val="005B302B"/>
    <w:rsid w:val="009C38C3"/>
    <w:rsid w:val="00AF43AE"/>
    <w:rsid w:val="00B533E7"/>
    <w:rsid w:val="00C1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E7"/>
    <w:pPr>
      <w:ind w:left="720"/>
      <w:contextualSpacing/>
    </w:pPr>
  </w:style>
  <w:style w:type="table" w:styleId="TableGrid">
    <w:name w:val="Table Grid"/>
    <w:basedOn w:val="TableNormal"/>
    <w:uiPriority w:val="59"/>
    <w:rsid w:val="00B5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E7"/>
    <w:pPr>
      <w:ind w:left="720"/>
      <w:contextualSpacing/>
    </w:pPr>
  </w:style>
  <w:style w:type="table" w:styleId="TableGrid">
    <w:name w:val="Table Grid"/>
    <w:basedOn w:val="TableNormal"/>
    <w:uiPriority w:val="59"/>
    <w:rsid w:val="00B5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cp:revision>
  <dcterms:created xsi:type="dcterms:W3CDTF">2016-04-04T14:16:00Z</dcterms:created>
  <dcterms:modified xsi:type="dcterms:W3CDTF">2016-04-04T15:07:00Z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1928154263</vt:i4>
  </property>
  <property fmtid="{D5CDD505-2E9C-101B-9397-08002B2CF9AE}" pid="3" name="_NewReviewCycle">
    <vt:lpwstr/>
  </property>
  <property fmtid="{D5CDD505-2E9C-101B-9397-08002B2CF9AE}" pid="4" name="_EmailSubject">
    <vt:lpwstr>NG Information Provision Consultation</vt:lpwstr>
  </property>
  <property fmtid="{D5CDD505-2E9C-101B-9397-08002B2CF9AE}" pid="5" name="_AuthorEmail">
    <vt:lpwstr>Angharad.Williams@nationalgrid.com</vt:lpwstr>
  </property>
  <property fmtid="{D5CDD505-2E9C-101B-9397-08002B2CF9AE}" pid="6" name="_AuthorEmailDisplayName">
    <vt:lpwstr>Williams, Angharad</vt:lpwstr>
  </property>
</Properties>
</file>