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B03217" w14:textId="77777777" w:rsidR="00962C6E" w:rsidRDefault="006E3B2D">
      <w:pPr>
        <w:pStyle w:val="BodyText"/>
        <w:jc w:val="center"/>
        <w:rPr>
          <w:b/>
          <w:bCs/>
        </w:rPr>
      </w:pPr>
      <w:bookmarkStart w:id="0" w:name="_GoBack"/>
      <w:bookmarkEnd w:id="0"/>
      <w:r>
        <w:rPr>
          <w:u w:val="single"/>
        </w:rPr>
        <w:t>Draft: 11 February 2016</w:t>
      </w:r>
    </w:p>
    <w:p w14:paraId="167E6F87" w14:textId="77777777" w:rsidR="00962C6E" w:rsidRDefault="006E3B2D">
      <w:pPr>
        <w:pStyle w:val="BodyText"/>
        <w:jc w:val="center"/>
        <w:rPr>
          <w:b/>
          <w:bCs/>
          <w:sz w:val="36"/>
        </w:rPr>
      </w:pPr>
      <w:r>
        <w:rPr>
          <w:b/>
          <w:bCs/>
          <w:sz w:val="36"/>
        </w:rPr>
        <w:t>EU CODES - MODIFICATION 0541A - LEGAL DRAFTING - EXPLANATORY TABLE</w:t>
      </w:r>
    </w:p>
    <w:p w14:paraId="0B895959" w14:textId="77777777" w:rsidR="00962C6E" w:rsidRDefault="006E3B2D">
      <w:pPr>
        <w:pStyle w:val="BodyText"/>
        <w:ind w:left="720"/>
        <w:jc w:val="center"/>
        <w:rPr>
          <w:b/>
          <w:bCs/>
          <w:u w:val="single"/>
        </w:rPr>
      </w:pPr>
      <w:r>
        <w:rPr>
          <w:b/>
          <w:bCs/>
          <w:sz w:val="36"/>
        </w:rPr>
        <w:t xml:space="preserve">Ex-ante removal of uncontrollable UNC charges at </w:t>
      </w:r>
      <w:proofErr w:type="gramStart"/>
      <w:r>
        <w:rPr>
          <w:b/>
          <w:bCs/>
          <w:sz w:val="36"/>
        </w:rPr>
        <w:t>ASEPs</w:t>
      </w:r>
      <w:r>
        <w:rPr>
          <w:b/>
          <w:bCs/>
          <w:sz w:val="36"/>
        </w:rPr>
        <w:t xml:space="preserve"> which</w:t>
      </w:r>
      <w:proofErr w:type="gramEnd"/>
      <w:r>
        <w:rPr>
          <w:b/>
          <w:bCs/>
          <w:sz w:val="36"/>
        </w:rPr>
        <w:t xml:space="preserve"> include sub-terminals operating on a 06.00 to 06.00 Gas Day </w:t>
      </w:r>
    </w:p>
    <w:p w14:paraId="2F3573DD" w14:textId="77777777" w:rsidR="00962C6E" w:rsidRDefault="006E3B2D">
      <w:pPr>
        <w:pStyle w:val="BodyText"/>
        <w:ind w:left="720"/>
        <w:rPr>
          <w:b/>
          <w:bCs/>
          <w:sz w:val="36"/>
        </w:rPr>
      </w:pPr>
      <w:r>
        <w:rPr>
          <w:b/>
          <w:bCs/>
          <w:u w:val="single"/>
        </w:rPr>
        <w:t>Notes</w:t>
      </w:r>
    </w:p>
    <w:p w14:paraId="30AAB888" w14:textId="77777777" w:rsidR="00962C6E" w:rsidRDefault="006E3B2D">
      <w:pPr>
        <w:pStyle w:val="BodyText"/>
        <w:ind w:left="1440" w:hanging="720"/>
        <w:rPr>
          <w:b/>
          <w:bCs/>
        </w:rPr>
      </w:pPr>
      <w:r>
        <w:rPr>
          <w:b/>
          <w:bCs/>
        </w:rPr>
        <w:t>1.</w:t>
      </w:r>
      <w:r>
        <w:rPr>
          <w:b/>
          <w:bCs/>
        </w:rPr>
        <w:tab/>
        <w:t xml:space="preserve">The table is based on the legal drafting for Modification 0541A submitted by NGG to the Joint Office on </w:t>
      </w:r>
      <w:proofErr w:type="gramStart"/>
      <w:r>
        <w:rPr>
          <w:b/>
          <w:bCs/>
        </w:rPr>
        <w:t>[ ]</w:t>
      </w:r>
      <w:proofErr w:type="gramEnd"/>
      <w:r>
        <w:rPr>
          <w:b/>
          <w:bCs/>
        </w:rPr>
        <w:t xml:space="preserve"> (Final Text).  </w:t>
      </w:r>
    </w:p>
    <w:p w14:paraId="20760BAE" w14:textId="77777777" w:rsidR="00962C6E" w:rsidRDefault="006E3B2D">
      <w:pPr>
        <w:pStyle w:val="BodyText"/>
        <w:ind w:left="1440" w:hanging="720"/>
        <w:rPr>
          <w:b/>
          <w:bCs/>
        </w:rPr>
      </w:pPr>
      <w:r>
        <w:rPr>
          <w:b/>
          <w:bCs/>
        </w:rPr>
        <w:t>2.</w:t>
      </w:r>
      <w:r>
        <w:rPr>
          <w:b/>
          <w:bCs/>
        </w:rPr>
        <w:tab/>
        <w:t>Modification 0541A seeks to remove uncontrollable UN</w:t>
      </w:r>
      <w:r>
        <w:rPr>
          <w:b/>
          <w:bCs/>
        </w:rPr>
        <w:t>C charges incurred by shippers allocated 05.00 to 05.00 Gas Day User Daily Input Quantities at ASEP's which include sub-terminals operating on a 06.00 to 06.00 Gas Day. This is achieved through ex-ante credits to capacity and balancing neutrality adjustmen</w:t>
      </w:r>
      <w:r>
        <w:rPr>
          <w:b/>
          <w:bCs/>
        </w:rPr>
        <w:t>t accounts.</w:t>
      </w:r>
    </w:p>
    <w:p w14:paraId="6BAAD69E" w14:textId="77777777" w:rsidR="00962C6E" w:rsidRDefault="006E3B2D">
      <w:pPr>
        <w:pStyle w:val="BodyText"/>
        <w:ind w:left="1440" w:hanging="720"/>
        <w:rPr>
          <w:b/>
          <w:bCs/>
          <w:i/>
        </w:rPr>
      </w:pPr>
      <w:r>
        <w:rPr>
          <w:b/>
          <w:bCs/>
        </w:rPr>
        <w:t>3.</w:t>
      </w:r>
      <w:r>
        <w:rPr>
          <w:b/>
          <w:bCs/>
        </w:rPr>
        <w:tab/>
        <w:t>The text is to be inserted into Transition Document, Part IIC (Transitional Rules), General Terms, Sections C (</w:t>
      </w:r>
      <w:r>
        <w:rPr>
          <w:b/>
          <w:bCs/>
          <w:i/>
        </w:rPr>
        <w:t>Interpretation</w:t>
      </w:r>
      <w:r>
        <w:rPr>
          <w:b/>
          <w:bCs/>
        </w:rPr>
        <w:t>) and Transportation Principal Document, Sections A (</w:t>
      </w:r>
      <w:r>
        <w:rPr>
          <w:b/>
          <w:bCs/>
          <w:i/>
        </w:rPr>
        <w:t>System Classification</w:t>
      </w:r>
      <w:r>
        <w:rPr>
          <w:b/>
          <w:bCs/>
        </w:rPr>
        <w:t>), B (</w:t>
      </w:r>
      <w:r>
        <w:rPr>
          <w:b/>
          <w:bCs/>
          <w:i/>
        </w:rPr>
        <w:t>System Use and Capacity</w:t>
      </w:r>
      <w:r>
        <w:rPr>
          <w:b/>
          <w:bCs/>
        </w:rPr>
        <w:t>), E (</w:t>
      </w:r>
      <w:r>
        <w:rPr>
          <w:b/>
          <w:bCs/>
          <w:i/>
        </w:rPr>
        <w:t>Daily Q</w:t>
      </w:r>
      <w:r>
        <w:rPr>
          <w:b/>
          <w:bCs/>
          <w:i/>
        </w:rPr>
        <w:t>uantities, Imbalances and Reconciliation</w:t>
      </w:r>
      <w:r>
        <w:rPr>
          <w:b/>
          <w:bCs/>
        </w:rPr>
        <w:t>) and F (</w:t>
      </w:r>
      <w:r>
        <w:rPr>
          <w:b/>
          <w:bCs/>
          <w:i/>
        </w:rPr>
        <w:t>System Clearing, Balancing Charges and Neutrality</w:t>
      </w:r>
      <w:r>
        <w:rPr>
          <w:b/>
          <w:bCs/>
        </w:rPr>
        <w:t xml:space="preserve">) </w:t>
      </w:r>
    </w:p>
    <w:p w14:paraId="13F86562" w14:textId="77777777" w:rsidR="00962C6E" w:rsidRDefault="00962C6E">
      <w:pPr>
        <w:pStyle w:val="BodyText"/>
        <w:ind w:left="1440" w:hanging="720"/>
        <w:rPr>
          <w:b/>
          <w:bCs/>
        </w:rPr>
      </w:pPr>
    </w:p>
    <w:p w14:paraId="3B562F5A" w14:textId="77777777" w:rsidR="00962C6E" w:rsidRDefault="006E3B2D">
      <w:pPr>
        <w:pStyle w:val="BodyText"/>
        <w:ind w:left="1440" w:hanging="720"/>
        <w:rPr>
          <w:b/>
          <w:bCs/>
          <w:i/>
        </w:rPr>
      </w:pPr>
      <w:r>
        <w:rPr>
          <w:b/>
          <w:bCs/>
        </w:rPr>
        <w:t xml:space="preserve"> </w:t>
      </w:r>
    </w:p>
    <w:tbl>
      <w:tblPr>
        <w:tblW w:w="14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2304"/>
        <w:gridCol w:w="2288"/>
        <w:gridCol w:w="8703"/>
      </w:tblGrid>
      <w:tr w:rsidR="00962C6E" w14:paraId="1C10C75C" w14:textId="77777777">
        <w:trPr>
          <w:tblHeader/>
        </w:trPr>
        <w:tc>
          <w:tcPr>
            <w:tcW w:w="1483" w:type="dxa"/>
            <w:tcBorders>
              <w:bottom w:val="single" w:sz="4" w:space="0" w:color="auto"/>
            </w:tcBorders>
            <w:shd w:val="clear" w:color="auto" w:fill="201C3E"/>
          </w:tcPr>
          <w:p w14:paraId="746365DC" w14:textId="77777777" w:rsidR="00962C6E" w:rsidRDefault="006E3B2D">
            <w:pPr>
              <w:pStyle w:val="BodyText"/>
              <w:spacing w:before="80" w:after="80"/>
              <w:jc w:val="center"/>
              <w:rPr>
                <w:b/>
                <w:bCs/>
                <w:sz w:val="24"/>
              </w:rPr>
            </w:pPr>
            <w:r>
              <w:rPr>
                <w:b/>
                <w:bCs/>
                <w:sz w:val="24"/>
              </w:rPr>
              <w:t>UNC Ref.</w:t>
            </w:r>
          </w:p>
        </w:tc>
        <w:tc>
          <w:tcPr>
            <w:tcW w:w="2304" w:type="dxa"/>
            <w:tcBorders>
              <w:bottom w:val="single" w:sz="4" w:space="0" w:color="auto"/>
            </w:tcBorders>
            <w:shd w:val="clear" w:color="auto" w:fill="201C3E"/>
          </w:tcPr>
          <w:p w14:paraId="2447A4C8" w14:textId="77777777" w:rsidR="00962C6E" w:rsidRDefault="006E3B2D">
            <w:pPr>
              <w:pStyle w:val="BodyText"/>
              <w:spacing w:before="80" w:after="80"/>
              <w:jc w:val="center"/>
              <w:rPr>
                <w:b/>
                <w:bCs/>
                <w:sz w:val="24"/>
              </w:rPr>
            </w:pPr>
            <w:r>
              <w:rPr>
                <w:b/>
                <w:bCs/>
                <w:sz w:val="24"/>
              </w:rPr>
              <w:t>Topic</w:t>
            </w:r>
          </w:p>
        </w:tc>
        <w:tc>
          <w:tcPr>
            <w:tcW w:w="2288" w:type="dxa"/>
            <w:tcBorders>
              <w:bottom w:val="single" w:sz="4" w:space="0" w:color="auto"/>
            </w:tcBorders>
            <w:shd w:val="clear" w:color="auto" w:fill="201C3E"/>
          </w:tcPr>
          <w:p w14:paraId="6B8949DF" w14:textId="77777777" w:rsidR="00962C6E" w:rsidRDefault="006E3B2D">
            <w:pPr>
              <w:pStyle w:val="BodyText"/>
              <w:spacing w:before="80" w:after="80"/>
              <w:jc w:val="center"/>
              <w:rPr>
                <w:b/>
                <w:bCs/>
                <w:sz w:val="24"/>
              </w:rPr>
            </w:pPr>
            <w:r>
              <w:rPr>
                <w:b/>
                <w:bCs/>
                <w:sz w:val="24"/>
              </w:rPr>
              <w:t>BRDs</w:t>
            </w:r>
          </w:p>
        </w:tc>
        <w:tc>
          <w:tcPr>
            <w:tcW w:w="8703" w:type="dxa"/>
            <w:tcBorders>
              <w:bottom w:val="single" w:sz="4" w:space="0" w:color="auto"/>
            </w:tcBorders>
            <w:shd w:val="clear" w:color="auto" w:fill="201C3E"/>
          </w:tcPr>
          <w:p w14:paraId="0CE3D937" w14:textId="77777777" w:rsidR="00962C6E" w:rsidRDefault="006E3B2D">
            <w:pPr>
              <w:pStyle w:val="BodyText"/>
              <w:spacing w:before="80" w:after="80"/>
              <w:jc w:val="center"/>
              <w:rPr>
                <w:b/>
                <w:bCs/>
                <w:sz w:val="24"/>
              </w:rPr>
            </w:pPr>
            <w:r>
              <w:rPr>
                <w:b/>
                <w:bCs/>
                <w:sz w:val="24"/>
              </w:rPr>
              <w:t>Explanation</w:t>
            </w:r>
          </w:p>
        </w:tc>
      </w:tr>
      <w:tr w:rsidR="00962C6E" w14:paraId="471CB66D" w14:textId="77777777">
        <w:tc>
          <w:tcPr>
            <w:tcW w:w="14778" w:type="dxa"/>
            <w:gridSpan w:val="4"/>
            <w:tcBorders>
              <w:bottom w:val="single" w:sz="4" w:space="0" w:color="auto"/>
            </w:tcBorders>
            <w:shd w:val="clear" w:color="auto" w:fill="auto"/>
          </w:tcPr>
          <w:p w14:paraId="4ABCC6A0" w14:textId="77777777" w:rsidR="00962C6E" w:rsidRDefault="006E3B2D">
            <w:pPr>
              <w:pStyle w:val="BodyText"/>
              <w:spacing w:before="80" w:after="80"/>
              <w:rPr>
                <w:b/>
                <w:bCs/>
                <w:sz w:val="24"/>
              </w:rPr>
            </w:pPr>
            <w:r>
              <w:rPr>
                <w:b/>
                <w:color w:val="808080" w:themeColor="background1" w:themeShade="80"/>
              </w:rPr>
              <w:t xml:space="preserve">TRANSITION </w:t>
            </w:r>
            <w:proofErr w:type="gramStart"/>
            <w:r>
              <w:rPr>
                <w:b/>
                <w:color w:val="808080" w:themeColor="background1" w:themeShade="80"/>
              </w:rPr>
              <w:t>DOCUMENT :</w:t>
            </w:r>
            <w:proofErr w:type="gramEnd"/>
            <w:r>
              <w:rPr>
                <w:b/>
                <w:color w:val="808080" w:themeColor="background1" w:themeShade="80"/>
              </w:rPr>
              <w:t xml:space="preserve"> PART IIC – TRANSITIONAL RULES</w:t>
            </w:r>
          </w:p>
        </w:tc>
      </w:tr>
      <w:tr w:rsidR="00962C6E" w14:paraId="72394982" w14:textId="77777777">
        <w:tc>
          <w:tcPr>
            <w:tcW w:w="1483" w:type="dxa"/>
            <w:tcBorders>
              <w:bottom w:val="single" w:sz="4" w:space="0" w:color="auto"/>
            </w:tcBorders>
            <w:shd w:val="clear" w:color="auto" w:fill="auto"/>
          </w:tcPr>
          <w:p w14:paraId="338F4652" w14:textId="77777777" w:rsidR="00962C6E" w:rsidRDefault="006E3B2D">
            <w:pPr>
              <w:pStyle w:val="BodyText"/>
              <w:spacing w:before="80" w:after="80"/>
              <w:rPr>
                <w:b/>
                <w:bCs/>
                <w:sz w:val="24"/>
              </w:rPr>
            </w:pPr>
            <w:r>
              <w:rPr>
                <w:bCs/>
              </w:rPr>
              <w:t>22.1</w:t>
            </w:r>
          </w:p>
        </w:tc>
        <w:tc>
          <w:tcPr>
            <w:tcW w:w="2304" w:type="dxa"/>
            <w:tcBorders>
              <w:bottom w:val="single" w:sz="4" w:space="0" w:color="auto"/>
            </w:tcBorders>
            <w:shd w:val="clear" w:color="auto" w:fill="auto"/>
          </w:tcPr>
          <w:p w14:paraId="1A897FA6" w14:textId="77777777" w:rsidR="00962C6E" w:rsidRDefault="006E3B2D">
            <w:pPr>
              <w:pStyle w:val="BodyText"/>
              <w:spacing w:before="80" w:after="80"/>
              <w:rPr>
                <w:b/>
                <w:bCs/>
                <w:sz w:val="24"/>
              </w:rPr>
            </w:pPr>
            <w:r>
              <w:t>Definition of GMT Retrospective Period</w:t>
            </w:r>
          </w:p>
        </w:tc>
        <w:tc>
          <w:tcPr>
            <w:tcW w:w="2288" w:type="dxa"/>
            <w:tcBorders>
              <w:bottom w:val="single" w:sz="4" w:space="0" w:color="auto"/>
            </w:tcBorders>
            <w:shd w:val="clear" w:color="auto" w:fill="auto"/>
          </w:tcPr>
          <w:p w14:paraId="27F2BE33"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26777B87" w14:textId="77777777" w:rsidR="00962C6E" w:rsidRDefault="006E3B2D">
            <w:pPr>
              <w:pStyle w:val="BodyText"/>
              <w:spacing w:before="80" w:after="80"/>
            </w:pPr>
            <w:r>
              <w:t xml:space="preserve">This paragraph </w:t>
            </w:r>
            <w:r>
              <w:t>defines the "</w:t>
            </w:r>
            <w:r>
              <w:rPr>
                <w:b/>
              </w:rPr>
              <w:t>GMT Retrospective Period</w:t>
            </w:r>
            <w:r>
              <w:t>", which is the period beginning on the date from which the Gas Day changed to 05.00 to 05.00 (1 October 2015) to the last day of the calendar month during which the date for implementation of Modification 541A occurs.</w:t>
            </w:r>
          </w:p>
          <w:p w14:paraId="50CAAB14" w14:textId="77777777" w:rsidR="00962C6E" w:rsidRDefault="006E3B2D">
            <w:pPr>
              <w:pStyle w:val="BodyText"/>
              <w:spacing w:before="80" w:after="80"/>
            </w:pPr>
            <w:r>
              <w:t xml:space="preserve">As neutrality is carried out on a monthly basis, the GMT Retrospective Period ends on the last day of a month. </w:t>
            </w:r>
          </w:p>
          <w:p w14:paraId="0A121195" w14:textId="77777777" w:rsidR="00962C6E" w:rsidRDefault="006E3B2D">
            <w:pPr>
              <w:pStyle w:val="BodyText"/>
              <w:spacing w:before="80" w:after="80"/>
              <w:rPr>
                <w:b/>
                <w:bCs/>
                <w:sz w:val="24"/>
              </w:rPr>
            </w:pPr>
            <w:r>
              <w:lastRenderedPageBreak/>
              <w:t xml:space="preserve">The retrospective adjustments in this paragraph to the various charges are made in respect of each Day in the GMT Retrospective Period. </w:t>
            </w:r>
          </w:p>
        </w:tc>
      </w:tr>
      <w:tr w:rsidR="00962C6E" w14:paraId="50EF3DCA" w14:textId="77777777">
        <w:tc>
          <w:tcPr>
            <w:tcW w:w="1483" w:type="dxa"/>
            <w:tcBorders>
              <w:bottom w:val="single" w:sz="4" w:space="0" w:color="auto"/>
            </w:tcBorders>
            <w:shd w:val="clear" w:color="auto" w:fill="auto"/>
          </w:tcPr>
          <w:p w14:paraId="1AC5EBE7" w14:textId="77777777" w:rsidR="00962C6E" w:rsidRDefault="006E3B2D">
            <w:pPr>
              <w:pStyle w:val="BodyText"/>
              <w:spacing w:before="80" w:after="80"/>
              <w:rPr>
                <w:b/>
                <w:bCs/>
                <w:sz w:val="24"/>
              </w:rPr>
            </w:pPr>
            <w:r>
              <w:rPr>
                <w:bCs/>
              </w:rPr>
              <w:lastRenderedPageBreak/>
              <w:t>22.2</w:t>
            </w:r>
          </w:p>
        </w:tc>
        <w:tc>
          <w:tcPr>
            <w:tcW w:w="2304" w:type="dxa"/>
            <w:tcBorders>
              <w:bottom w:val="single" w:sz="4" w:space="0" w:color="auto"/>
            </w:tcBorders>
            <w:shd w:val="clear" w:color="auto" w:fill="auto"/>
          </w:tcPr>
          <w:p w14:paraId="35F7B125" w14:textId="77777777" w:rsidR="00962C6E" w:rsidRDefault="006E3B2D">
            <w:pPr>
              <w:pStyle w:val="BodyText"/>
              <w:spacing w:before="80" w:after="80"/>
              <w:rPr>
                <w:b/>
                <w:bCs/>
                <w:sz w:val="24"/>
              </w:rPr>
            </w:pPr>
            <w:r>
              <w:t>S</w:t>
            </w:r>
            <w:r>
              <w:t>ubmission of Entry Allocation Statement</w:t>
            </w:r>
          </w:p>
        </w:tc>
        <w:tc>
          <w:tcPr>
            <w:tcW w:w="2288" w:type="dxa"/>
            <w:tcBorders>
              <w:bottom w:val="single" w:sz="4" w:space="0" w:color="auto"/>
            </w:tcBorders>
            <w:shd w:val="clear" w:color="auto" w:fill="auto"/>
          </w:tcPr>
          <w:p w14:paraId="7A53A311"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75A3C014" w14:textId="77777777" w:rsidR="00962C6E" w:rsidRDefault="006E3B2D">
            <w:pPr>
              <w:pStyle w:val="BodyText"/>
              <w:spacing w:before="80" w:after="80"/>
            </w:pPr>
            <w:r>
              <w:t>This paragraph requires each User, who is a Delivering User, at a GMT System Entry Point during the GMT Retrospective Period to submit a statement containing information in relation to the 6-6 day, which complies wi</w:t>
            </w:r>
            <w:r>
              <w:t>th the requirements of TPD Section E11.1.3 to National Grid NTS within 30 days of the implementation date for Modification 541A.</w:t>
            </w:r>
          </w:p>
          <w:p w14:paraId="260CB7AD" w14:textId="77777777" w:rsidR="00962C6E" w:rsidRDefault="006E3B2D">
            <w:pPr>
              <w:pStyle w:val="BodyText"/>
              <w:spacing w:before="80" w:after="80"/>
            </w:pPr>
            <w:r>
              <w:t>Please see below in respect of the new paragraph at TPD Section E11.1.3 for further detail on the GMT Entry Allocation Statemen</w:t>
            </w:r>
            <w:r>
              <w:t xml:space="preserve">t.  </w:t>
            </w:r>
          </w:p>
        </w:tc>
      </w:tr>
      <w:tr w:rsidR="00962C6E" w14:paraId="21890E06" w14:textId="77777777">
        <w:tc>
          <w:tcPr>
            <w:tcW w:w="1483" w:type="dxa"/>
            <w:tcBorders>
              <w:bottom w:val="single" w:sz="4" w:space="0" w:color="auto"/>
            </w:tcBorders>
            <w:shd w:val="clear" w:color="auto" w:fill="auto"/>
          </w:tcPr>
          <w:p w14:paraId="05225557" w14:textId="77777777" w:rsidR="00962C6E" w:rsidRDefault="006E3B2D">
            <w:pPr>
              <w:pStyle w:val="BodyText"/>
              <w:spacing w:before="80" w:after="80"/>
              <w:rPr>
                <w:bCs/>
              </w:rPr>
            </w:pPr>
            <w:r>
              <w:rPr>
                <w:bCs/>
              </w:rPr>
              <w:t>22.3</w:t>
            </w:r>
          </w:p>
        </w:tc>
        <w:tc>
          <w:tcPr>
            <w:tcW w:w="2304" w:type="dxa"/>
            <w:tcBorders>
              <w:bottom w:val="single" w:sz="4" w:space="0" w:color="auto"/>
            </w:tcBorders>
            <w:shd w:val="clear" w:color="auto" w:fill="auto"/>
          </w:tcPr>
          <w:p w14:paraId="11308DC0" w14:textId="77777777" w:rsidR="00962C6E" w:rsidRDefault="006E3B2D">
            <w:pPr>
              <w:pStyle w:val="BodyText"/>
              <w:spacing w:before="80" w:after="80"/>
            </w:pPr>
            <w:r>
              <w:t xml:space="preserve">Calculation of </w:t>
            </w:r>
            <w:r>
              <w:rPr>
                <w:b/>
              </w:rPr>
              <w:t>GMT Retrospective Period Adjustments</w:t>
            </w:r>
            <w:r>
              <w:t xml:space="preserve">. </w:t>
            </w:r>
          </w:p>
        </w:tc>
        <w:tc>
          <w:tcPr>
            <w:tcW w:w="2288" w:type="dxa"/>
            <w:tcBorders>
              <w:bottom w:val="single" w:sz="4" w:space="0" w:color="auto"/>
            </w:tcBorders>
            <w:shd w:val="clear" w:color="auto" w:fill="auto"/>
          </w:tcPr>
          <w:p w14:paraId="0EBAB97F"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2C6B0033" w14:textId="77777777" w:rsidR="00962C6E" w:rsidRDefault="006E3B2D">
            <w:pPr>
              <w:pStyle w:val="BodyText"/>
              <w:spacing w:before="80" w:after="80"/>
            </w:pPr>
            <w:r>
              <w:t>Provided the conditions below are met, for each Day in the GMT Retrospective Period, and each Delivering User, adjustments to the following charges are to be calculated:</w:t>
            </w:r>
          </w:p>
          <w:p w14:paraId="1FF36DCF" w14:textId="77777777" w:rsidR="00962C6E" w:rsidRDefault="006E3B2D">
            <w:pPr>
              <w:pStyle w:val="BodyText"/>
              <w:spacing w:before="80" w:after="80"/>
            </w:pPr>
            <w:r>
              <w:t xml:space="preserve">(a) </w:t>
            </w:r>
            <w:proofErr w:type="gramStart"/>
            <w:r>
              <w:t>the</w:t>
            </w:r>
            <w:proofErr w:type="gramEnd"/>
            <w:r>
              <w:t xml:space="preserve"> User's </w:t>
            </w:r>
            <w:r>
              <w:t>System Entry Overrun Charges;</w:t>
            </w:r>
          </w:p>
          <w:p w14:paraId="58C86A66" w14:textId="77777777" w:rsidR="00962C6E" w:rsidRDefault="006E3B2D">
            <w:pPr>
              <w:pStyle w:val="BodyText"/>
              <w:spacing w:before="80" w:after="80"/>
            </w:pPr>
            <w:r>
              <w:t xml:space="preserve">(b) </w:t>
            </w:r>
            <w:proofErr w:type="gramStart"/>
            <w:r>
              <w:t>the</w:t>
            </w:r>
            <w:proofErr w:type="gramEnd"/>
            <w:r>
              <w:t xml:space="preserve"> User's Total Incentivised Nomination Charges;</w:t>
            </w:r>
          </w:p>
          <w:p w14:paraId="1BA6C0D8" w14:textId="77777777" w:rsidR="00962C6E" w:rsidRDefault="006E3B2D">
            <w:pPr>
              <w:pStyle w:val="BodyText"/>
              <w:spacing w:before="80" w:after="80"/>
            </w:pPr>
            <w:r>
              <w:t xml:space="preserve">(c) </w:t>
            </w:r>
            <w:proofErr w:type="gramStart"/>
            <w:r>
              <w:t>the</w:t>
            </w:r>
            <w:proofErr w:type="gramEnd"/>
            <w:r>
              <w:t xml:space="preserve"> User's Daily Imbalance Charges; and</w:t>
            </w:r>
          </w:p>
          <w:p w14:paraId="6740E69F" w14:textId="77777777" w:rsidR="00962C6E" w:rsidRDefault="006E3B2D">
            <w:pPr>
              <w:pStyle w:val="BodyText"/>
              <w:spacing w:before="80" w:after="80"/>
            </w:pPr>
            <w:r>
              <w:t xml:space="preserve">(d) </w:t>
            </w:r>
            <w:proofErr w:type="gramStart"/>
            <w:r>
              <w:t>the</w:t>
            </w:r>
            <w:proofErr w:type="gramEnd"/>
            <w:r>
              <w:t xml:space="preserve"> User's Input Scheduling Charges,</w:t>
            </w:r>
          </w:p>
          <w:p w14:paraId="3FDC5EE4" w14:textId="77777777" w:rsidR="00962C6E" w:rsidRDefault="006E3B2D">
            <w:pPr>
              <w:pStyle w:val="BodyText"/>
              <w:spacing w:before="80" w:after="80"/>
            </w:pPr>
            <w:proofErr w:type="gramStart"/>
            <w:r>
              <w:t>these</w:t>
            </w:r>
            <w:proofErr w:type="gramEnd"/>
            <w:r>
              <w:t xml:space="preserve"> adjustments are the "GMT Retrospective Period Adjustments". </w:t>
            </w:r>
          </w:p>
          <w:p w14:paraId="043137B5" w14:textId="77777777" w:rsidR="00962C6E" w:rsidRDefault="00962C6E">
            <w:pPr>
              <w:pStyle w:val="BodyText"/>
              <w:spacing w:before="80" w:after="80"/>
            </w:pPr>
          </w:p>
          <w:p w14:paraId="6F32DD4A" w14:textId="77777777" w:rsidR="00962C6E" w:rsidRDefault="006E3B2D">
            <w:pPr>
              <w:pStyle w:val="BodyText"/>
              <w:spacing w:before="80" w:after="80"/>
            </w:pPr>
            <w:r>
              <w:t>Where an adjustment amount is positive (i.e. the charge calculated using the User's GMT UDQIs is greater than the amount previously calculated and payable using the User's UDQIs), the adjustment is payable by the User to National Grid NTS. Where it is nega</w:t>
            </w:r>
            <w:r>
              <w:t xml:space="preserve">tive, the charge is payable by National Grid NTS to the User. </w:t>
            </w:r>
          </w:p>
          <w:p w14:paraId="0D60451D" w14:textId="77777777" w:rsidR="00962C6E" w:rsidRDefault="00962C6E">
            <w:pPr>
              <w:pStyle w:val="BodyText"/>
              <w:spacing w:before="80" w:after="80"/>
            </w:pPr>
          </w:p>
          <w:p w14:paraId="41482C4C" w14:textId="77777777" w:rsidR="00962C6E" w:rsidRDefault="006E3B2D">
            <w:pPr>
              <w:pStyle w:val="BodyText"/>
              <w:spacing w:before="80" w:after="80"/>
            </w:pPr>
            <w:r>
              <w:t>The conditions are:</w:t>
            </w:r>
          </w:p>
          <w:p w14:paraId="08D83362" w14:textId="77777777" w:rsidR="00962C6E" w:rsidRDefault="006E3B2D">
            <w:pPr>
              <w:pStyle w:val="BodyText"/>
              <w:numPr>
                <w:ilvl w:val="0"/>
                <w:numId w:val="41"/>
              </w:numPr>
              <w:spacing w:before="80" w:after="80"/>
            </w:pPr>
            <w:proofErr w:type="gramStart"/>
            <w:r>
              <w:t>all</w:t>
            </w:r>
            <w:proofErr w:type="gramEnd"/>
            <w:r>
              <w:t xml:space="preserve"> Users that are Delivering Users at a GMT System Entry Point on a Gas Flow Day have submitted GMT Entry Allocation Statements, meeting the requirements of paragraph 22.2</w:t>
            </w:r>
            <w:r>
              <w:t>; and</w:t>
            </w:r>
          </w:p>
          <w:p w14:paraId="6937ECEC" w14:textId="77777777" w:rsidR="00962C6E" w:rsidRDefault="006E3B2D">
            <w:pPr>
              <w:pStyle w:val="BodyText"/>
              <w:numPr>
                <w:ilvl w:val="0"/>
                <w:numId w:val="41"/>
              </w:numPr>
              <w:spacing w:before="80" w:after="80"/>
            </w:pPr>
            <w:proofErr w:type="gramStart"/>
            <w:r>
              <w:t>that</w:t>
            </w:r>
            <w:proofErr w:type="gramEnd"/>
            <w:r>
              <w:t xml:space="preserve"> the aggregate of the quantities stated in all GMT Entry Allocation Statements (submitted by or on behalf of Delivering Users) is equal to the GMT Entry Point Daily </w:t>
            </w:r>
            <w:r>
              <w:lastRenderedPageBreak/>
              <w:t>Quantity Delivered.</w:t>
            </w:r>
          </w:p>
        </w:tc>
      </w:tr>
      <w:tr w:rsidR="00962C6E" w14:paraId="31F489F1" w14:textId="77777777">
        <w:tc>
          <w:tcPr>
            <w:tcW w:w="1483" w:type="dxa"/>
            <w:tcBorders>
              <w:bottom w:val="single" w:sz="4" w:space="0" w:color="auto"/>
            </w:tcBorders>
            <w:shd w:val="clear" w:color="auto" w:fill="auto"/>
          </w:tcPr>
          <w:p w14:paraId="21EBD26D" w14:textId="77777777" w:rsidR="00962C6E" w:rsidRDefault="006E3B2D">
            <w:pPr>
              <w:pStyle w:val="BodyText"/>
              <w:spacing w:before="80" w:after="80"/>
              <w:rPr>
                <w:bCs/>
              </w:rPr>
            </w:pPr>
            <w:r>
              <w:rPr>
                <w:bCs/>
              </w:rPr>
              <w:lastRenderedPageBreak/>
              <w:t>22.4</w:t>
            </w:r>
          </w:p>
        </w:tc>
        <w:tc>
          <w:tcPr>
            <w:tcW w:w="2304" w:type="dxa"/>
            <w:tcBorders>
              <w:bottom w:val="single" w:sz="4" w:space="0" w:color="auto"/>
            </w:tcBorders>
            <w:shd w:val="clear" w:color="auto" w:fill="auto"/>
          </w:tcPr>
          <w:p w14:paraId="6EF455B1" w14:textId="77777777" w:rsidR="00962C6E" w:rsidRDefault="006E3B2D">
            <w:pPr>
              <w:pStyle w:val="BodyText"/>
              <w:spacing w:before="80" w:after="80"/>
            </w:pPr>
            <w:r>
              <w:t xml:space="preserve">GMT Retrospective Period Adjustments not calculated or </w:t>
            </w:r>
            <w:r>
              <w:t>payable</w:t>
            </w:r>
          </w:p>
        </w:tc>
        <w:tc>
          <w:tcPr>
            <w:tcW w:w="2288" w:type="dxa"/>
            <w:tcBorders>
              <w:bottom w:val="single" w:sz="4" w:space="0" w:color="auto"/>
            </w:tcBorders>
            <w:shd w:val="clear" w:color="auto" w:fill="auto"/>
          </w:tcPr>
          <w:p w14:paraId="2E886D0D"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42CC480A" w14:textId="77777777" w:rsidR="00962C6E" w:rsidRDefault="006E3B2D">
            <w:pPr>
              <w:pStyle w:val="BodyText"/>
              <w:spacing w:before="80" w:after="80"/>
            </w:pPr>
            <w:r>
              <w:t xml:space="preserve">None of the amounts referred to in paragraph 22.3 shall be calculated or payable unless the aggregate of the quantities stated in all GMT Entry Allocation Statements (submitted by or on behalf of Delivering Users) is equal to the GMT Entry Point </w:t>
            </w:r>
            <w:r>
              <w:t>Daily Quantity Delivered.</w:t>
            </w:r>
          </w:p>
        </w:tc>
      </w:tr>
      <w:tr w:rsidR="00962C6E" w14:paraId="26615784" w14:textId="77777777">
        <w:tc>
          <w:tcPr>
            <w:tcW w:w="1483" w:type="dxa"/>
            <w:tcBorders>
              <w:bottom w:val="single" w:sz="4" w:space="0" w:color="auto"/>
            </w:tcBorders>
            <w:shd w:val="clear" w:color="auto" w:fill="auto"/>
          </w:tcPr>
          <w:p w14:paraId="0D5CA205" w14:textId="77777777" w:rsidR="00962C6E" w:rsidRDefault="006E3B2D">
            <w:pPr>
              <w:pStyle w:val="BodyText"/>
              <w:spacing w:before="80" w:after="80"/>
              <w:rPr>
                <w:bCs/>
              </w:rPr>
            </w:pPr>
            <w:r>
              <w:rPr>
                <w:bCs/>
              </w:rPr>
              <w:t>22.5</w:t>
            </w:r>
          </w:p>
        </w:tc>
        <w:tc>
          <w:tcPr>
            <w:tcW w:w="2304" w:type="dxa"/>
            <w:tcBorders>
              <w:bottom w:val="single" w:sz="4" w:space="0" w:color="auto"/>
            </w:tcBorders>
            <w:shd w:val="clear" w:color="auto" w:fill="auto"/>
          </w:tcPr>
          <w:p w14:paraId="35C04786" w14:textId="77777777" w:rsidR="00962C6E" w:rsidRDefault="006E3B2D">
            <w:pPr>
              <w:pStyle w:val="BodyText"/>
              <w:spacing w:before="80" w:after="80"/>
              <w:rPr>
                <w:b/>
              </w:rPr>
            </w:pPr>
            <w:r>
              <w:t xml:space="preserve">Calculation of the </w:t>
            </w:r>
            <w:r>
              <w:rPr>
                <w:b/>
              </w:rPr>
              <w:t>GMT Capacity Neutrality Charge Adjustment</w:t>
            </w:r>
          </w:p>
        </w:tc>
        <w:tc>
          <w:tcPr>
            <w:tcW w:w="2288" w:type="dxa"/>
            <w:tcBorders>
              <w:bottom w:val="single" w:sz="4" w:space="0" w:color="auto"/>
            </w:tcBorders>
            <w:shd w:val="clear" w:color="auto" w:fill="auto"/>
          </w:tcPr>
          <w:p w14:paraId="2C84B1E1"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79A8C22D" w14:textId="77777777" w:rsidR="00962C6E" w:rsidRDefault="006E3B2D">
            <w:pPr>
              <w:pStyle w:val="BodyText"/>
              <w:spacing w:before="80" w:after="80"/>
            </w:pPr>
            <w:r>
              <w:t>This paragraph provides for the calculation and payment of an adjustment to the Capacity Neutrality Charge that was previously calculated and payable for each mon</w:t>
            </w:r>
            <w:r>
              <w:t xml:space="preserve">th in the GMT Retrospective Period. </w:t>
            </w:r>
          </w:p>
          <w:p w14:paraId="5A2E3673" w14:textId="77777777" w:rsidR="00962C6E" w:rsidRDefault="006E3B2D">
            <w:pPr>
              <w:pStyle w:val="BodyText"/>
              <w:spacing w:before="80" w:after="80"/>
            </w:pPr>
            <w:r>
              <w:t xml:space="preserve">For each month in the GMT Retrospective Period, the Capacity Neutrality Charge is to be recalculated, but including the GMT System Entry Overrun Charge Adjustments for each Day in that month in the calculation. </w:t>
            </w:r>
          </w:p>
          <w:p w14:paraId="39EBCE97" w14:textId="77777777" w:rsidR="00962C6E" w:rsidRDefault="006E3B2D">
            <w:pPr>
              <w:pStyle w:val="BodyText"/>
              <w:spacing w:before="80" w:after="80"/>
            </w:pPr>
            <w:r>
              <w:t>The GMT</w:t>
            </w:r>
            <w:r>
              <w:t xml:space="preserve"> Capacity Neutrality Charge Adjustment, which is the difference between the revised Capacity Neutrality Charge and the Capacity Neutrality Charge actually payable, is calculated, and if positive is payable by the User to National Grid NTS and if negative i</w:t>
            </w:r>
            <w:r>
              <w:t xml:space="preserve">s payable by National Grid NTS to the User. </w:t>
            </w:r>
          </w:p>
        </w:tc>
      </w:tr>
      <w:tr w:rsidR="00962C6E" w14:paraId="723C63F9" w14:textId="77777777">
        <w:tc>
          <w:tcPr>
            <w:tcW w:w="1483" w:type="dxa"/>
            <w:tcBorders>
              <w:bottom w:val="single" w:sz="4" w:space="0" w:color="auto"/>
            </w:tcBorders>
            <w:shd w:val="clear" w:color="auto" w:fill="auto"/>
          </w:tcPr>
          <w:p w14:paraId="7F672290" w14:textId="77777777" w:rsidR="00962C6E" w:rsidRDefault="006E3B2D">
            <w:pPr>
              <w:pStyle w:val="BodyText"/>
              <w:spacing w:before="80" w:after="80"/>
              <w:rPr>
                <w:bCs/>
              </w:rPr>
            </w:pPr>
            <w:r>
              <w:rPr>
                <w:bCs/>
              </w:rPr>
              <w:t>22.6</w:t>
            </w:r>
          </w:p>
        </w:tc>
        <w:tc>
          <w:tcPr>
            <w:tcW w:w="2304" w:type="dxa"/>
            <w:tcBorders>
              <w:bottom w:val="single" w:sz="4" w:space="0" w:color="auto"/>
            </w:tcBorders>
            <w:shd w:val="clear" w:color="auto" w:fill="auto"/>
          </w:tcPr>
          <w:p w14:paraId="32A5F6AF" w14:textId="77777777" w:rsidR="00962C6E" w:rsidRDefault="006E3B2D">
            <w:pPr>
              <w:pStyle w:val="BodyText"/>
              <w:spacing w:before="80" w:after="80"/>
            </w:pPr>
            <w:r>
              <w:t>Late payment of the GMT System Entry Overrun Charge Adjustments for Days in the GMT Retrospective Period and GMT Capacity Neutrality Charge Adjustments</w:t>
            </w:r>
          </w:p>
        </w:tc>
        <w:tc>
          <w:tcPr>
            <w:tcW w:w="2288" w:type="dxa"/>
            <w:tcBorders>
              <w:bottom w:val="single" w:sz="4" w:space="0" w:color="auto"/>
            </w:tcBorders>
            <w:shd w:val="clear" w:color="auto" w:fill="auto"/>
          </w:tcPr>
          <w:p w14:paraId="23F56188"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17AB5C99" w14:textId="77777777" w:rsidR="00962C6E" w:rsidRDefault="006E3B2D">
            <w:pPr>
              <w:pStyle w:val="BodyText"/>
              <w:spacing w:before="80" w:after="80"/>
            </w:pPr>
            <w:r>
              <w:t xml:space="preserve">This paragraph provides that </w:t>
            </w:r>
          </w:p>
          <w:p w14:paraId="240C2A48" w14:textId="77777777" w:rsidR="00962C6E" w:rsidRDefault="006E3B2D">
            <w:pPr>
              <w:pStyle w:val="BodyText"/>
              <w:spacing w:before="80" w:after="80"/>
            </w:pPr>
            <w:r>
              <w:t xml:space="preserve">(a) </w:t>
            </w:r>
            <w:proofErr w:type="gramStart"/>
            <w:r>
              <w:t>charges</w:t>
            </w:r>
            <w:proofErr w:type="gramEnd"/>
            <w:r>
              <w:t xml:space="preserve"> which have</w:t>
            </w:r>
            <w:r>
              <w:t xml:space="preserve"> not been paid by the User; and </w:t>
            </w:r>
          </w:p>
          <w:p w14:paraId="01BED7B0" w14:textId="77777777" w:rsidR="00962C6E" w:rsidRDefault="006E3B2D">
            <w:pPr>
              <w:pStyle w:val="BodyText"/>
              <w:spacing w:before="80" w:after="80"/>
            </w:pPr>
            <w:r>
              <w:t xml:space="preserve">(b) </w:t>
            </w:r>
            <w:proofErr w:type="gramStart"/>
            <w:r>
              <w:t>payment</w:t>
            </w:r>
            <w:proofErr w:type="gramEnd"/>
            <w:r>
              <w:t xml:space="preserve"> of charges by the User (made following the recovery of the late payment through neutrality) </w:t>
            </w:r>
          </w:p>
          <w:p w14:paraId="11653203" w14:textId="77777777" w:rsidR="00962C6E" w:rsidRDefault="006E3B2D">
            <w:pPr>
              <w:pStyle w:val="BodyText"/>
              <w:spacing w:before="80" w:after="80"/>
            </w:pPr>
            <w:proofErr w:type="gramStart"/>
            <w:r>
              <w:t>in</w:t>
            </w:r>
            <w:proofErr w:type="gramEnd"/>
            <w:r>
              <w:t xml:space="preserve"> respect of the GMT System Entry Overrun Charge Adjustments for Days in the GMT Retrospective Period and GMT Capacity Neutrality Charge Adjustments will be spread across Users through the capacity neutrality mechanisms in TPD Section B2.13.5.</w:t>
            </w:r>
          </w:p>
        </w:tc>
      </w:tr>
      <w:tr w:rsidR="00962C6E" w14:paraId="504454B1" w14:textId="77777777">
        <w:tc>
          <w:tcPr>
            <w:tcW w:w="1483" w:type="dxa"/>
            <w:tcBorders>
              <w:bottom w:val="single" w:sz="4" w:space="0" w:color="auto"/>
            </w:tcBorders>
            <w:shd w:val="clear" w:color="auto" w:fill="auto"/>
          </w:tcPr>
          <w:p w14:paraId="11D431DC" w14:textId="77777777" w:rsidR="00962C6E" w:rsidRDefault="006E3B2D">
            <w:pPr>
              <w:pStyle w:val="BodyText"/>
              <w:spacing w:before="80" w:after="80"/>
              <w:rPr>
                <w:bCs/>
              </w:rPr>
            </w:pPr>
            <w:r>
              <w:rPr>
                <w:bCs/>
              </w:rPr>
              <w:t>22.7</w:t>
            </w:r>
          </w:p>
        </w:tc>
        <w:tc>
          <w:tcPr>
            <w:tcW w:w="2304" w:type="dxa"/>
            <w:tcBorders>
              <w:bottom w:val="single" w:sz="4" w:space="0" w:color="auto"/>
            </w:tcBorders>
            <w:shd w:val="clear" w:color="auto" w:fill="auto"/>
          </w:tcPr>
          <w:p w14:paraId="148975B4" w14:textId="77777777" w:rsidR="00962C6E" w:rsidRDefault="006E3B2D">
            <w:pPr>
              <w:pStyle w:val="BodyText"/>
              <w:spacing w:before="80" w:after="80"/>
            </w:pPr>
            <w:r>
              <w:t>Calcu</w:t>
            </w:r>
            <w:r>
              <w:t xml:space="preserve">lation of the </w:t>
            </w:r>
            <w:r>
              <w:rPr>
                <w:b/>
              </w:rPr>
              <w:t>GMT Balancing Neutrality Charge Adjustment</w:t>
            </w:r>
          </w:p>
        </w:tc>
        <w:tc>
          <w:tcPr>
            <w:tcW w:w="2288" w:type="dxa"/>
            <w:tcBorders>
              <w:bottom w:val="single" w:sz="4" w:space="0" w:color="auto"/>
            </w:tcBorders>
            <w:shd w:val="clear" w:color="auto" w:fill="auto"/>
          </w:tcPr>
          <w:p w14:paraId="78753761"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43DA7EE5" w14:textId="77777777" w:rsidR="00962C6E" w:rsidRDefault="006E3B2D">
            <w:pPr>
              <w:pStyle w:val="BodyText"/>
              <w:spacing w:before="80" w:after="80"/>
            </w:pPr>
            <w:r>
              <w:t>This paragraph provides for the calculation and payment of an adjustment to the Balancing Neutrality Charge that was previously calculated and payable for each month in the GMT Retrospective Period.</w:t>
            </w:r>
            <w:r>
              <w:t xml:space="preserve"> </w:t>
            </w:r>
          </w:p>
          <w:p w14:paraId="3042FE5E" w14:textId="77777777" w:rsidR="00962C6E" w:rsidRDefault="006E3B2D">
            <w:pPr>
              <w:pStyle w:val="BodyText"/>
              <w:spacing w:before="80" w:after="80"/>
            </w:pPr>
            <w:r>
              <w:t xml:space="preserve">For each month in the GMT Retrospective Period, the Balancing Neutrality Charge is to be recalculated, but including the GMT Incentivised Nomination Charge Adjustment, GMT Daily </w:t>
            </w:r>
            <w:r>
              <w:lastRenderedPageBreak/>
              <w:t>Imbalance Charge Adjustment and GMT Scheduling Charge Adjustment for each Da</w:t>
            </w:r>
            <w:r>
              <w:t xml:space="preserve">y in that month in the calculation. </w:t>
            </w:r>
          </w:p>
          <w:p w14:paraId="15253A90" w14:textId="77777777" w:rsidR="00962C6E" w:rsidRDefault="006E3B2D">
            <w:pPr>
              <w:pStyle w:val="BodyText"/>
              <w:spacing w:before="80" w:after="80"/>
            </w:pPr>
            <w:r>
              <w:t xml:space="preserve">The GMT Balancing Neutrality Charge Adjustment, which is the difference between the revised Balancing Neutrality Charge and the Balancing Neutrality Charge actually payable, is calculated, and if positive is payable by </w:t>
            </w:r>
            <w:r>
              <w:t>the User to National Grid NTS and if negative is payable by National Grid NTS to the User.</w:t>
            </w:r>
          </w:p>
        </w:tc>
      </w:tr>
      <w:tr w:rsidR="00962C6E" w14:paraId="25E655F1" w14:textId="77777777">
        <w:tc>
          <w:tcPr>
            <w:tcW w:w="1483" w:type="dxa"/>
            <w:tcBorders>
              <w:bottom w:val="single" w:sz="4" w:space="0" w:color="auto"/>
            </w:tcBorders>
            <w:shd w:val="clear" w:color="auto" w:fill="auto"/>
          </w:tcPr>
          <w:p w14:paraId="6871F4D9" w14:textId="77777777" w:rsidR="00962C6E" w:rsidRDefault="006E3B2D">
            <w:pPr>
              <w:pStyle w:val="BodyText"/>
              <w:spacing w:before="80" w:after="80"/>
              <w:rPr>
                <w:bCs/>
              </w:rPr>
            </w:pPr>
            <w:r>
              <w:rPr>
                <w:bCs/>
              </w:rPr>
              <w:lastRenderedPageBreak/>
              <w:t>22.8</w:t>
            </w:r>
          </w:p>
        </w:tc>
        <w:tc>
          <w:tcPr>
            <w:tcW w:w="2304" w:type="dxa"/>
            <w:tcBorders>
              <w:bottom w:val="single" w:sz="4" w:space="0" w:color="auto"/>
            </w:tcBorders>
            <w:shd w:val="clear" w:color="auto" w:fill="auto"/>
          </w:tcPr>
          <w:p w14:paraId="76CB0DE8" w14:textId="77777777" w:rsidR="00962C6E" w:rsidRDefault="006E3B2D">
            <w:pPr>
              <w:pStyle w:val="BodyText"/>
              <w:spacing w:before="80" w:after="80"/>
            </w:pPr>
            <w:r>
              <w:t>Late payment of the non-capacity related GMT Retrospective Period Adjustments for Days in the GMT Retrospective Period and GMT Balancing Neutrality Charge Adju</w:t>
            </w:r>
            <w:r>
              <w:t>stments</w:t>
            </w:r>
          </w:p>
        </w:tc>
        <w:tc>
          <w:tcPr>
            <w:tcW w:w="2288" w:type="dxa"/>
            <w:tcBorders>
              <w:bottom w:val="single" w:sz="4" w:space="0" w:color="auto"/>
            </w:tcBorders>
            <w:shd w:val="clear" w:color="auto" w:fill="auto"/>
          </w:tcPr>
          <w:p w14:paraId="66E17EC1"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73C8AD84" w14:textId="77777777" w:rsidR="00962C6E" w:rsidRDefault="006E3B2D">
            <w:pPr>
              <w:pStyle w:val="BodyText"/>
              <w:spacing w:before="80" w:after="80"/>
            </w:pPr>
            <w:r>
              <w:t xml:space="preserve">This paragraph provides that </w:t>
            </w:r>
          </w:p>
          <w:p w14:paraId="74B5A75F" w14:textId="77777777" w:rsidR="00962C6E" w:rsidRDefault="006E3B2D">
            <w:pPr>
              <w:pStyle w:val="BodyText"/>
              <w:spacing w:before="80" w:after="80"/>
            </w:pPr>
            <w:r>
              <w:t xml:space="preserve">(a) </w:t>
            </w:r>
            <w:proofErr w:type="gramStart"/>
            <w:r>
              <w:t>charges</w:t>
            </w:r>
            <w:proofErr w:type="gramEnd"/>
            <w:r>
              <w:t xml:space="preserve"> which have not been paid by the User; and </w:t>
            </w:r>
          </w:p>
          <w:p w14:paraId="77E2E29E" w14:textId="77777777" w:rsidR="00962C6E" w:rsidRDefault="006E3B2D">
            <w:pPr>
              <w:pStyle w:val="BodyText"/>
              <w:spacing w:before="80" w:after="80"/>
            </w:pPr>
            <w:r>
              <w:t xml:space="preserve">(b) </w:t>
            </w:r>
            <w:proofErr w:type="gramStart"/>
            <w:r>
              <w:t>payment</w:t>
            </w:r>
            <w:proofErr w:type="gramEnd"/>
            <w:r>
              <w:t xml:space="preserve"> of charges by the User (made following the recovery of the late payment through neutrality </w:t>
            </w:r>
          </w:p>
          <w:p w14:paraId="561CB205" w14:textId="77777777" w:rsidR="00962C6E" w:rsidRDefault="006E3B2D">
            <w:pPr>
              <w:pStyle w:val="BodyText"/>
              <w:spacing w:before="80" w:after="80"/>
            </w:pPr>
            <w:proofErr w:type="gramStart"/>
            <w:r>
              <w:t>in</w:t>
            </w:r>
            <w:proofErr w:type="gramEnd"/>
            <w:r>
              <w:t xml:space="preserve"> respect of the non-capacity related GMT Retrospective Period Adjustments for Days in the GMT Retrospective Period and GMT Balancing Neutrality Charge Adjustments will be spread across Users through the balancing neutrality mechanisms in TPD Section F4.5</w:t>
            </w:r>
            <w:r>
              <w:t>.</w:t>
            </w:r>
          </w:p>
        </w:tc>
      </w:tr>
      <w:tr w:rsidR="00962C6E" w14:paraId="32DFBCB5" w14:textId="77777777">
        <w:tc>
          <w:tcPr>
            <w:tcW w:w="1483" w:type="dxa"/>
            <w:tcBorders>
              <w:bottom w:val="single" w:sz="4" w:space="0" w:color="auto"/>
            </w:tcBorders>
            <w:shd w:val="clear" w:color="auto" w:fill="auto"/>
          </w:tcPr>
          <w:p w14:paraId="107BB627" w14:textId="77777777" w:rsidR="00962C6E" w:rsidRDefault="006E3B2D">
            <w:pPr>
              <w:pStyle w:val="BodyText"/>
              <w:spacing w:before="80" w:after="80"/>
              <w:rPr>
                <w:bCs/>
              </w:rPr>
            </w:pPr>
            <w:r>
              <w:rPr>
                <w:bCs/>
              </w:rPr>
              <w:t>22.9</w:t>
            </w:r>
          </w:p>
        </w:tc>
        <w:tc>
          <w:tcPr>
            <w:tcW w:w="2304" w:type="dxa"/>
            <w:tcBorders>
              <w:bottom w:val="single" w:sz="4" w:space="0" w:color="auto"/>
            </w:tcBorders>
            <w:shd w:val="clear" w:color="auto" w:fill="auto"/>
          </w:tcPr>
          <w:p w14:paraId="7507A119" w14:textId="77777777" w:rsidR="00962C6E" w:rsidRDefault="006E3B2D">
            <w:pPr>
              <w:pStyle w:val="BodyText"/>
              <w:spacing w:before="80" w:after="80"/>
            </w:pPr>
            <w:r>
              <w:rPr>
                <w:b/>
              </w:rPr>
              <w:t>GMT Retrospective Period Adjustments, GMT Balancing Neutrality Charge Adjustments and GMT Capacity Neutrality Charge Adjustments</w:t>
            </w:r>
            <w:r>
              <w:t xml:space="preserve"> - Calculations</w:t>
            </w:r>
          </w:p>
        </w:tc>
        <w:tc>
          <w:tcPr>
            <w:tcW w:w="2288" w:type="dxa"/>
            <w:tcBorders>
              <w:bottom w:val="single" w:sz="4" w:space="0" w:color="auto"/>
            </w:tcBorders>
            <w:shd w:val="clear" w:color="auto" w:fill="auto"/>
          </w:tcPr>
          <w:p w14:paraId="40BC3F5B"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10D768E4" w14:textId="77777777" w:rsidR="00962C6E" w:rsidRDefault="006E3B2D">
            <w:pPr>
              <w:pStyle w:val="BodyText"/>
              <w:spacing w:before="80" w:after="80"/>
            </w:pPr>
            <w:r>
              <w:t xml:space="preserve">Each of the User's GMT Retrospective Period Adjustments, GMT Balancing Neutrality Adjustments and the GMT Capacity Neutrality Charge Adjustments for the GMT Retrospective Period are to be calculated by National Grid NTS by no later than the </w:t>
            </w:r>
            <w:proofErr w:type="gramStart"/>
            <w:r>
              <w:t>[   ]</w:t>
            </w:r>
            <w:proofErr w:type="spellStart"/>
            <w:proofErr w:type="gramEnd"/>
            <w:r>
              <w:t>th</w:t>
            </w:r>
            <w:proofErr w:type="spellEnd"/>
            <w:r>
              <w:t xml:space="preserve"> Busines</w:t>
            </w:r>
            <w:r>
              <w:t>s Day after the last day of the GMT Retrospective Period.</w:t>
            </w:r>
          </w:p>
        </w:tc>
      </w:tr>
      <w:tr w:rsidR="00962C6E" w14:paraId="1AFE583E" w14:textId="77777777">
        <w:tc>
          <w:tcPr>
            <w:tcW w:w="1483" w:type="dxa"/>
            <w:tcBorders>
              <w:bottom w:val="single" w:sz="4" w:space="0" w:color="auto"/>
            </w:tcBorders>
            <w:shd w:val="clear" w:color="auto" w:fill="auto"/>
          </w:tcPr>
          <w:p w14:paraId="4C574957" w14:textId="77777777" w:rsidR="00962C6E" w:rsidRDefault="006E3B2D">
            <w:pPr>
              <w:pStyle w:val="BodyText"/>
              <w:spacing w:before="80" w:after="80"/>
              <w:rPr>
                <w:bCs/>
              </w:rPr>
            </w:pPr>
            <w:r>
              <w:rPr>
                <w:bCs/>
              </w:rPr>
              <w:t>22.10</w:t>
            </w:r>
          </w:p>
        </w:tc>
        <w:tc>
          <w:tcPr>
            <w:tcW w:w="2304" w:type="dxa"/>
            <w:tcBorders>
              <w:bottom w:val="single" w:sz="4" w:space="0" w:color="auto"/>
            </w:tcBorders>
            <w:shd w:val="clear" w:color="auto" w:fill="auto"/>
          </w:tcPr>
          <w:p w14:paraId="4BA5636D" w14:textId="77777777" w:rsidR="00962C6E" w:rsidRDefault="006E3B2D">
            <w:pPr>
              <w:pStyle w:val="BodyText"/>
              <w:spacing w:before="80" w:after="80"/>
            </w:pPr>
            <w:r>
              <w:rPr>
                <w:b/>
              </w:rPr>
              <w:t xml:space="preserve">GMT Retrospective Period Adjustments, GMT Balancing Neutrality Charge Adjustments and the </w:t>
            </w:r>
            <w:r>
              <w:rPr>
                <w:b/>
              </w:rPr>
              <w:lastRenderedPageBreak/>
              <w:t>GMT Capacity Neutrality Charge Adjustment</w:t>
            </w:r>
            <w:r>
              <w:t xml:space="preserve"> – payment and invoicing</w:t>
            </w:r>
          </w:p>
        </w:tc>
        <w:tc>
          <w:tcPr>
            <w:tcW w:w="2288" w:type="dxa"/>
            <w:tcBorders>
              <w:bottom w:val="single" w:sz="4" w:space="0" w:color="auto"/>
            </w:tcBorders>
            <w:shd w:val="clear" w:color="auto" w:fill="auto"/>
          </w:tcPr>
          <w:p w14:paraId="22E417C1" w14:textId="77777777" w:rsidR="00962C6E" w:rsidRDefault="00962C6E">
            <w:pPr>
              <w:pStyle w:val="BodyText"/>
              <w:spacing w:before="80" w:after="80"/>
              <w:rPr>
                <w:b/>
                <w:bCs/>
                <w:sz w:val="24"/>
              </w:rPr>
            </w:pPr>
          </w:p>
        </w:tc>
        <w:tc>
          <w:tcPr>
            <w:tcW w:w="8703" w:type="dxa"/>
            <w:tcBorders>
              <w:bottom w:val="single" w:sz="4" w:space="0" w:color="auto"/>
            </w:tcBorders>
            <w:shd w:val="clear" w:color="auto" w:fill="auto"/>
          </w:tcPr>
          <w:p w14:paraId="237001B6" w14:textId="77777777" w:rsidR="00962C6E" w:rsidRDefault="006E3B2D">
            <w:pPr>
              <w:pStyle w:val="BodyText"/>
              <w:spacing w:before="80" w:after="80"/>
            </w:pPr>
            <w:r>
              <w:t>This paragraph provides that the U</w:t>
            </w:r>
            <w:r>
              <w:t xml:space="preserve">ser's GMT Retrospective Period Adjustments, GMT Balancing Neutrality Charge Adjustments and GMT Capacity Neutrality Charge Adjustments will be invoiced and payable in accordance with TPD Section S. </w:t>
            </w:r>
          </w:p>
        </w:tc>
      </w:tr>
      <w:tr w:rsidR="00962C6E" w14:paraId="5AE9DBD0" w14:textId="77777777">
        <w:tc>
          <w:tcPr>
            <w:tcW w:w="14778" w:type="dxa"/>
            <w:gridSpan w:val="4"/>
            <w:shd w:val="clear" w:color="auto" w:fill="548DD4" w:themeFill="text2" w:themeFillTint="99"/>
          </w:tcPr>
          <w:p w14:paraId="2A8C140C" w14:textId="77777777" w:rsidR="00962C6E" w:rsidRDefault="006E3B2D">
            <w:pPr>
              <w:pStyle w:val="BodyText"/>
              <w:spacing w:before="240"/>
              <w:rPr>
                <w:b/>
                <w:color w:val="FFFFFF" w:themeColor="background1"/>
              </w:rPr>
            </w:pPr>
            <w:r>
              <w:rPr>
                <w:b/>
                <w:color w:val="FFFFFF" w:themeColor="background1"/>
              </w:rPr>
              <w:lastRenderedPageBreak/>
              <w:t>GENERAL TERMS: SECTION C – INTERPRETATION</w:t>
            </w:r>
          </w:p>
        </w:tc>
      </w:tr>
      <w:tr w:rsidR="00962C6E" w14:paraId="1BE33993" w14:textId="77777777">
        <w:tc>
          <w:tcPr>
            <w:tcW w:w="1483" w:type="dxa"/>
          </w:tcPr>
          <w:p w14:paraId="58A29107" w14:textId="77777777" w:rsidR="00962C6E" w:rsidRDefault="006E3B2D">
            <w:pPr>
              <w:pStyle w:val="BodyText"/>
              <w:spacing w:before="80" w:after="80"/>
              <w:rPr>
                <w:bCs/>
              </w:rPr>
            </w:pPr>
            <w:r>
              <w:rPr>
                <w:bCs/>
              </w:rPr>
              <w:t>2.2.1</w:t>
            </w:r>
          </w:p>
        </w:tc>
        <w:tc>
          <w:tcPr>
            <w:tcW w:w="2304" w:type="dxa"/>
          </w:tcPr>
          <w:p w14:paraId="6FA2AAE8" w14:textId="77777777" w:rsidR="00962C6E" w:rsidRDefault="006E3B2D">
            <w:pPr>
              <w:pStyle w:val="BodyText"/>
              <w:spacing w:before="80" w:after="80"/>
            </w:pPr>
            <w:r>
              <w:t xml:space="preserve">Definitions of </w:t>
            </w:r>
            <w:r>
              <w:rPr>
                <w:b/>
              </w:rPr>
              <w:t>GMT Day</w:t>
            </w:r>
            <w:r>
              <w:t xml:space="preserve"> and </w:t>
            </w:r>
            <w:r>
              <w:rPr>
                <w:b/>
              </w:rPr>
              <w:t>Day</w:t>
            </w:r>
          </w:p>
        </w:tc>
        <w:tc>
          <w:tcPr>
            <w:tcW w:w="2288" w:type="dxa"/>
          </w:tcPr>
          <w:p w14:paraId="4E837FAA" w14:textId="77777777" w:rsidR="00962C6E" w:rsidRDefault="00962C6E">
            <w:pPr>
              <w:pStyle w:val="BodyText"/>
              <w:spacing w:before="80" w:after="80"/>
            </w:pPr>
          </w:p>
        </w:tc>
        <w:tc>
          <w:tcPr>
            <w:tcW w:w="8703" w:type="dxa"/>
          </w:tcPr>
          <w:p w14:paraId="25C5807D" w14:textId="77777777" w:rsidR="00962C6E" w:rsidRDefault="006E3B2D">
            <w:pPr>
              <w:pStyle w:val="BodyText"/>
            </w:pPr>
            <w:r>
              <w:t>This paragraph adds a definition of  "GMT Day", is the period from 6.00am on one day until 6.00am the next day.</w:t>
            </w:r>
          </w:p>
          <w:p w14:paraId="24DF0C2F" w14:textId="77777777" w:rsidR="00962C6E" w:rsidRDefault="006E3B2D">
            <w:pPr>
              <w:pStyle w:val="BodyText"/>
            </w:pPr>
            <w:r>
              <w:t xml:space="preserve">Paragraph (m) provides that a Day (05.00 - 05.00) and a GMT Day (06.00 - 06.00) are corresponding where the Day </w:t>
            </w:r>
            <w:r>
              <w:t xml:space="preserve">and the GMT Day begin on the same calendar day. </w:t>
            </w:r>
          </w:p>
        </w:tc>
      </w:tr>
      <w:tr w:rsidR="00962C6E" w14:paraId="4BD0BD51" w14:textId="77777777">
        <w:trPr>
          <w:trHeight w:val="584"/>
        </w:trPr>
        <w:tc>
          <w:tcPr>
            <w:tcW w:w="14778" w:type="dxa"/>
            <w:gridSpan w:val="4"/>
            <w:shd w:val="clear" w:color="auto" w:fill="548DD4" w:themeFill="text2" w:themeFillTint="99"/>
          </w:tcPr>
          <w:p w14:paraId="77246F5A" w14:textId="77777777" w:rsidR="00962C6E" w:rsidRDefault="006E3B2D">
            <w:pPr>
              <w:pStyle w:val="BodyText"/>
              <w:spacing w:before="240"/>
            </w:pPr>
            <w:r>
              <w:rPr>
                <w:b/>
                <w:color w:val="FFFFFF" w:themeColor="background1"/>
              </w:rPr>
              <w:t>TRANSPORTATION PRINCIPAL DOCUMENT: SECTION A – SYSTEM CLASSIFICATION</w:t>
            </w:r>
          </w:p>
        </w:tc>
      </w:tr>
      <w:tr w:rsidR="00962C6E" w14:paraId="77E20BA8" w14:textId="77777777">
        <w:trPr>
          <w:trHeight w:val="77"/>
        </w:trPr>
        <w:tc>
          <w:tcPr>
            <w:tcW w:w="1483" w:type="dxa"/>
          </w:tcPr>
          <w:p w14:paraId="21FB9C60" w14:textId="77777777" w:rsidR="00962C6E" w:rsidRDefault="006E3B2D">
            <w:pPr>
              <w:pStyle w:val="BodyText"/>
              <w:spacing w:before="80" w:after="80"/>
              <w:rPr>
                <w:bCs/>
              </w:rPr>
            </w:pPr>
            <w:r>
              <w:rPr>
                <w:bCs/>
              </w:rPr>
              <w:t>2.2.3</w:t>
            </w:r>
          </w:p>
        </w:tc>
        <w:tc>
          <w:tcPr>
            <w:tcW w:w="2304" w:type="dxa"/>
          </w:tcPr>
          <w:p w14:paraId="4CAAE172" w14:textId="77777777" w:rsidR="00962C6E" w:rsidRDefault="006E3B2D">
            <w:pPr>
              <w:pStyle w:val="BodyText"/>
              <w:spacing w:before="80" w:after="80"/>
            </w:pPr>
            <w:r>
              <w:t xml:space="preserve">Definition of </w:t>
            </w:r>
            <w:r>
              <w:rPr>
                <w:b/>
              </w:rPr>
              <w:t>GMT System Entry Point</w:t>
            </w:r>
          </w:p>
        </w:tc>
        <w:tc>
          <w:tcPr>
            <w:tcW w:w="2288" w:type="dxa"/>
          </w:tcPr>
          <w:p w14:paraId="5297B2B2" w14:textId="77777777" w:rsidR="00962C6E" w:rsidRDefault="00962C6E">
            <w:pPr>
              <w:pStyle w:val="BodyText"/>
              <w:spacing w:before="80" w:after="80"/>
            </w:pPr>
          </w:p>
        </w:tc>
        <w:tc>
          <w:tcPr>
            <w:tcW w:w="8703" w:type="dxa"/>
          </w:tcPr>
          <w:p w14:paraId="20AF402A" w14:textId="77777777" w:rsidR="00962C6E" w:rsidRDefault="006E3B2D">
            <w:r>
              <w:t xml:space="preserve">This paragraph introduces "GMT System Entry Points" as a new sub-category of System Entry </w:t>
            </w:r>
            <w:r>
              <w:t>Points. A "GMT System Entry Point" is a System Entry Point connected to a Connected Delivery Facility which:</w:t>
            </w:r>
          </w:p>
          <w:p w14:paraId="7E3D5B81" w14:textId="77777777" w:rsidR="00962C6E" w:rsidRDefault="006E3B2D">
            <w:pPr>
              <w:pStyle w:val="ListParagraph"/>
              <w:numPr>
                <w:ilvl w:val="0"/>
                <w:numId w:val="36"/>
              </w:numPr>
            </w:pPr>
            <w:proofErr w:type="gramStart"/>
            <w:r>
              <w:t>is</w:t>
            </w:r>
            <w:proofErr w:type="gramEnd"/>
            <w:r>
              <w:t xml:space="preserve"> a facility for processing gas produced (and transported to such facility) from offshore or onshore oil or gas fields; and </w:t>
            </w:r>
          </w:p>
          <w:p w14:paraId="12EC5250" w14:textId="77777777" w:rsidR="00962C6E" w:rsidRDefault="006E3B2D">
            <w:pPr>
              <w:pStyle w:val="ListParagraph"/>
              <w:numPr>
                <w:ilvl w:val="0"/>
                <w:numId w:val="36"/>
              </w:numPr>
            </w:pPr>
            <w:proofErr w:type="gramStart"/>
            <w:r>
              <w:t>is</w:t>
            </w:r>
            <w:proofErr w:type="gramEnd"/>
            <w:r>
              <w:t xml:space="preserve"> specified as a GMT</w:t>
            </w:r>
            <w:r>
              <w:t xml:space="preserve"> System Entry Point (i.e. a Connected Delivery Facility that operates a 06.00-06.00 gas day) in the prevailing version of the GMT System Entry Point Statement.</w:t>
            </w:r>
          </w:p>
          <w:p w14:paraId="0F1E70A7" w14:textId="77777777" w:rsidR="00962C6E" w:rsidRDefault="00962C6E">
            <w:pPr>
              <w:pStyle w:val="ListParagraph"/>
            </w:pPr>
          </w:p>
          <w:p w14:paraId="1DD462E1" w14:textId="77777777" w:rsidR="00962C6E" w:rsidRDefault="006E3B2D">
            <w:r>
              <w:t>The GMT System Entry Point Statement will be established and maintained by National Grid NTS. I</w:t>
            </w:r>
            <w:r>
              <w:t xml:space="preserve">ts purpose will be to list the sub-terminals (Connected Delivery Facilities) that are operating on a </w:t>
            </w:r>
            <w:proofErr w:type="gramStart"/>
            <w:r>
              <w:t>6-6 gas</w:t>
            </w:r>
            <w:proofErr w:type="gramEnd"/>
            <w:r>
              <w:t xml:space="preserve"> day. </w:t>
            </w:r>
          </w:p>
        </w:tc>
      </w:tr>
      <w:tr w:rsidR="00962C6E" w14:paraId="56D4D2A7" w14:textId="77777777">
        <w:trPr>
          <w:trHeight w:val="77"/>
        </w:trPr>
        <w:tc>
          <w:tcPr>
            <w:tcW w:w="14778" w:type="dxa"/>
            <w:gridSpan w:val="4"/>
            <w:shd w:val="clear" w:color="auto" w:fill="548DD4" w:themeFill="text2" w:themeFillTint="99"/>
          </w:tcPr>
          <w:p w14:paraId="35E61588" w14:textId="77777777" w:rsidR="00962C6E" w:rsidRDefault="006E3B2D">
            <w:pPr>
              <w:pStyle w:val="BodyText"/>
              <w:spacing w:before="240"/>
              <w:rPr>
                <w:b/>
                <w:color w:val="FFFFFF" w:themeColor="background1"/>
              </w:rPr>
            </w:pPr>
            <w:r>
              <w:rPr>
                <w:b/>
                <w:color w:val="FFFFFF" w:themeColor="background1"/>
              </w:rPr>
              <w:t>TRANSPORTATION PRINCIPAL DOCUMENT: SECTION B – SYSTEM USE AND CAPACITY</w:t>
            </w:r>
          </w:p>
        </w:tc>
      </w:tr>
      <w:tr w:rsidR="00962C6E" w14:paraId="5807396A" w14:textId="77777777">
        <w:trPr>
          <w:trHeight w:val="77"/>
        </w:trPr>
        <w:tc>
          <w:tcPr>
            <w:tcW w:w="1483" w:type="dxa"/>
          </w:tcPr>
          <w:p w14:paraId="3DA23F1D" w14:textId="77777777" w:rsidR="00962C6E" w:rsidRDefault="006E3B2D">
            <w:pPr>
              <w:pStyle w:val="BodyText"/>
              <w:spacing w:before="80" w:after="80"/>
              <w:rPr>
                <w:bCs/>
              </w:rPr>
            </w:pPr>
            <w:r>
              <w:rPr>
                <w:bCs/>
              </w:rPr>
              <w:lastRenderedPageBreak/>
              <w:t>2.12.9</w:t>
            </w:r>
          </w:p>
        </w:tc>
        <w:tc>
          <w:tcPr>
            <w:tcW w:w="2304" w:type="dxa"/>
          </w:tcPr>
          <w:p w14:paraId="145C0B56" w14:textId="77777777" w:rsidR="00962C6E" w:rsidRDefault="006E3B2D">
            <w:pPr>
              <w:pStyle w:val="BodyText"/>
              <w:spacing w:before="80" w:after="80"/>
            </w:pPr>
            <w:r>
              <w:t xml:space="preserve">Calculation of </w:t>
            </w:r>
            <w:r>
              <w:rPr>
                <w:b/>
              </w:rPr>
              <w:t>GMT System Entry Overrun Charge Adjustments</w:t>
            </w:r>
          </w:p>
        </w:tc>
        <w:tc>
          <w:tcPr>
            <w:tcW w:w="2288" w:type="dxa"/>
          </w:tcPr>
          <w:p w14:paraId="2A2BA6E1" w14:textId="77777777" w:rsidR="00962C6E" w:rsidRDefault="00962C6E">
            <w:pPr>
              <w:pStyle w:val="BodyText"/>
              <w:spacing w:before="80" w:after="80"/>
            </w:pPr>
          </w:p>
        </w:tc>
        <w:tc>
          <w:tcPr>
            <w:tcW w:w="8703" w:type="dxa"/>
          </w:tcPr>
          <w:p w14:paraId="67ADC7E6" w14:textId="77777777" w:rsidR="00962C6E" w:rsidRDefault="006E3B2D">
            <w:pPr>
              <w:pStyle w:val="BodyText"/>
            </w:pPr>
            <w:r>
              <w:t>This paragraph provides that an adjustment to each Delivering User's System Entry Overrun Charge at each Aggregate System Entry Point which contains one or more GMT System Entry Points in relation to each Day (the "GMT System Entry Overrun Charge Adjustmen</w:t>
            </w:r>
            <w:r>
              <w:t xml:space="preserve">t") shall be calculated in accordance with paragraph 2.12. The adjustment is calculated at or around the same time as calculation of the original charge, and invoiced in the same invoice. </w:t>
            </w:r>
          </w:p>
          <w:p w14:paraId="10DAAB4F" w14:textId="77777777" w:rsidR="00962C6E" w:rsidRDefault="006E3B2D">
            <w:pPr>
              <w:pStyle w:val="BodyText"/>
            </w:pPr>
            <w:r>
              <w:t>An Aggregate System Entry Point containing one or more GMT System E</w:t>
            </w:r>
            <w:r>
              <w:t>ntry Points is a GMT ASEP.</w:t>
            </w:r>
          </w:p>
          <w:p w14:paraId="2FEAA6A1" w14:textId="77777777" w:rsidR="00962C6E" w:rsidRDefault="006E3B2D">
            <w:pPr>
              <w:pStyle w:val="BodyText"/>
            </w:pPr>
            <w:r>
              <w:t>Where the calculated adjustment is negative, then National Grid NTS will make a payment to the User and where the calculated adjustment is positive, then the User must make a payment to National Grid NTS.</w:t>
            </w:r>
          </w:p>
        </w:tc>
      </w:tr>
      <w:tr w:rsidR="00962C6E" w14:paraId="50A93F3A" w14:textId="77777777">
        <w:trPr>
          <w:trHeight w:val="77"/>
        </w:trPr>
        <w:tc>
          <w:tcPr>
            <w:tcW w:w="1483" w:type="dxa"/>
          </w:tcPr>
          <w:p w14:paraId="283289ED" w14:textId="77777777" w:rsidR="00962C6E" w:rsidRDefault="006E3B2D">
            <w:pPr>
              <w:pStyle w:val="BodyText"/>
              <w:spacing w:before="80" w:after="80"/>
              <w:rPr>
                <w:bCs/>
              </w:rPr>
            </w:pPr>
            <w:r>
              <w:rPr>
                <w:bCs/>
              </w:rPr>
              <w:t>2.12.10</w:t>
            </w:r>
          </w:p>
        </w:tc>
        <w:tc>
          <w:tcPr>
            <w:tcW w:w="2304" w:type="dxa"/>
          </w:tcPr>
          <w:p w14:paraId="35E20A96" w14:textId="77777777" w:rsidR="00962C6E" w:rsidRDefault="006E3B2D">
            <w:pPr>
              <w:pStyle w:val="BodyText"/>
              <w:spacing w:before="80" w:after="80"/>
            </w:pPr>
            <w:r>
              <w:t xml:space="preserve">Determination of charges and quantities related to 2.12.9 above </w:t>
            </w:r>
          </w:p>
        </w:tc>
        <w:tc>
          <w:tcPr>
            <w:tcW w:w="2288" w:type="dxa"/>
          </w:tcPr>
          <w:p w14:paraId="3BBCECE4" w14:textId="77777777" w:rsidR="00962C6E" w:rsidRDefault="00962C6E">
            <w:pPr>
              <w:pStyle w:val="BodyText"/>
              <w:spacing w:before="80" w:after="80"/>
            </w:pPr>
          </w:p>
        </w:tc>
        <w:tc>
          <w:tcPr>
            <w:tcW w:w="8703" w:type="dxa"/>
          </w:tcPr>
          <w:p w14:paraId="59D8BCD8" w14:textId="77777777" w:rsidR="00962C6E" w:rsidRDefault="006E3B2D">
            <w:pPr>
              <w:pStyle w:val="BodyText"/>
            </w:pPr>
            <w:r>
              <w:t xml:space="preserve">This paragraph sets out how the GMT System Entry Overrun Charge Adjustment for each User, for each Day and for each GMT ASEP is calculated. This paragraph provides that: </w:t>
            </w:r>
          </w:p>
          <w:p w14:paraId="6AD19863" w14:textId="77777777" w:rsidR="00962C6E" w:rsidRDefault="006E3B2D">
            <w:pPr>
              <w:pStyle w:val="BodyText"/>
            </w:pPr>
            <w:r>
              <w:t xml:space="preserve">(a) </w:t>
            </w:r>
            <w:proofErr w:type="gramStart"/>
            <w:r>
              <w:t>a</w:t>
            </w:r>
            <w:proofErr w:type="gramEnd"/>
            <w:r>
              <w:t xml:space="preserve"> User's "GMT S</w:t>
            </w:r>
            <w:r>
              <w:t>ystem Entry Overrun Charge Adjustment" at a GMT ASEP is calculated on a daily basis as the difference between the GMT System Entry Overrun Charge and the System Entry Overrun Charge;</w:t>
            </w:r>
          </w:p>
          <w:p w14:paraId="05CFF9B7" w14:textId="77777777" w:rsidR="00962C6E" w:rsidRDefault="006E3B2D">
            <w:pPr>
              <w:pStyle w:val="BodyText"/>
            </w:pPr>
            <w:r>
              <w:t xml:space="preserve">(b) </w:t>
            </w:r>
            <w:proofErr w:type="gramStart"/>
            <w:r>
              <w:t>a</w:t>
            </w:r>
            <w:proofErr w:type="gramEnd"/>
            <w:r>
              <w:t xml:space="preserve"> User's daily "GMT System Entry Overrun Charge" at a GMT ASEP is an </w:t>
            </w:r>
            <w:r>
              <w:t>amount equal to as the System Entry Overrun Charge for that GMT ASEP, but calculated by substituting the GMT overrun quantity for the overrun quantity.</w:t>
            </w:r>
          </w:p>
          <w:p w14:paraId="16AB9CC0" w14:textId="77777777" w:rsidR="00962C6E" w:rsidRDefault="006E3B2D">
            <w:pPr>
              <w:pStyle w:val="BodyText"/>
            </w:pPr>
            <w:r>
              <w:t xml:space="preserve">(c) </w:t>
            </w:r>
            <w:proofErr w:type="gramStart"/>
            <w:r>
              <w:t>a</w:t>
            </w:r>
            <w:proofErr w:type="gramEnd"/>
            <w:r>
              <w:t xml:space="preserve"> User's daily "GMT overrun quantity" at a GMT ASEP is the amount equal to the overrun quantity, cal</w:t>
            </w:r>
            <w:r>
              <w:t>culated by substituting the User's GMT UDQI at each GMT System Entry Point in the GMT ASEP for the User's UDQI.</w:t>
            </w:r>
          </w:p>
        </w:tc>
      </w:tr>
      <w:tr w:rsidR="00962C6E" w14:paraId="6B55942E" w14:textId="77777777">
        <w:trPr>
          <w:trHeight w:val="77"/>
        </w:trPr>
        <w:tc>
          <w:tcPr>
            <w:tcW w:w="1483" w:type="dxa"/>
          </w:tcPr>
          <w:p w14:paraId="07EB66DF" w14:textId="77777777" w:rsidR="00962C6E" w:rsidRDefault="006E3B2D">
            <w:pPr>
              <w:pStyle w:val="BodyText"/>
              <w:spacing w:before="80" w:after="80"/>
              <w:rPr>
                <w:bCs/>
              </w:rPr>
            </w:pPr>
            <w:r>
              <w:rPr>
                <w:bCs/>
              </w:rPr>
              <w:t>2.12.11</w:t>
            </w:r>
          </w:p>
        </w:tc>
        <w:tc>
          <w:tcPr>
            <w:tcW w:w="2304" w:type="dxa"/>
          </w:tcPr>
          <w:p w14:paraId="6CD62178" w14:textId="77777777" w:rsidR="00962C6E" w:rsidRDefault="006E3B2D">
            <w:pPr>
              <w:pStyle w:val="BodyText"/>
              <w:spacing w:before="80" w:after="80"/>
            </w:pPr>
            <w:r>
              <w:rPr>
                <w:b/>
              </w:rPr>
              <w:t>GMT System Overrun Charge Adjustments</w:t>
            </w:r>
            <w:r>
              <w:t xml:space="preserve"> -Monthly calculations</w:t>
            </w:r>
          </w:p>
        </w:tc>
        <w:tc>
          <w:tcPr>
            <w:tcW w:w="2288" w:type="dxa"/>
          </w:tcPr>
          <w:p w14:paraId="6DCEFC17" w14:textId="77777777" w:rsidR="00962C6E" w:rsidRDefault="00962C6E">
            <w:pPr>
              <w:pStyle w:val="BodyText"/>
              <w:spacing w:before="80" w:after="80"/>
            </w:pPr>
          </w:p>
        </w:tc>
        <w:tc>
          <w:tcPr>
            <w:tcW w:w="8703" w:type="dxa"/>
          </w:tcPr>
          <w:p w14:paraId="38A9F62B" w14:textId="77777777" w:rsidR="00962C6E" w:rsidRDefault="006E3B2D">
            <w:pPr>
              <w:pStyle w:val="BodyText"/>
            </w:pPr>
            <w:r>
              <w:t>National Grid NTS shall calculate the GMT System Entry Overrun Charge Adju</w:t>
            </w:r>
            <w:r>
              <w:t>stments for each User for each Day in a month (month m), by no later than the 4th Business Day of month m+2.</w:t>
            </w:r>
          </w:p>
        </w:tc>
      </w:tr>
      <w:tr w:rsidR="00962C6E" w14:paraId="7D76E638" w14:textId="77777777">
        <w:trPr>
          <w:trHeight w:val="77"/>
        </w:trPr>
        <w:tc>
          <w:tcPr>
            <w:tcW w:w="1483" w:type="dxa"/>
          </w:tcPr>
          <w:p w14:paraId="4D228A44" w14:textId="77777777" w:rsidR="00962C6E" w:rsidRDefault="006E3B2D">
            <w:pPr>
              <w:pStyle w:val="BodyText"/>
              <w:spacing w:before="80" w:after="80"/>
              <w:rPr>
                <w:bCs/>
              </w:rPr>
            </w:pPr>
            <w:r>
              <w:rPr>
                <w:bCs/>
              </w:rPr>
              <w:lastRenderedPageBreak/>
              <w:t>2.12.12</w:t>
            </w:r>
          </w:p>
        </w:tc>
        <w:tc>
          <w:tcPr>
            <w:tcW w:w="2304" w:type="dxa"/>
          </w:tcPr>
          <w:p w14:paraId="411F3FB9" w14:textId="77777777" w:rsidR="00962C6E" w:rsidRDefault="006E3B2D">
            <w:pPr>
              <w:pStyle w:val="BodyText"/>
              <w:spacing w:before="80" w:after="80"/>
            </w:pPr>
            <w:r>
              <w:rPr>
                <w:b/>
              </w:rPr>
              <w:t>GMT System Overrun Charge Adjustments</w:t>
            </w:r>
            <w:r>
              <w:t xml:space="preserve"> – Payment and Invoicing</w:t>
            </w:r>
          </w:p>
        </w:tc>
        <w:tc>
          <w:tcPr>
            <w:tcW w:w="2288" w:type="dxa"/>
          </w:tcPr>
          <w:p w14:paraId="66DC810F" w14:textId="77777777" w:rsidR="00962C6E" w:rsidRDefault="00962C6E">
            <w:pPr>
              <w:pStyle w:val="BodyText"/>
              <w:spacing w:before="80" w:after="80"/>
            </w:pPr>
          </w:p>
        </w:tc>
        <w:tc>
          <w:tcPr>
            <w:tcW w:w="8703" w:type="dxa"/>
          </w:tcPr>
          <w:p w14:paraId="34500905" w14:textId="77777777" w:rsidR="00962C6E" w:rsidRDefault="006E3B2D">
            <w:pPr>
              <w:pStyle w:val="BodyText"/>
            </w:pPr>
            <w:r>
              <w:t>The GMT System Entry Overrun Charge Adjustments for Days in month m will be included in the NTS Entry Capacity Invoice for month m and are to be invoiced and paid in accordance with TPD Section S.</w:t>
            </w:r>
          </w:p>
        </w:tc>
      </w:tr>
      <w:tr w:rsidR="00962C6E" w14:paraId="79CDF5D0" w14:textId="77777777">
        <w:trPr>
          <w:trHeight w:val="77"/>
        </w:trPr>
        <w:tc>
          <w:tcPr>
            <w:tcW w:w="1483" w:type="dxa"/>
            <w:tcBorders>
              <w:bottom w:val="single" w:sz="4" w:space="0" w:color="auto"/>
            </w:tcBorders>
          </w:tcPr>
          <w:p w14:paraId="556AF7A4" w14:textId="77777777" w:rsidR="00962C6E" w:rsidRDefault="006E3B2D">
            <w:pPr>
              <w:pStyle w:val="BodyText"/>
              <w:spacing w:before="80" w:after="80"/>
              <w:rPr>
                <w:bCs/>
              </w:rPr>
            </w:pPr>
            <w:r>
              <w:rPr>
                <w:bCs/>
              </w:rPr>
              <w:t>2.13.3</w:t>
            </w:r>
          </w:p>
        </w:tc>
        <w:tc>
          <w:tcPr>
            <w:tcW w:w="2304" w:type="dxa"/>
            <w:tcBorders>
              <w:bottom w:val="single" w:sz="4" w:space="0" w:color="auto"/>
            </w:tcBorders>
          </w:tcPr>
          <w:p w14:paraId="03AB2DD1" w14:textId="77777777" w:rsidR="00962C6E" w:rsidRDefault="006E3B2D">
            <w:pPr>
              <w:pStyle w:val="BodyText"/>
              <w:spacing w:before="80" w:after="80"/>
            </w:pPr>
            <w:r>
              <w:t xml:space="preserve">Incorporating </w:t>
            </w:r>
            <w:r>
              <w:rPr>
                <w:b/>
              </w:rPr>
              <w:t>GMT System Overrun Charge Adjustments</w:t>
            </w:r>
            <w:r>
              <w:t xml:space="preserve"> into the Capacity Revenue Neutrality Charge</w:t>
            </w:r>
          </w:p>
        </w:tc>
        <w:tc>
          <w:tcPr>
            <w:tcW w:w="2288" w:type="dxa"/>
            <w:tcBorders>
              <w:bottom w:val="single" w:sz="4" w:space="0" w:color="auto"/>
            </w:tcBorders>
          </w:tcPr>
          <w:p w14:paraId="5909593B" w14:textId="77777777" w:rsidR="00962C6E" w:rsidRDefault="00962C6E">
            <w:pPr>
              <w:pStyle w:val="BodyText"/>
              <w:spacing w:before="80" w:after="80"/>
            </w:pPr>
          </w:p>
        </w:tc>
        <w:tc>
          <w:tcPr>
            <w:tcW w:w="8703" w:type="dxa"/>
            <w:tcBorders>
              <w:bottom w:val="single" w:sz="4" w:space="0" w:color="auto"/>
            </w:tcBorders>
          </w:tcPr>
          <w:p w14:paraId="56B11003" w14:textId="77777777" w:rsidR="00962C6E" w:rsidRDefault="006E3B2D">
            <w:pPr>
              <w:pStyle w:val="BodyText"/>
            </w:pPr>
            <w:r>
              <w:t xml:space="preserve">The GMT System Entry Overrun Charge Adjustments are to be spread across Users through inclusion in the calculation of the Capacity Revenue Neutrality Charge. </w:t>
            </w:r>
          </w:p>
          <w:p w14:paraId="61C02C4A" w14:textId="77777777" w:rsidR="00962C6E" w:rsidRDefault="006E3B2D">
            <w:pPr>
              <w:pStyle w:val="BodyText"/>
            </w:pPr>
            <w:r>
              <w:t>This paragraph amends the calculation of the Capaci</w:t>
            </w:r>
            <w:r>
              <w:t xml:space="preserve">ty Revenue Neutrality Charge for each User in relation to each </w:t>
            </w:r>
            <w:proofErr w:type="gramStart"/>
            <w:r>
              <w:t>ASEP  to</w:t>
            </w:r>
            <w:proofErr w:type="gramEnd"/>
            <w:r>
              <w:t xml:space="preserve"> include a new item (MGAR) – so that the Capacity Revenue Neutrality Charge is calculated as follows:</w:t>
            </w:r>
          </w:p>
          <w:p w14:paraId="246FED9F" w14:textId="77777777" w:rsidR="00962C6E" w:rsidRDefault="006E3B2D">
            <w:pPr>
              <w:pStyle w:val="BodyText"/>
            </w:pPr>
            <w:r>
              <w:t>(RCR + MGAR) * UFAC / AFAC</w:t>
            </w:r>
          </w:p>
          <w:p w14:paraId="74FBC553" w14:textId="77777777" w:rsidR="00962C6E" w:rsidRDefault="006E3B2D">
            <w:pPr>
              <w:pStyle w:val="BodyText"/>
            </w:pPr>
            <w:r>
              <w:t>MGAR is the sum of the GMT System Entry Overrun Charge A</w:t>
            </w:r>
            <w:r>
              <w:t xml:space="preserve">djustments payable by Users to National Grid NTS in respect of all Days in month m. </w:t>
            </w:r>
          </w:p>
        </w:tc>
      </w:tr>
      <w:tr w:rsidR="00962C6E" w14:paraId="35DA584D" w14:textId="77777777">
        <w:trPr>
          <w:trHeight w:val="77"/>
        </w:trPr>
        <w:tc>
          <w:tcPr>
            <w:tcW w:w="1483" w:type="dxa"/>
            <w:tcBorders>
              <w:bottom w:val="single" w:sz="4" w:space="0" w:color="auto"/>
            </w:tcBorders>
          </w:tcPr>
          <w:p w14:paraId="6D5C25B8" w14:textId="77777777" w:rsidR="00962C6E" w:rsidRDefault="006E3B2D">
            <w:pPr>
              <w:pStyle w:val="BodyText"/>
              <w:spacing w:before="80" w:after="80"/>
              <w:rPr>
                <w:bCs/>
              </w:rPr>
            </w:pPr>
            <w:r>
              <w:rPr>
                <w:bCs/>
              </w:rPr>
              <w:t>2.13.4</w:t>
            </w:r>
          </w:p>
        </w:tc>
        <w:tc>
          <w:tcPr>
            <w:tcW w:w="2304" w:type="dxa"/>
            <w:tcBorders>
              <w:bottom w:val="single" w:sz="4" w:space="0" w:color="auto"/>
            </w:tcBorders>
          </w:tcPr>
          <w:p w14:paraId="031FF91C" w14:textId="77777777" w:rsidR="00962C6E" w:rsidRDefault="006E3B2D">
            <w:pPr>
              <w:pStyle w:val="BodyText"/>
              <w:spacing w:before="80" w:after="80"/>
            </w:pPr>
            <w:r>
              <w:t xml:space="preserve">Incorporating </w:t>
            </w:r>
            <w:r>
              <w:rPr>
                <w:b/>
              </w:rPr>
              <w:t>GMT System Overrun Charge Adjustments</w:t>
            </w:r>
            <w:r>
              <w:t xml:space="preserve"> into the Capacity Cost Neutrality Charge</w:t>
            </w:r>
          </w:p>
        </w:tc>
        <w:tc>
          <w:tcPr>
            <w:tcW w:w="2288" w:type="dxa"/>
            <w:tcBorders>
              <w:bottom w:val="single" w:sz="4" w:space="0" w:color="auto"/>
            </w:tcBorders>
          </w:tcPr>
          <w:p w14:paraId="7CA464FC" w14:textId="77777777" w:rsidR="00962C6E" w:rsidRDefault="00962C6E">
            <w:pPr>
              <w:pStyle w:val="BodyText"/>
              <w:spacing w:before="80" w:after="80"/>
            </w:pPr>
          </w:p>
        </w:tc>
        <w:tc>
          <w:tcPr>
            <w:tcW w:w="8703" w:type="dxa"/>
            <w:tcBorders>
              <w:bottom w:val="single" w:sz="4" w:space="0" w:color="auto"/>
            </w:tcBorders>
          </w:tcPr>
          <w:p w14:paraId="49C31222" w14:textId="77777777" w:rsidR="00962C6E" w:rsidRDefault="006E3B2D">
            <w:pPr>
              <w:pStyle w:val="BodyText"/>
            </w:pPr>
            <w:r>
              <w:t xml:space="preserve">The GMT System Entry Overrun Charge Adjustments are to be spread across Users through inclusion in the calculation of the Capacity Cost Neutrality Charge. </w:t>
            </w:r>
          </w:p>
          <w:p w14:paraId="5B9B7333" w14:textId="77777777" w:rsidR="00962C6E" w:rsidRDefault="006E3B2D">
            <w:pPr>
              <w:pStyle w:val="BodyText"/>
            </w:pPr>
            <w:r>
              <w:t>This paragraph provides that the calculation of the Capacity Revenue Neutrality Charge for each User</w:t>
            </w:r>
            <w:r>
              <w:t xml:space="preserve"> in relation to each </w:t>
            </w:r>
            <w:proofErr w:type="gramStart"/>
            <w:r>
              <w:t>ASEP  to</w:t>
            </w:r>
            <w:proofErr w:type="gramEnd"/>
            <w:r>
              <w:t xml:space="preserve"> include a new item (MGAC) – so that the Capacity Cost Neutrality Charge is calculated as follows:</w:t>
            </w:r>
          </w:p>
          <w:p w14:paraId="759F44FD" w14:textId="77777777" w:rsidR="00962C6E" w:rsidRDefault="006E3B2D">
            <w:pPr>
              <w:pStyle w:val="BodyText"/>
            </w:pPr>
            <w:r>
              <w:t>(RCR + MGAC) * UFAC / AFAC</w:t>
            </w:r>
          </w:p>
          <w:p w14:paraId="7A269977" w14:textId="77777777" w:rsidR="00962C6E" w:rsidRDefault="006E3B2D">
            <w:pPr>
              <w:pStyle w:val="BodyText"/>
            </w:pPr>
            <w:r>
              <w:t xml:space="preserve">MGAC is the sum of the GMT System Entry Overrun Charge Adjustments payable to Users by National Grid </w:t>
            </w:r>
            <w:r>
              <w:t>NTS in respect of all Days in month m.</w:t>
            </w:r>
          </w:p>
        </w:tc>
      </w:tr>
      <w:tr w:rsidR="00962C6E" w14:paraId="3B2199C7" w14:textId="77777777">
        <w:trPr>
          <w:trHeight w:val="77"/>
        </w:trPr>
        <w:tc>
          <w:tcPr>
            <w:tcW w:w="1483" w:type="dxa"/>
            <w:tcBorders>
              <w:bottom w:val="single" w:sz="4" w:space="0" w:color="auto"/>
            </w:tcBorders>
          </w:tcPr>
          <w:p w14:paraId="147A555F" w14:textId="77777777" w:rsidR="00962C6E" w:rsidRDefault="006E3B2D">
            <w:pPr>
              <w:pStyle w:val="BodyText"/>
              <w:spacing w:before="80" w:after="80"/>
              <w:rPr>
                <w:bCs/>
              </w:rPr>
            </w:pPr>
            <w:r>
              <w:rPr>
                <w:bCs/>
              </w:rPr>
              <w:t>2.13.5(a)(</w:t>
            </w:r>
            <w:proofErr w:type="spellStart"/>
            <w:r>
              <w:rPr>
                <w:bCs/>
              </w:rPr>
              <w:t>i</w:t>
            </w:r>
            <w:proofErr w:type="spellEnd"/>
            <w:r>
              <w:rPr>
                <w:bCs/>
              </w:rPr>
              <w:t>)(1)</w:t>
            </w:r>
          </w:p>
        </w:tc>
        <w:tc>
          <w:tcPr>
            <w:tcW w:w="2304" w:type="dxa"/>
            <w:tcBorders>
              <w:bottom w:val="single" w:sz="4" w:space="0" w:color="auto"/>
            </w:tcBorders>
          </w:tcPr>
          <w:p w14:paraId="3429D75B" w14:textId="77777777" w:rsidR="00962C6E" w:rsidRDefault="006E3B2D">
            <w:pPr>
              <w:pStyle w:val="BodyText"/>
              <w:spacing w:before="80" w:after="80"/>
            </w:pPr>
            <w:r>
              <w:t>Failure to pay GMT System Entry Overrun Charge Adjustments</w:t>
            </w:r>
          </w:p>
        </w:tc>
        <w:tc>
          <w:tcPr>
            <w:tcW w:w="2288" w:type="dxa"/>
            <w:tcBorders>
              <w:bottom w:val="single" w:sz="4" w:space="0" w:color="auto"/>
            </w:tcBorders>
          </w:tcPr>
          <w:p w14:paraId="4437A097" w14:textId="77777777" w:rsidR="00962C6E" w:rsidRDefault="00962C6E">
            <w:pPr>
              <w:pStyle w:val="BodyText"/>
              <w:spacing w:before="80" w:after="80"/>
            </w:pPr>
          </w:p>
        </w:tc>
        <w:tc>
          <w:tcPr>
            <w:tcW w:w="8703" w:type="dxa"/>
            <w:tcBorders>
              <w:bottom w:val="single" w:sz="4" w:space="0" w:color="auto"/>
            </w:tcBorders>
          </w:tcPr>
          <w:p w14:paraId="2518953A" w14:textId="77777777" w:rsidR="00962C6E" w:rsidRDefault="006E3B2D">
            <w:pPr>
              <w:pStyle w:val="BodyText"/>
            </w:pPr>
            <w:r>
              <w:t>This paragraph amends paragraph 2.13.5(a)(</w:t>
            </w:r>
            <w:proofErr w:type="spellStart"/>
            <w:r>
              <w:t>i</w:t>
            </w:r>
            <w:proofErr w:type="spellEnd"/>
            <w:r>
              <w:t>)(1), so that if a User fails to make payment of a GMT System Entry Overrun Charge Adjustment tha</w:t>
            </w:r>
            <w:r>
              <w:t xml:space="preserve">t was due for payment, by the specified time, the amount of that payment is recovered by National Grid NTS from Users through the </w:t>
            </w:r>
            <w:r>
              <w:lastRenderedPageBreak/>
              <w:t>capacity neutrality charge.</w:t>
            </w:r>
          </w:p>
        </w:tc>
      </w:tr>
      <w:tr w:rsidR="00962C6E" w14:paraId="6679F85A" w14:textId="77777777">
        <w:trPr>
          <w:trHeight w:val="77"/>
        </w:trPr>
        <w:tc>
          <w:tcPr>
            <w:tcW w:w="1483" w:type="dxa"/>
            <w:tcBorders>
              <w:bottom w:val="single" w:sz="4" w:space="0" w:color="auto"/>
            </w:tcBorders>
          </w:tcPr>
          <w:p w14:paraId="13153A9E" w14:textId="77777777" w:rsidR="00962C6E" w:rsidRDefault="006E3B2D">
            <w:pPr>
              <w:pStyle w:val="BodyText"/>
              <w:spacing w:before="80" w:after="80"/>
              <w:rPr>
                <w:bCs/>
              </w:rPr>
            </w:pPr>
            <w:r>
              <w:rPr>
                <w:bCs/>
              </w:rPr>
              <w:lastRenderedPageBreak/>
              <w:t>2.13.5(a)(ii)(1)</w:t>
            </w:r>
          </w:p>
        </w:tc>
        <w:tc>
          <w:tcPr>
            <w:tcW w:w="2304" w:type="dxa"/>
            <w:tcBorders>
              <w:bottom w:val="single" w:sz="4" w:space="0" w:color="auto"/>
            </w:tcBorders>
          </w:tcPr>
          <w:p w14:paraId="30767247" w14:textId="77777777" w:rsidR="00962C6E" w:rsidRDefault="006E3B2D">
            <w:pPr>
              <w:pStyle w:val="BodyText"/>
              <w:spacing w:before="80" w:after="80"/>
            </w:pPr>
            <w:r>
              <w:t>Receipt of payment of late GMT System Entry Overrun Charge Adjustments</w:t>
            </w:r>
          </w:p>
        </w:tc>
        <w:tc>
          <w:tcPr>
            <w:tcW w:w="2288" w:type="dxa"/>
            <w:tcBorders>
              <w:bottom w:val="single" w:sz="4" w:space="0" w:color="auto"/>
            </w:tcBorders>
          </w:tcPr>
          <w:p w14:paraId="4B0ACE15" w14:textId="77777777" w:rsidR="00962C6E" w:rsidRDefault="00962C6E">
            <w:pPr>
              <w:pStyle w:val="BodyText"/>
              <w:spacing w:before="80" w:after="80"/>
            </w:pPr>
          </w:p>
        </w:tc>
        <w:tc>
          <w:tcPr>
            <w:tcW w:w="8703" w:type="dxa"/>
            <w:tcBorders>
              <w:bottom w:val="single" w:sz="4" w:space="0" w:color="auto"/>
            </w:tcBorders>
          </w:tcPr>
          <w:p w14:paraId="7890CF9F" w14:textId="77777777" w:rsidR="00962C6E" w:rsidRDefault="006E3B2D">
            <w:pPr>
              <w:pStyle w:val="BodyText"/>
            </w:pPr>
            <w:r>
              <w:t xml:space="preserve">This </w:t>
            </w:r>
            <w:r>
              <w:t>paragraph amends paragraph 2.13.5(a)(</w:t>
            </w:r>
            <w:proofErr w:type="spellStart"/>
            <w:r>
              <w:t>iI</w:t>
            </w:r>
            <w:proofErr w:type="spellEnd"/>
            <w:r>
              <w:t>)(1), so that if a User makes payment of a charge which National Grid NTS has recovered from Users through the capacity neutrality charge (as per the paragraph above), that amount is deducted when calculating the capa</w:t>
            </w:r>
            <w:r>
              <w:t>city neutrality charge for the month during which payment was received.</w:t>
            </w:r>
          </w:p>
        </w:tc>
      </w:tr>
      <w:tr w:rsidR="00962C6E" w14:paraId="686EB720" w14:textId="77777777">
        <w:trPr>
          <w:trHeight w:val="77"/>
        </w:trPr>
        <w:tc>
          <w:tcPr>
            <w:tcW w:w="14778" w:type="dxa"/>
            <w:gridSpan w:val="4"/>
            <w:shd w:val="clear" w:color="auto" w:fill="548DD4" w:themeFill="text2" w:themeFillTint="99"/>
          </w:tcPr>
          <w:p w14:paraId="70397C9E" w14:textId="77777777" w:rsidR="00962C6E" w:rsidRDefault="006E3B2D">
            <w:pPr>
              <w:pStyle w:val="BodyText"/>
              <w:spacing w:before="240"/>
              <w:rPr>
                <w:b/>
                <w:color w:val="FFFFFF" w:themeColor="background1"/>
                <w:lang w:val="fr-FR"/>
              </w:rPr>
            </w:pPr>
            <w:r>
              <w:rPr>
                <w:b/>
                <w:color w:val="FFFFFF" w:themeColor="background1"/>
                <w:lang w:val="fr-FR"/>
              </w:rPr>
              <w:t>TRANSPORTATION PRINCIPAL DOCUMENT: SECTION E – DAILY QUANTITIES, IMBALANCES AND RECONCILIATION</w:t>
            </w:r>
          </w:p>
        </w:tc>
      </w:tr>
      <w:tr w:rsidR="00962C6E" w14:paraId="3176C32F" w14:textId="77777777">
        <w:trPr>
          <w:trHeight w:val="77"/>
        </w:trPr>
        <w:tc>
          <w:tcPr>
            <w:tcW w:w="1483" w:type="dxa"/>
          </w:tcPr>
          <w:p w14:paraId="7A743F08" w14:textId="77777777" w:rsidR="00962C6E" w:rsidRDefault="006E3B2D">
            <w:pPr>
              <w:pStyle w:val="BodyText"/>
              <w:spacing w:before="80" w:after="80"/>
              <w:rPr>
                <w:bCs/>
              </w:rPr>
            </w:pPr>
            <w:r>
              <w:rPr>
                <w:bCs/>
              </w:rPr>
              <w:t>1.1.2(e)</w:t>
            </w:r>
          </w:p>
        </w:tc>
        <w:tc>
          <w:tcPr>
            <w:tcW w:w="2304" w:type="dxa"/>
          </w:tcPr>
          <w:p w14:paraId="58A31223" w14:textId="77777777" w:rsidR="00962C6E" w:rsidRDefault="006E3B2D">
            <w:pPr>
              <w:pStyle w:val="BodyText"/>
              <w:spacing w:before="80" w:after="80"/>
            </w:pPr>
            <w:r>
              <w:t xml:space="preserve">Definition of </w:t>
            </w:r>
            <w:r>
              <w:rPr>
                <w:b/>
              </w:rPr>
              <w:t>GMT UDQI</w:t>
            </w:r>
          </w:p>
        </w:tc>
        <w:tc>
          <w:tcPr>
            <w:tcW w:w="2288" w:type="dxa"/>
          </w:tcPr>
          <w:p w14:paraId="02FBA8DA" w14:textId="77777777" w:rsidR="00962C6E" w:rsidRDefault="00962C6E">
            <w:pPr>
              <w:pStyle w:val="BodyText"/>
              <w:spacing w:before="80" w:after="80"/>
            </w:pPr>
          </w:p>
        </w:tc>
        <w:tc>
          <w:tcPr>
            <w:tcW w:w="8703" w:type="dxa"/>
          </w:tcPr>
          <w:p w14:paraId="0B896866" w14:textId="77777777" w:rsidR="00962C6E" w:rsidRDefault="006E3B2D">
            <w:pPr>
              <w:pStyle w:val="BodyText"/>
            </w:pPr>
            <w:r>
              <w:t>This paragraph creates a new term the "</w:t>
            </w:r>
            <w:r>
              <w:rPr>
                <w:b/>
              </w:rPr>
              <w:t>GMT UDQI</w:t>
            </w:r>
            <w:r>
              <w:t>" or "</w:t>
            </w:r>
            <w:r>
              <w:rPr>
                <w:b/>
              </w:rPr>
              <w:t>GMT User Daily Quantity Input</w:t>
            </w:r>
            <w:r>
              <w:t>", which is the daily quantity of gas delivered into the Total System by a User from a Connected Delivery Facility that runs a 6-6 gas day.</w:t>
            </w:r>
          </w:p>
        </w:tc>
      </w:tr>
      <w:tr w:rsidR="00962C6E" w14:paraId="4859580C" w14:textId="77777777">
        <w:trPr>
          <w:trHeight w:val="77"/>
        </w:trPr>
        <w:tc>
          <w:tcPr>
            <w:tcW w:w="1483" w:type="dxa"/>
          </w:tcPr>
          <w:p w14:paraId="342AC067" w14:textId="77777777" w:rsidR="00962C6E" w:rsidRDefault="006E3B2D">
            <w:pPr>
              <w:pStyle w:val="BodyText"/>
              <w:spacing w:before="80" w:after="80"/>
              <w:rPr>
                <w:bCs/>
              </w:rPr>
            </w:pPr>
            <w:r>
              <w:rPr>
                <w:bCs/>
              </w:rPr>
              <w:t>2.2.1</w:t>
            </w:r>
          </w:p>
        </w:tc>
        <w:tc>
          <w:tcPr>
            <w:tcW w:w="2304" w:type="dxa"/>
          </w:tcPr>
          <w:p w14:paraId="6723EDF2" w14:textId="77777777" w:rsidR="00962C6E" w:rsidRDefault="006E3B2D">
            <w:pPr>
              <w:pStyle w:val="BodyText"/>
              <w:spacing w:before="80" w:after="80"/>
            </w:pPr>
            <w:r>
              <w:t>Appointment of User Agents</w:t>
            </w:r>
          </w:p>
        </w:tc>
        <w:tc>
          <w:tcPr>
            <w:tcW w:w="2288" w:type="dxa"/>
          </w:tcPr>
          <w:p w14:paraId="686C39C9" w14:textId="77777777" w:rsidR="00962C6E" w:rsidRDefault="00962C6E">
            <w:pPr>
              <w:pStyle w:val="BodyText"/>
              <w:spacing w:before="80" w:after="80"/>
            </w:pPr>
          </w:p>
        </w:tc>
        <w:tc>
          <w:tcPr>
            <w:tcW w:w="8703" w:type="dxa"/>
          </w:tcPr>
          <w:p w14:paraId="1AF1C683" w14:textId="77777777" w:rsidR="00962C6E" w:rsidRDefault="006E3B2D">
            <w:pPr>
              <w:pStyle w:val="BodyText"/>
            </w:pPr>
            <w:r>
              <w:t>Paragraph 2.2.1 is amended to provide that Users may</w:t>
            </w:r>
            <w:r>
              <w:t xml:space="preserve"> appoint User Agents for submission of GMT Entry Allocation Statements (for GMT System Entry Points</w:t>
            </w:r>
            <w:proofErr w:type="gramStart"/>
            <w:r>
              <w:t>) )</w:t>
            </w:r>
            <w:proofErr w:type="gramEnd"/>
            <w:r>
              <w:t>(in addition to appointment for submission of Entry Allocation Statements for non-GMT System Entry Points).</w:t>
            </w:r>
          </w:p>
        </w:tc>
      </w:tr>
      <w:tr w:rsidR="00962C6E" w14:paraId="7BA6B58B" w14:textId="77777777">
        <w:trPr>
          <w:trHeight w:val="77"/>
        </w:trPr>
        <w:tc>
          <w:tcPr>
            <w:tcW w:w="1483" w:type="dxa"/>
          </w:tcPr>
          <w:p w14:paraId="269390A3" w14:textId="77777777" w:rsidR="00962C6E" w:rsidRDefault="006E3B2D">
            <w:pPr>
              <w:pStyle w:val="BodyText"/>
              <w:spacing w:before="80" w:after="80"/>
              <w:rPr>
                <w:bCs/>
              </w:rPr>
            </w:pPr>
            <w:r>
              <w:rPr>
                <w:bCs/>
              </w:rPr>
              <w:t>2.2.2</w:t>
            </w:r>
          </w:p>
        </w:tc>
        <w:tc>
          <w:tcPr>
            <w:tcW w:w="2304" w:type="dxa"/>
          </w:tcPr>
          <w:p w14:paraId="0620939C" w14:textId="77777777" w:rsidR="00962C6E" w:rsidRDefault="006E3B2D">
            <w:pPr>
              <w:pStyle w:val="BodyText"/>
              <w:spacing w:before="80" w:after="80"/>
            </w:pPr>
            <w:r>
              <w:t>User Agent Submissions</w:t>
            </w:r>
          </w:p>
        </w:tc>
        <w:tc>
          <w:tcPr>
            <w:tcW w:w="2288" w:type="dxa"/>
          </w:tcPr>
          <w:p w14:paraId="2ACB8BB5" w14:textId="77777777" w:rsidR="00962C6E" w:rsidRDefault="00962C6E">
            <w:pPr>
              <w:pStyle w:val="BodyText"/>
              <w:spacing w:before="80" w:after="80"/>
            </w:pPr>
          </w:p>
        </w:tc>
        <w:tc>
          <w:tcPr>
            <w:tcW w:w="8703" w:type="dxa"/>
          </w:tcPr>
          <w:p w14:paraId="5DBB75E5" w14:textId="77777777" w:rsidR="00962C6E" w:rsidRDefault="006E3B2D">
            <w:pPr>
              <w:pStyle w:val="BodyText"/>
            </w:pPr>
            <w:r>
              <w:t>Paragraph 2.2.2</w:t>
            </w:r>
            <w:r>
              <w:t xml:space="preserve"> is amended to provide that where a User Agent has been appointed by more than one User, then the User Agent may make a composite submission containing GMT Entry Allocation Statements for a GMT System Entry Point for each such User (in addition to making a</w:t>
            </w:r>
            <w:r>
              <w:t xml:space="preserve"> composite statement for Entry Allocation Statements for a System Entry Point).</w:t>
            </w:r>
          </w:p>
        </w:tc>
      </w:tr>
      <w:tr w:rsidR="00962C6E" w14:paraId="00F48004" w14:textId="77777777">
        <w:trPr>
          <w:trHeight w:val="77"/>
        </w:trPr>
        <w:tc>
          <w:tcPr>
            <w:tcW w:w="1483" w:type="dxa"/>
          </w:tcPr>
          <w:p w14:paraId="458F9027" w14:textId="77777777" w:rsidR="00962C6E" w:rsidRDefault="006E3B2D">
            <w:pPr>
              <w:pStyle w:val="BodyText"/>
              <w:spacing w:before="80" w:after="80"/>
              <w:rPr>
                <w:bCs/>
              </w:rPr>
            </w:pPr>
            <w:r>
              <w:rPr>
                <w:bCs/>
              </w:rPr>
              <w:t>5.3.13</w:t>
            </w:r>
          </w:p>
        </w:tc>
        <w:tc>
          <w:tcPr>
            <w:tcW w:w="2304" w:type="dxa"/>
          </w:tcPr>
          <w:p w14:paraId="2F9A0F58" w14:textId="77777777" w:rsidR="00962C6E" w:rsidRDefault="006E3B2D">
            <w:pPr>
              <w:pStyle w:val="BodyText"/>
              <w:spacing w:before="80" w:after="80"/>
            </w:pPr>
            <w:r>
              <w:t xml:space="preserve">Calculation of </w:t>
            </w:r>
            <w:r>
              <w:rPr>
                <w:b/>
              </w:rPr>
              <w:t>GMT Incentivised Nomination Charge Adjustments</w:t>
            </w:r>
          </w:p>
        </w:tc>
        <w:tc>
          <w:tcPr>
            <w:tcW w:w="2288" w:type="dxa"/>
          </w:tcPr>
          <w:p w14:paraId="444B8161" w14:textId="77777777" w:rsidR="00962C6E" w:rsidRDefault="00962C6E">
            <w:pPr>
              <w:pStyle w:val="BodyText"/>
              <w:spacing w:before="80" w:after="80"/>
            </w:pPr>
          </w:p>
        </w:tc>
        <w:tc>
          <w:tcPr>
            <w:tcW w:w="8703" w:type="dxa"/>
          </w:tcPr>
          <w:p w14:paraId="1FAF3AFC" w14:textId="77777777" w:rsidR="00962C6E" w:rsidRDefault="006E3B2D">
            <w:pPr>
              <w:pStyle w:val="BodyText"/>
            </w:pPr>
            <w:r>
              <w:t xml:space="preserve">This paragraph provides that for a GMT System Entry Point, an adjustment to each Delivering User's Total </w:t>
            </w:r>
            <w:r>
              <w:t>Incentivised Nomination Charge in relation to each Day (the "</w:t>
            </w:r>
            <w:r>
              <w:rPr>
                <w:b/>
              </w:rPr>
              <w:t>GMT Incentivised Nomination Charge Adjustment</w:t>
            </w:r>
            <w:r>
              <w:t>") shall be calculated in accordance with paragraph 5.3. The adjustment is calculated at or around the same time as calculation of the original charge</w:t>
            </w:r>
            <w:r>
              <w:t>, and invoiced in the same invoice.</w:t>
            </w:r>
          </w:p>
          <w:p w14:paraId="207699BC" w14:textId="77777777" w:rsidR="00962C6E" w:rsidRDefault="006E3B2D">
            <w:pPr>
              <w:pStyle w:val="BodyText"/>
            </w:pPr>
            <w:r>
              <w:t xml:space="preserve">Where the calculated adjustment is negative, then National Grid NTS will make a payment to the User and where the calculated adjustment is positive, then the User must make a payment </w:t>
            </w:r>
            <w:r>
              <w:lastRenderedPageBreak/>
              <w:t>to National Grid NTS.</w:t>
            </w:r>
          </w:p>
        </w:tc>
      </w:tr>
      <w:tr w:rsidR="00962C6E" w14:paraId="266AEE40" w14:textId="77777777">
        <w:trPr>
          <w:trHeight w:val="77"/>
        </w:trPr>
        <w:tc>
          <w:tcPr>
            <w:tcW w:w="1483" w:type="dxa"/>
          </w:tcPr>
          <w:p w14:paraId="3EDFCE34" w14:textId="77777777" w:rsidR="00962C6E" w:rsidRDefault="006E3B2D">
            <w:pPr>
              <w:pStyle w:val="BodyText"/>
              <w:spacing w:before="80" w:after="80"/>
              <w:rPr>
                <w:bCs/>
              </w:rPr>
            </w:pPr>
            <w:r>
              <w:rPr>
                <w:bCs/>
              </w:rPr>
              <w:lastRenderedPageBreak/>
              <w:t>5.3.14</w:t>
            </w:r>
          </w:p>
        </w:tc>
        <w:tc>
          <w:tcPr>
            <w:tcW w:w="2304" w:type="dxa"/>
          </w:tcPr>
          <w:p w14:paraId="2AF675F0" w14:textId="77777777" w:rsidR="00962C6E" w:rsidRDefault="006E3B2D">
            <w:pPr>
              <w:pStyle w:val="BodyText"/>
              <w:spacing w:before="80" w:after="80"/>
            </w:pPr>
            <w:r>
              <w:t>Determination of Charges in relation to 5.3.13</w:t>
            </w:r>
          </w:p>
        </w:tc>
        <w:tc>
          <w:tcPr>
            <w:tcW w:w="2288" w:type="dxa"/>
          </w:tcPr>
          <w:p w14:paraId="4C173D59" w14:textId="77777777" w:rsidR="00962C6E" w:rsidRDefault="00962C6E">
            <w:pPr>
              <w:pStyle w:val="BodyText"/>
              <w:spacing w:before="80" w:after="80"/>
            </w:pPr>
          </w:p>
        </w:tc>
        <w:tc>
          <w:tcPr>
            <w:tcW w:w="8703" w:type="dxa"/>
          </w:tcPr>
          <w:p w14:paraId="32994BE9" w14:textId="77777777" w:rsidR="00962C6E" w:rsidRDefault="006E3B2D">
            <w:pPr>
              <w:pStyle w:val="BodyText"/>
            </w:pPr>
            <w:r>
              <w:t xml:space="preserve">This paragraph sets out how the GMT Incentivised Nomination Charge Adjustment for each User, for each Day and for each GMT System Entry Point is calculated. This paragraph provides that: </w:t>
            </w:r>
          </w:p>
          <w:p w14:paraId="3E01F58C" w14:textId="77777777" w:rsidR="00962C6E" w:rsidRDefault="006E3B2D">
            <w:pPr>
              <w:pStyle w:val="BodyText"/>
              <w:numPr>
                <w:ilvl w:val="0"/>
                <w:numId w:val="39"/>
              </w:numPr>
            </w:pPr>
            <w:proofErr w:type="gramStart"/>
            <w:r>
              <w:t>the</w:t>
            </w:r>
            <w:proofErr w:type="gramEnd"/>
            <w:r>
              <w:t xml:space="preserve"> User's "</w:t>
            </w:r>
            <w:r>
              <w:rPr>
                <w:b/>
              </w:rPr>
              <w:t>GMT Ince</w:t>
            </w:r>
            <w:r>
              <w:rPr>
                <w:b/>
              </w:rPr>
              <w:t>ntivised Nomination Charge Adjustment</w:t>
            </w:r>
            <w:r>
              <w:t>" is the difference between a User's GMT Total Incentivised Nomination Charge and Total Incentivised Nomination Charge for that Day.</w:t>
            </w:r>
          </w:p>
          <w:p w14:paraId="6C35D5C5" w14:textId="77777777" w:rsidR="00962C6E" w:rsidRDefault="006E3B2D">
            <w:pPr>
              <w:pStyle w:val="BodyText"/>
              <w:numPr>
                <w:ilvl w:val="0"/>
                <w:numId w:val="39"/>
              </w:numPr>
            </w:pPr>
            <w:proofErr w:type="gramStart"/>
            <w:r>
              <w:t>the</w:t>
            </w:r>
            <w:proofErr w:type="gramEnd"/>
            <w:r>
              <w:t xml:space="preserve"> User's "</w:t>
            </w:r>
            <w:r>
              <w:rPr>
                <w:b/>
              </w:rPr>
              <w:t>GMT Total Incentivised Nomination Charge</w:t>
            </w:r>
            <w:r>
              <w:t>" is the total sum of the User's G</w:t>
            </w:r>
            <w:r>
              <w:t>MT Incentivised Nomination Charges in respect of that Day.</w:t>
            </w:r>
          </w:p>
          <w:p w14:paraId="6856E591" w14:textId="77777777" w:rsidR="00962C6E" w:rsidRDefault="006E3B2D">
            <w:pPr>
              <w:pStyle w:val="BodyText"/>
              <w:numPr>
                <w:ilvl w:val="0"/>
                <w:numId w:val="39"/>
              </w:numPr>
            </w:pPr>
            <w:proofErr w:type="gramStart"/>
            <w:r>
              <w:t>a</w:t>
            </w:r>
            <w:proofErr w:type="gramEnd"/>
            <w:r>
              <w:t xml:space="preserve"> User's daily "</w:t>
            </w:r>
            <w:r>
              <w:rPr>
                <w:b/>
              </w:rPr>
              <w:t>GMT Incentivised Nomination Charge</w:t>
            </w:r>
            <w:r>
              <w:t>" shall be an amount equal to the Incentivised Nomination Charge, but calculated by substituting:</w:t>
            </w:r>
          </w:p>
          <w:p w14:paraId="68B1E761" w14:textId="77777777" w:rsidR="00962C6E" w:rsidRDefault="006E3B2D">
            <w:pPr>
              <w:pStyle w:val="BodyText"/>
              <w:numPr>
                <w:ilvl w:val="0"/>
                <w:numId w:val="38"/>
              </w:numPr>
            </w:pPr>
            <w:proofErr w:type="gramStart"/>
            <w:r>
              <w:t>the</w:t>
            </w:r>
            <w:proofErr w:type="gramEnd"/>
            <w:r>
              <w:t xml:space="preserve"> User's Forecast Performance Measure at the re</w:t>
            </w:r>
            <w:r>
              <w:t>levant Forecast Daily Imbalance Time by the User's GMT Forecast Performance Measure at the same Forecast Daily Imbalance Time; and</w:t>
            </w:r>
          </w:p>
          <w:p w14:paraId="0C06702C" w14:textId="77777777" w:rsidR="00962C6E" w:rsidRDefault="006E3B2D">
            <w:pPr>
              <w:pStyle w:val="BodyText"/>
              <w:numPr>
                <w:ilvl w:val="0"/>
                <w:numId w:val="38"/>
              </w:numPr>
            </w:pPr>
            <w:proofErr w:type="gramStart"/>
            <w:r>
              <w:t>the</w:t>
            </w:r>
            <w:proofErr w:type="gramEnd"/>
            <w:r>
              <w:t xml:space="preserve"> User's Incentivised Nomination Price in respect of that Day by the User's GMT Incentivised Nomination Price for the same </w:t>
            </w:r>
            <w:r>
              <w:t>Day.</w:t>
            </w:r>
          </w:p>
          <w:p w14:paraId="6E0A0C17" w14:textId="77777777" w:rsidR="00962C6E" w:rsidRDefault="006E3B2D">
            <w:pPr>
              <w:pStyle w:val="BodyText"/>
              <w:ind w:left="720"/>
            </w:pPr>
            <w:proofErr w:type="gramStart"/>
            <w:r>
              <w:t>the</w:t>
            </w:r>
            <w:proofErr w:type="gramEnd"/>
            <w:r>
              <w:t xml:space="preserve"> "</w:t>
            </w:r>
            <w:r>
              <w:rPr>
                <w:b/>
              </w:rPr>
              <w:t>GMT Performance Measure</w:t>
            </w:r>
            <w:r>
              <w:t xml:space="preserve">" is the amount equal to the Forecast Performance Measure, but calculated by substituting the User's GMT Daily Imbalance for the User's Daily Imbalance (i.e. the Daily Imbalance calculated using a 6-6 GMT Day rather than a </w:t>
            </w:r>
            <w:r>
              <w:t>5-5 Day).</w:t>
            </w:r>
          </w:p>
          <w:p w14:paraId="127ED2D5" w14:textId="77777777" w:rsidR="00962C6E" w:rsidRDefault="006E3B2D">
            <w:pPr>
              <w:pStyle w:val="BodyText"/>
              <w:numPr>
                <w:ilvl w:val="0"/>
                <w:numId w:val="40"/>
              </w:numPr>
            </w:pPr>
            <w:proofErr w:type="gramStart"/>
            <w:r>
              <w:t>the</w:t>
            </w:r>
            <w:proofErr w:type="gramEnd"/>
            <w:r>
              <w:t xml:space="preserve"> "</w:t>
            </w:r>
            <w:r>
              <w:rPr>
                <w:b/>
              </w:rPr>
              <w:t>GMT Incentivised Nomination Price</w:t>
            </w:r>
            <w:r>
              <w:t xml:space="preserve"> " is the amount equal to the Incentivised Nomination Price, but calculated by substituting the User's GMT Daily Imbalance for the User's Daily Imbalance (i.e. the Daily Imbalance calculated using a 6-6 GMT Day rather than a 5-5 Day).</w:t>
            </w:r>
          </w:p>
        </w:tc>
      </w:tr>
      <w:tr w:rsidR="00962C6E" w14:paraId="1C3C76C7" w14:textId="77777777">
        <w:trPr>
          <w:trHeight w:val="77"/>
        </w:trPr>
        <w:tc>
          <w:tcPr>
            <w:tcW w:w="1483" w:type="dxa"/>
          </w:tcPr>
          <w:p w14:paraId="6F42E1EB" w14:textId="77777777" w:rsidR="00962C6E" w:rsidRDefault="006E3B2D">
            <w:pPr>
              <w:pStyle w:val="BodyText"/>
              <w:spacing w:before="80" w:after="80"/>
              <w:rPr>
                <w:bCs/>
              </w:rPr>
            </w:pPr>
            <w:r>
              <w:rPr>
                <w:bCs/>
              </w:rPr>
              <w:lastRenderedPageBreak/>
              <w:t>5.3.15</w:t>
            </w:r>
          </w:p>
        </w:tc>
        <w:tc>
          <w:tcPr>
            <w:tcW w:w="2304" w:type="dxa"/>
          </w:tcPr>
          <w:p w14:paraId="73E1D7F3" w14:textId="77777777" w:rsidR="00962C6E" w:rsidRDefault="006E3B2D">
            <w:pPr>
              <w:pStyle w:val="BodyText"/>
              <w:spacing w:before="80" w:after="80"/>
            </w:pPr>
            <w:r>
              <w:rPr>
                <w:b/>
              </w:rPr>
              <w:t>GMT Incentivi</w:t>
            </w:r>
            <w:r>
              <w:rPr>
                <w:b/>
              </w:rPr>
              <w:t>sed Nomination Charge Adjustments</w:t>
            </w:r>
            <w:r>
              <w:t xml:space="preserve"> - Monthly calculations</w:t>
            </w:r>
          </w:p>
        </w:tc>
        <w:tc>
          <w:tcPr>
            <w:tcW w:w="2288" w:type="dxa"/>
          </w:tcPr>
          <w:p w14:paraId="3A266E8D" w14:textId="77777777" w:rsidR="00962C6E" w:rsidRDefault="00962C6E">
            <w:pPr>
              <w:pStyle w:val="BodyText"/>
              <w:spacing w:before="80" w:after="80"/>
            </w:pPr>
          </w:p>
        </w:tc>
        <w:tc>
          <w:tcPr>
            <w:tcW w:w="8703" w:type="dxa"/>
          </w:tcPr>
          <w:p w14:paraId="6F6BF900" w14:textId="77777777" w:rsidR="00962C6E" w:rsidRDefault="006E3B2D">
            <w:pPr>
              <w:pStyle w:val="BodyText"/>
            </w:pPr>
            <w:r>
              <w:t xml:space="preserve">National Grid NTS shall calculate the GMT Incentivised Nomination Charge Adjustments for each User for each GMT System Entry Point for each Day in a month (month m), no later than the 19th Business </w:t>
            </w:r>
            <w:r>
              <w:t>Day of month m+1.</w:t>
            </w:r>
          </w:p>
        </w:tc>
      </w:tr>
      <w:tr w:rsidR="00962C6E" w14:paraId="3522232E" w14:textId="77777777">
        <w:trPr>
          <w:trHeight w:val="77"/>
        </w:trPr>
        <w:tc>
          <w:tcPr>
            <w:tcW w:w="1483" w:type="dxa"/>
          </w:tcPr>
          <w:p w14:paraId="56A57AD8" w14:textId="77777777" w:rsidR="00962C6E" w:rsidRDefault="006E3B2D">
            <w:pPr>
              <w:pStyle w:val="BodyText"/>
              <w:spacing w:before="80" w:after="80"/>
              <w:rPr>
                <w:bCs/>
              </w:rPr>
            </w:pPr>
            <w:r>
              <w:rPr>
                <w:bCs/>
              </w:rPr>
              <w:t>5.3.16</w:t>
            </w:r>
          </w:p>
        </w:tc>
        <w:tc>
          <w:tcPr>
            <w:tcW w:w="2304" w:type="dxa"/>
          </w:tcPr>
          <w:p w14:paraId="2566A668" w14:textId="77777777" w:rsidR="00962C6E" w:rsidRDefault="006E3B2D">
            <w:pPr>
              <w:pStyle w:val="BodyText"/>
              <w:spacing w:before="80" w:after="80"/>
            </w:pPr>
            <w:r>
              <w:rPr>
                <w:b/>
              </w:rPr>
              <w:t>GMT Incentivised Nomination Charge Adjustments</w:t>
            </w:r>
            <w:r>
              <w:t xml:space="preserve"> - Recording monthly adjustments</w:t>
            </w:r>
          </w:p>
        </w:tc>
        <w:tc>
          <w:tcPr>
            <w:tcW w:w="2288" w:type="dxa"/>
          </w:tcPr>
          <w:p w14:paraId="6E0AB9DF" w14:textId="77777777" w:rsidR="00962C6E" w:rsidRDefault="00962C6E">
            <w:pPr>
              <w:pStyle w:val="BodyText"/>
              <w:spacing w:before="80" w:after="80"/>
            </w:pPr>
          </w:p>
        </w:tc>
        <w:tc>
          <w:tcPr>
            <w:tcW w:w="8703" w:type="dxa"/>
          </w:tcPr>
          <w:p w14:paraId="2C8994E7" w14:textId="77777777" w:rsidR="00962C6E" w:rsidRDefault="006E3B2D">
            <w:pPr>
              <w:pStyle w:val="BodyText"/>
            </w:pPr>
            <w:r>
              <w:t>The GMT Incentivised Nomination Charge Adjustments for Days in month m will be included in the Balancing Invoice for month m and are to be invoiced an</w:t>
            </w:r>
            <w:r>
              <w:t>d paid in accordance with TPD Section S.</w:t>
            </w:r>
          </w:p>
        </w:tc>
      </w:tr>
      <w:tr w:rsidR="00962C6E" w14:paraId="3D0C702F" w14:textId="77777777">
        <w:trPr>
          <w:trHeight w:val="77"/>
        </w:trPr>
        <w:tc>
          <w:tcPr>
            <w:tcW w:w="1483" w:type="dxa"/>
          </w:tcPr>
          <w:p w14:paraId="79AC7D90" w14:textId="77777777" w:rsidR="00962C6E" w:rsidRDefault="006E3B2D">
            <w:pPr>
              <w:pStyle w:val="BodyText"/>
              <w:spacing w:before="80" w:after="80"/>
              <w:rPr>
                <w:bCs/>
              </w:rPr>
            </w:pPr>
            <w:r>
              <w:rPr>
                <w:bCs/>
              </w:rPr>
              <w:t>11.1.1</w:t>
            </w:r>
          </w:p>
        </w:tc>
        <w:tc>
          <w:tcPr>
            <w:tcW w:w="2304" w:type="dxa"/>
          </w:tcPr>
          <w:p w14:paraId="695A060E" w14:textId="77777777" w:rsidR="00962C6E" w:rsidRDefault="006E3B2D">
            <w:pPr>
              <w:pStyle w:val="BodyText"/>
              <w:spacing w:before="80" w:after="80"/>
            </w:pPr>
            <w:r>
              <w:t xml:space="preserve">Determination of </w:t>
            </w:r>
            <w:r>
              <w:rPr>
                <w:b/>
              </w:rPr>
              <w:t>GMT UDQI</w:t>
            </w:r>
          </w:p>
        </w:tc>
        <w:tc>
          <w:tcPr>
            <w:tcW w:w="2288" w:type="dxa"/>
          </w:tcPr>
          <w:p w14:paraId="3DA733F5" w14:textId="77777777" w:rsidR="00962C6E" w:rsidRDefault="00962C6E">
            <w:pPr>
              <w:pStyle w:val="BodyText"/>
              <w:spacing w:before="80" w:after="80"/>
            </w:pPr>
          </w:p>
        </w:tc>
        <w:tc>
          <w:tcPr>
            <w:tcW w:w="8703" w:type="dxa"/>
          </w:tcPr>
          <w:p w14:paraId="528114EB" w14:textId="77777777" w:rsidR="00962C6E" w:rsidRDefault="006E3B2D">
            <w:pPr>
              <w:pStyle w:val="BodyText"/>
            </w:pPr>
            <w:r>
              <w:t>This paragraph provides that the GMT UDQI for each Delivering User for each GMT System Entry Point and each Day is to be determined in accordance with paragraph 11.1.</w:t>
            </w:r>
          </w:p>
        </w:tc>
      </w:tr>
      <w:tr w:rsidR="00962C6E" w14:paraId="60DC9650" w14:textId="77777777">
        <w:trPr>
          <w:trHeight w:val="77"/>
        </w:trPr>
        <w:tc>
          <w:tcPr>
            <w:tcW w:w="1483" w:type="dxa"/>
          </w:tcPr>
          <w:p w14:paraId="21389BBC" w14:textId="77777777" w:rsidR="00962C6E" w:rsidRDefault="006E3B2D">
            <w:pPr>
              <w:pStyle w:val="BodyText"/>
              <w:spacing w:before="80" w:after="80"/>
              <w:rPr>
                <w:bCs/>
              </w:rPr>
            </w:pPr>
            <w:r>
              <w:rPr>
                <w:bCs/>
              </w:rPr>
              <w:t>11.1.2</w:t>
            </w:r>
          </w:p>
        </w:tc>
        <w:tc>
          <w:tcPr>
            <w:tcW w:w="2304" w:type="dxa"/>
          </w:tcPr>
          <w:p w14:paraId="13BB3AEA" w14:textId="77777777" w:rsidR="00962C6E" w:rsidRDefault="006E3B2D">
            <w:pPr>
              <w:pStyle w:val="BodyText"/>
              <w:spacing w:before="80" w:after="80"/>
            </w:pPr>
            <w:r>
              <w:t xml:space="preserve">Definition of </w:t>
            </w:r>
            <w:r>
              <w:rPr>
                <w:b/>
              </w:rPr>
              <w:t>GMT Entry Point Daily Quantity Delivered</w:t>
            </w:r>
          </w:p>
        </w:tc>
        <w:tc>
          <w:tcPr>
            <w:tcW w:w="2288" w:type="dxa"/>
          </w:tcPr>
          <w:p w14:paraId="10CFDEA7" w14:textId="77777777" w:rsidR="00962C6E" w:rsidRDefault="00962C6E">
            <w:pPr>
              <w:pStyle w:val="BodyText"/>
              <w:spacing w:before="80" w:after="80"/>
            </w:pPr>
          </w:p>
        </w:tc>
        <w:tc>
          <w:tcPr>
            <w:tcW w:w="8703" w:type="dxa"/>
          </w:tcPr>
          <w:p w14:paraId="119D76A0" w14:textId="77777777" w:rsidR="00962C6E" w:rsidRDefault="006E3B2D">
            <w:pPr>
              <w:pStyle w:val="BodyText"/>
            </w:pPr>
            <w:r>
              <w:t>This paragraph provides that the "</w:t>
            </w:r>
            <w:r>
              <w:rPr>
                <w:b/>
              </w:rPr>
              <w:t>GMT Entry Point Daily Quantity Delivered</w:t>
            </w:r>
            <w:r>
              <w:t>" for each GMT System Entry Point and for a Day is calculated as the aggregate quantity of gas delivered to the Total System a</w:t>
            </w:r>
            <w:r>
              <w:t>t that GMT System Entry Point during the GMT Day beginning at 6am on that Day.</w:t>
            </w:r>
          </w:p>
        </w:tc>
      </w:tr>
      <w:tr w:rsidR="00962C6E" w14:paraId="432A0F52" w14:textId="77777777">
        <w:trPr>
          <w:trHeight w:val="77"/>
        </w:trPr>
        <w:tc>
          <w:tcPr>
            <w:tcW w:w="1483" w:type="dxa"/>
          </w:tcPr>
          <w:p w14:paraId="097F7221" w14:textId="77777777" w:rsidR="00962C6E" w:rsidRDefault="006E3B2D">
            <w:pPr>
              <w:pStyle w:val="BodyText"/>
              <w:spacing w:before="80" w:after="80"/>
              <w:rPr>
                <w:bCs/>
              </w:rPr>
            </w:pPr>
            <w:r>
              <w:rPr>
                <w:bCs/>
              </w:rPr>
              <w:t>11.1.3</w:t>
            </w:r>
          </w:p>
        </w:tc>
        <w:tc>
          <w:tcPr>
            <w:tcW w:w="2304" w:type="dxa"/>
          </w:tcPr>
          <w:p w14:paraId="794A0126" w14:textId="77777777" w:rsidR="00962C6E" w:rsidRDefault="006E3B2D">
            <w:pPr>
              <w:pStyle w:val="BodyText"/>
              <w:spacing w:before="80" w:after="80"/>
            </w:pPr>
            <w:r>
              <w:t xml:space="preserve">Definition of </w:t>
            </w:r>
            <w:r>
              <w:rPr>
                <w:b/>
              </w:rPr>
              <w:t>GMT Entry Allocation Statement</w:t>
            </w:r>
          </w:p>
        </w:tc>
        <w:tc>
          <w:tcPr>
            <w:tcW w:w="2288" w:type="dxa"/>
          </w:tcPr>
          <w:p w14:paraId="271B129B" w14:textId="77777777" w:rsidR="00962C6E" w:rsidRDefault="00962C6E">
            <w:pPr>
              <w:pStyle w:val="BodyText"/>
              <w:spacing w:before="80" w:after="80"/>
            </w:pPr>
          </w:p>
        </w:tc>
        <w:tc>
          <w:tcPr>
            <w:tcW w:w="8703" w:type="dxa"/>
          </w:tcPr>
          <w:p w14:paraId="54A58B44" w14:textId="77777777" w:rsidR="00962C6E" w:rsidRDefault="006E3B2D">
            <w:pPr>
              <w:pStyle w:val="BodyText"/>
            </w:pPr>
            <w:r>
              <w:t xml:space="preserve">For each Day and for each GMT System Entry Point, each Delivering User must submit to National Grid NTS (no later than the </w:t>
            </w:r>
            <w:r>
              <w:t>Entry Close-out Date) a statement outlining:</w:t>
            </w:r>
          </w:p>
          <w:p w14:paraId="6DDC8A10" w14:textId="77777777" w:rsidR="00962C6E" w:rsidRDefault="006E3B2D">
            <w:pPr>
              <w:pStyle w:val="BodyText"/>
            </w:pPr>
            <w:r>
              <w:t>(a</w:t>
            </w:r>
            <w:proofErr w:type="gramStart"/>
            <w:r>
              <w:t>)    the</w:t>
            </w:r>
            <w:proofErr w:type="gramEnd"/>
            <w:r>
              <w:t xml:space="preserve"> identity of the User;</w:t>
            </w:r>
            <w:r>
              <w:br/>
              <w:t>(b)    the identity of the GMT System Entry Point;</w:t>
            </w:r>
            <w:r>
              <w:br/>
              <w:t>(c)    the GMT Day; and</w:t>
            </w:r>
            <w:r>
              <w:br/>
              <w:t>(d)    the quantity of gas delivered by the User at that GMT System Entry Point on that GMT Day.</w:t>
            </w:r>
          </w:p>
          <w:p w14:paraId="40A98A43" w14:textId="77777777" w:rsidR="00962C6E" w:rsidRDefault="006E3B2D">
            <w:pPr>
              <w:pStyle w:val="BodyText"/>
            </w:pPr>
            <w:r>
              <w:t>This s</w:t>
            </w:r>
            <w:r>
              <w:t>tatement is the "</w:t>
            </w:r>
            <w:r>
              <w:rPr>
                <w:b/>
              </w:rPr>
              <w:t>GMT Entry Allocation Statement</w:t>
            </w:r>
            <w:r>
              <w:t>".</w:t>
            </w:r>
          </w:p>
        </w:tc>
      </w:tr>
      <w:tr w:rsidR="00962C6E" w14:paraId="49CD582D" w14:textId="77777777">
        <w:trPr>
          <w:trHeight w:val="77"/>
        </w:trPr>
        <w:tc>
          <w:tcPr>
            <w:tcW w:w="1483" w:type="dxa"/>
          </w:tcPr>
          <w:p w14:paraId="3F9A949B" w14:textId="77777777" w:rsidR="00962C6E" w:rsidRDefault="006E3B2D">
            <w:pPr>
              <w:pStyle w:val="BodyText"/>
              <w:spacing w:before="80" w:after="80"/>
              <w:rPr>
                <w:bCs/>
              </w:rPr>
            </w:pPr>
            <w:r>
              <w:rPr>
                <w:bCs/>
              </w:rPr>
              <w:t>11.1.4</w:t>
            </w:r>
          </w:p>
        </w:tc>
        <w:tc>
          <w:tcPr>
            <w:tcW w:w="2304" w:type="dxa"/>
          </w:tcPr>
          <w:p w14:paraId="2843D3A7" w14:textId="77777777" w:rsidR="00962C6E" w:rsidRDefault="006E3B2D">
            <w:pPr>
              <w:pStyle w:val="BodyText"/>
              <w:spacing w:before="80" w:after="80"/>
            </w:pPr>
            <w:r>
              <w:t xml:space="preserve">Calculation of </w:t>
            </w:r>
            <w:r>
              <w:rPr>
                <w:b/>
              </w:rPr>
              <w:t xml:space="preserve">GMT Entry Point Daily </w:t>
            </w:r>
            <w:r>
              <w:rPr>
                <w:b/>
              </w:rPr>
              <w:lastRenderedPageBreak/>
              <w:t>Quantity Delivered</w:t>
            </w:r>
          </w:p>
        </w:tc>
        <w:tc>
          <w:tcPr>
            <w:tcW w:w="2288" w:type="dxa"/>
          </w:tcPr>
          <w:p w14:paraId="4D1B833C" w14:textId="77777777" w:rsidR="00962C6E" w:rsidRDefault="00962C6E">
            <w:pPr>
              <w:pStyle w:val="BodyText"/>
              <w:spacing w:before="80" w:after="80"/>
            </w:pPr>
          </w:p>
        </w:tc>
        <w:tc>
          <w:tcPr>
            <w:tcW w:w="8703" w:type="dxa"/>
          </w:tcPr>
          <w:p w14:paraId="33867F45" w14:textId="77777777" w:rsidR="00962C6E" w:rsidRDefault="006E3B2D">
            <w:pPr>
              <w:pStyle w:val="BodyText"/>
            </w:pPr>
            <w:r>
              <w:t>National Grid NTS will determine the GMT Entry Point Daily Quantity Delivered for each GMT System Entry Point by using hourly metering data p</w:t>
            </w:r>
            <w:r>
              <w:t xml:space="preserve">rovided by Delivering Users for the relevant </w:t>
            </w:r>
            <w:r>
              <w:lastRenderedPageBreak/>
              <w:t>GMT System Entry Points (obtained in accordance with relevant Measurement Provisions).</w:t>
            </w:r>
          </w:p>
        </w:tc>
      </w:tr>
      <w:tr w:rsidR="00962C6E" w14:paraId="0885E875" w14:textId="77777777">
        <w:trPr>
          <w:trHeight w:val="77"/>
        </w:trPr>
        <w:tc>
          <w:tcPr>
            <w:tcW w:w="1483" w:type="dxa"/>
          </w:tcPr>
          <w:p w14:paraId="65BC9594" w14:textId="77777777" w:rsidR="00962C6E" w:rsidRDefault="006E3B2D">
            <w:pPr>
              <w:pStyle w:val="BodyText"/>
              <w:spacing w:before="80" w:after="80"/>
              <w:rPr>
                <w:bCs/>
              </w:rPr>
            </w:pPr>
            <w:r>
              <w:rPr>
                <w:bCs/>
              </w:rPr>
              <w:lastRenderedPageBreak/>
              <w:t>11.1.5</w:t>
            </w:r>
          </w:p>
        </w:tc>
        <w:tc>
          <w:tcPr>
            <w:tcW w:w="2304" w:type="dxa"/>
          </w:tcPr>
          <w:p w14:paraId="0EC349CD" w14:textId="77777777" w:rsidR="00962C6E" w:rsidRDefault="006E3B2D">
            <w:pPr>
              <w:pStyle w:val="BodyText"/>
              <w:spacing w:before="80" w:after="80"/>
            </w:pPr>
            <w:r>
              <w:t xml:space="preserve">Calculation of </w:t>
            </w:r>
            <w:r>
              <w:rPr>
                <w:b/>
              </w:rPr>
              <w:t>GMT UDQI</w:t>
            </w:r>
          </w:p>
        </w:tc>
        <w:tc>
          <w:tcPr>
            <w:tcW w:w="2288" w:type="dxa"/>
          </w:tcPr>
          <w:p w14:paraId="74F2FAB0" w14:textId="77777777" w:rsidR="00962C6E" w:rsidRDefault="00962C6E">
            <w:pPr>
              <w:pStyle w:val="BodyText"/>
              <w:spacing w:before="80" w:after="80"/>
            </w:pPr>
          </w:p>
        </w:tc>
        <w:tc>
          <w:tcPr>
            <w:tcW w:w="8703" w:type="dxa"/>
          </w:tcPr>
          <w:p w14:paraId="28881B23" w14:textId="77777777" w:rsidR="00962C6E" w:rsidRDefault="006E3B2D">
            <w:pPr>
              <w:pStyle w:val="BodyText"/>
            </w:pPr>
            <w:r>
              <w:t>This paragraph provides that the GMT UDQI</w:t>
            </w:r>
            <w:r>
              <w:t xml:space="preserve"> for each Delivering User for a Gas Flow Day shall be the quantity set out in the User's GMT Entry Allocation Statement if the conditions set out in paragraph 11.1.6 below are satisfied.</w:t>
            </w:r>
          </w:p>
        </w:tc>
      </w:tr>
      <w:tr w:rsidR="00962C6E" w14:paraId="691D1934" w14:textId="77777777">
        <w:trPr>
          <w:trHeight w:val="77"/>
        </w:trPr>
        <w:tc>
          <w:tcPr>
            <w:tcW w:w="1483" w:type="dxa"/>
          </w:tcPr>
          <w:p w14:paraId="143382B5" w14:textId="77777777" w:rsidR="00962C6E" w:rsidRDefault="006E3B2D">
            <w:pPr>
              <w:pStyle w:val="BodyText"/>
              <w:spacing w:before="80" w:after="80"/>
              <w:rPr>
                <w:bCs/>
              </w:rPr>
            </w:pPr>
            <w:r>
              <w:rPr>
                <w:bCs/>
              </w:rPr>
              <w:t>11.1.6</w:t>
            </w:r>
          </w:p>
        </w:tc>
        <w:tc>
          <w:tcPr>
            <w:tcW w:w="2304" w:type="dxa"/>
          </w:tcPr>
          <w:p w14:paraId="172A280F" w14:textId="77777777" w:rsidR="00962C6E" w:rsidRDefault="006E3B2D">
            <w:pPr>
              <w:pStyle w:val="BodyText"/>
              <w:spacing w:before="80" w:after="80"/>
            </w:pPr>
            <w:r>
              <w:t xml:space="preserve">Conditions related to calculation of </w:t>
            </w:r>
            <w:r>
              <w:rPr>
                <w:b/>
              </w:rPr>
              <w:t>GMT UDQI</w:t>
            </w:r>
          </w:p>
        </w:tc>
        <w:tc>
          <w:tcPr>
            <w:tcW w:w="2288" w:type="dxa"/>
          </w:tcPr>
          <w:p w14:paraId="474F73CF" w14:textId="77777777" w:rsidR="00962C6E" w:rsidRDefault="00962C6E">
            <w:pPr>
              <w:pStyle w:val="BodyText"/>
              <w:spacing w:before="80" w:after="80"/>
            </w:pPr>
          </w:p>
        </w:tc>
        <w:tc>
          <w:tcPr>
            <w:tcW w:w="8703" w:type="dxa"/>
          </w:tcPr>
          <w:p w14:paraId="4E1A940E" w14:textId="77777777" w:rsidR="00962C6E" w:rsidRDefault="006E3B2D">
            <w:pPr>
              <w:pStyle w:val="BodyText"/>
            </w:pPr>
            <w:r>
              <w:t>The conditions</w:t>
            </w:r>
            <w:r>
              <w:t xml:space="preserve"> referred to in paragraph 11.1.5 above (GMT UDQI) are that:</w:t>
            </w:r>
          </w:p>
          <w:p w14:paraId="6CAEBE57" w14:textId="77777777" w:rsidR="00962C6E" w:rsidRDefault="006E3B2D">
            <w:pPr>
              <w:pStyle w:val="BodyText"/>
            </w:pPr>
            <w:r>
              <w:t xml:space="preserve">(a) </w:t>
            </w:r>
            <w:proofErr w:type="gramStart"/>
            <w:r>
              <w:t>all</w:t>
            </w:r>
            <w:proofErr w:type="gramEnd"/>
            <w:r>
              <w:t xml:space="preserve"> Delivering Users have submitted their GMT Entry Allocation Statements by the Entry Close-out Date; and</w:t>
            </w:r>
          </w:p>
          <w:p w14:paraId="06C906F8" w14:textId="77777777" w:rsidR="00962C6E" w:rsidRDefault="006E3B2D">
            <w:pPr>
              <w:pStyle w:val="BodyText"/>
            </w:pPr>
            <w:r>
              <w:t xml:space="preserve">(b) </w:t>
            </w:r>
            <w:proofErr w:type="gramStart"/>
            <w:r>
              <w:t>the</w:t>
            </w:r>
            <w:proofErr w:type="gramEnd"/>
            <w:r>
              <w:t xml:space="preserve"> total aggregate of the quantities set out in all GMT Entry Allocation Stateme</w:t>
            </w:r>
            <w:r>
              <w:t>nts is equal to the GMT Entry Point Daily Quantity Delivered.</w:t>
            </w:r>
          </w:p>
        </w:tc>
      </w:tr>
      <w:tr w:rsidR="00962C6E" w14:paraId="64AA659D" w14:textId="77777777">
        <w:trPr>
          <w:trHeight w:val="77"/>
        </w:trPr>
        <w:tc>
          <w:tcPr>
            <w:tcW w:w="1483" w:type="dxa"/>
          </w:tcPr>
          <w:p w14:paraId="1C5CDA2D" w14:textId="77777777" w:rsidR="00962C6E" w:rsidRDefault="006E3B2D">
            <w:pPr>
              <w:pStyle w:val="BodyText"/>
              <w:spacing w:before="80" w:after="80"/>
              <w:rPr>
                <w:bCs/>
              </w:rPr>
            </w:pPr>
            <w:r>
              <w:rPr>
                <w:bCs/>
              </w:rPr>
              <w:t>11.1.7</w:t>
            </w:r>
          </w:p>
        </w:tc>
        <w:tc>
          <w:tcPr>
            <w:tcW w:w="2304" w:type="dxa"/>
          </w:tcPr>
          <w:p w14:paraId="312AB49C" w14:textId="77777777" w:rsidR="00962C6E" w:rsidRDefault="006E3B2D">
            <w:pPr>
              <w:pStyle w:val="BodyText"/>
              <w:spacing w:before="80" w:after="80"/>
            </w:pPr>
            <w:r>
              <w:t xml:space="preserve">Calculation of </w:t>
            </w:r>
            <w:r>
              <w:rPr>
                <w:b/>
              </w:rPr>
              <w:t>GMT UDQI</w:t>
            </w:r>
            <w:r>
              <w:t xml:space="preserve"> where conditions are not met</w:t>
            </w:r>
          </w:p>
        </w:tc>
        <w:tc>
          <w:tcPr>
            <w:tcW w:w="2288" w:type="dxa"/>
          </w:tcPr>
          <w:p w14:paraId="4E5F8A5B" w14:textId="77777777" w:rsidR="00962C6E" w:rsidRDefault="00962C6E">
            <w:pPr>
              <w:pStyle w:val="BodyText"/>
              <w:spacing w:before="80" w:after="80"/>
            </w:pPr>
          </w:p>
        </w:tc>
        <w:tc>
          <w:tcPr>
            <w:tcW w:w="8703" w:type="dxa"/>
          </w:tcPr>
          <w:p w14:paraId="424B9C0D" w14:textId="77777777" w:rsidR="00962C6E" w:rsidRDefault="006E3B2D">
            <w:pPr>
              <w:pStyle w:val="BodyText"/>
            </w:pPr>
            <w:r>
              <w:t>Paragraph 11.1.7 provides a default rule for calculation of the GMT UDQI if the conditions of paragraph 11.1.5 (and accordingly para</w:t>
            </w:r>
            <w:r>
              <w:t xml:space="preserve">graph 11.1.6) above are not satisfied. </w:t>
            </w:r>
          </w:p>
          <w:p w14:paraId="69AE7424" w14:textId="77777777" w:rsidR="00962C6E" w:rsidRDefault="006E3B2D">
            <w:pPr>
              <w:pStyle w:val="BodyText"/>
            </w:pPr>
            <w:r>
              <w:t>The GMT UDQI</w:t>
            </w:r>
            <w:r>
              <w:t xml:space="preserve"> for each Delivering User is determined by allocating the GMT Entry Point Daily Quantity Delivered between the Delivering Users in proportion to the Nominated Quantities under their respective Input Nominations for the Gas Flow Day in respect of that GMT S</w:t>
            </w:r>
            <w:r>
              <w:t>ystem Entry Point.</w:t>
            </w:r>
          </w:p>
        </w:tc>
      </w:tr>
      <w:tr w:rsidR="00962C6E" w14:paraId="6B23F6F5" w14:textId="77777777">
        <w:trPr>
          <w:trHeight w:val="77"/>
        </w:trPr>
        <w:tc>
          <w:tcPr>
            <w:tcW w:w="1483" w:type="dxa"/>
          </w:tcPr>
          <w:p w14:paraId="78091E62" w14:textId="77777777" w:rsidR="00962C6E" w:rsidRDefault="006E3B2D">
            <w:pPr>
              <w:pStyle w:val="BodyText"/>
              <w:spacing w:before="80" w:after="80"/>
              <w:rPr>
                <w:bCs/>
              </w:rPr>
            </w:pPr>
            <w:r>
              <w:rPr>
                <w:bCs/>
              </w:rPr>
              <w:t>11.1.8</w:t>
            </w:r>
          </w:p>
        </w:tc>
        <w:tc>
          <w:tcPr>
            <w:tcW w:w="2304" w:type="dxa"/>
          </w:tcPr>
          <w:p w14:paraId="10DF9A74" w14:textId="77777777" w:rsidR="00962C6E" w:rsidRDefault="006E3B2D">
            <w:pPr>
              <w:pStyle w:val="BodyText"/>
              <w:spacing w:before="80" w:after="80"/>
            </w:pPr>
            <w:r>
              <w:t xml:space="preserve">Use of </w:t>
            </w:r>
            <w:r>
              <w:rPr>
                <w:b/>
              </w:rPr>
              <w:t>GMT UDQI</w:t>
            </w:r>
          </w:p>
        </w:tc>
        <w:tc>
          <w:tcPr>
            <w:tcW w:w="2288" w:type="dxa"/>
          </w:tcPr>
          <w:p w14:paraId="6D350990" w14:textId="77777777" w:rsidR="00962C6E" w:rsidRDefault="00962C6E">
            <w:pPr>
              <w:pStyle w:val="BodyText"/>
              <w:spacing w:before="80" w:after="80"/>
            </w:pPr>
          </w:p>
        </w:tc>
        <w:tc>
          <w:tcPr>
            <w:tcW w:w="8703" w:type="dxa"/>
          </w:tcPr>
          <w:p w14:paraId="26BCC6B6" w14:textId="77777777" w:rsidR="00962C6E" w:rsidRDefault="006E3B2D">
            <w:pPr>
              <w:pStyle w:val="BodyText"/>
            </w:pPr>
            <w:r>
              <w:t>GMT UDQI is to be used only for determining:</w:t>
            </w:r>
          </w:p>
          <w:p w14:paraId="331FEF16" w14:textId="77777777" w:rsidR="00962C6E" w:rsidRDefault="006E3B2D">
            <w:pPr>
              <w:pStyle w:val="BodyText"/>
            </w:pPr>
            <w:r>
              <w:t xml:space="preserve">- </w:t>
            </w:r>
            <w:proofErr w:type="gramStart"/>
            <w:r>
              <w:t>the</w:t>
            </w:r>
            <w:proofErr w:type="gramEnd"/>
            <w:r>
              <w:t xml:space="preserve"> GMT System Entry Overrun Charge Adjustments;</w:t>
            </w:r>
            <w:r>
              <w:br/>
              <w:t>- the GMT Incentivised Nomination Charge Adjustments;</w:t>
            </w:r>
            <w:r>
              <w:br/>
              <w:t>- the GMT Daily Imbalance Charge Adjustments; and</w:t>
            </w:r>
            <w:r>
              <w:br/>
              <w:t>- the GMT Sc</w:t>
            </w:r>
            <w:r>
              <w:t>heduling Charge Adjustments.</w:t>
            </w:r>
          </w:p>
        </w:tc>
      </w:tr>
      <w:tr w:rsidR="00962C6E" w14:paraId="1F7B85BD" w14:textId="77777777">
        <w:trPr>
          <w:trHeight w:val="77"/>
        </w:trPr>
        <w:tc>
          <w:tcPr>
            <w:tcW w:w="1483" w:type="dxa"/>
          </w:tcPr>
          <w:p w14:paraId="5DC5F848" w14:textId="77777777" w:rsidR="00962C6E" w:rsidRDefault="006E3B2D">
            <w:pPr>
              <w:pStyle w:val="BodyText"/>
              <w:spacing w:before="80" w:after="80"/>
              <w:rPr>
                <w:bCs/>
              </w:rPr>
            </w:pPr>
            <w:r>
              <w:rPr>
                <w:bCs/>
              </w:rPr>
              <w:t>11.2.1</w:t>
            </w:r>
          </w:p>
        </w:tc>
        <w:tc>
          <w:tcPr>
            <w:tcW w:w="2304" w:type="dxa"/>
          </w:tcPr>
          <w:p w14:paraId="0ED2D5EC" w14:textId="77777777" w:rsidR="00962C6E" w:rsidRDefault="006E3B2D">
            <w:pPr>
              <w:pStyle w:val="BodyText"/>
              <w:spacing w:before="80" w:after="80"/>
            </w:pPr>
            <w:r>
              <w:t xml:space="preserve">Determination of </w:t>
            </w:r>
            <w:r>
              <w:rPr>
                <w:b/>
              </w:rPr>
              <w:t>GMT Daily Imbalance</w:t>
            </w:r>
          </w:p>
        </w:tc>
        <w:tc>
          <w:tcPr>
            <w:tcW w:w="2288" w:type="dxa"/>
          </w:tcPr>
          <w:p w14:paraId="49658A90" w14:textId="77777777" w:rsidR="00962C6E" w:rsidRDefault="00962C6E">
            <w:pPr>
              <w:pStyle w:val="BodyText"/>
              <w:spacing w:before="80" w:after="80"/>
            </w:pPr>
          </w:p>
        </w:tc>
        <w:tc>
          <w:tcPr>
            <w:tcW w:w="8703" w:type="dxa"/>
          </w:tcPr>
          <w:p w14:paraId="57818942" w14:textId="77777777" w:rsidR="00962C6E" w:rsidRDefault="006E3B2D">
            <w:pPr>
              <w:pStyle w:val="BodyText"/>
            </w:pPr>
            <w:r>
              <w:t>This paragraph provides that a User's "</w:t>
            </w:r>
            <w:r>
              <w:rPr>
                <w:b/>
              </w:rPr>
              <w:t>GMT Daily Imbalance</w:t>
            </w:r>
            <w:r>
              <w:t>" is an amount equal to the User's Daily Imbalance for the Day but calculated by substituting the User's GMT UDQI for the U</w:t>
            </w:r>
            <w:r>
              <w:t xml:space="preserve">DQI in </w:t>
            </w:r>
            <w:r>
              <w:lastRenderedPageBreak/>
              <w:t>respect of each GMT System Entry Point.</w:t>
            </w:r>
          </w:p>
        </w:tc>
      </w:tr>
      <w:tr w:rsidR="00962C6E" w14:paraId="3967BDD8" w14:textId="77777777">
        <w:trPr>
          <w:trHeight w:val="77"/>
        </w:trPr>
        <w:tc>
          <w:tcPr>
            <w:tcW w:w="1483" w:type="dxa"/>
            <w:tcBorders>
              <w:bottom w:val="single" w:sz="4" w:space="0" w:color="auto"/>
            </w:tcBorders>
          </w:tcPr>
          <w:p w14:paraId="60C6788D" w14:textId="77777777" w:rsidR="00962C6E" w:rsidRDefault="006E3B2D">
            <w:pPr>
              <w:pStyle w:val="BodyText"/>
              <w:spacing w:before="80" w:after="80"/>
              <w:rPr>
                <w:bCs/>
              </w:rPr>
            </w:pPr>
            <w:r>
              <w:rPr>
                <w:bCs/>
              </w:rPr>
              <w:lastRenderedPageBreak/>
              <w:t>11.2.2</w:t>
            </w:r>
          </w:p>
        </w:tc>
        <w:tc>
          <w:tcPr>
            <w:tcW w:w="2304" w:type="dxa"/>
            <w:tcBorders>
              <w:bottom w:val="single" w:sz="4" w:space="0" w:color="auto"/>
            </w:tcBorders>
          </w:tcPr>
          <w:p w14:paraId="390BB1B5" w14:textId="77777777" w:rsidR="00962C6E" w:rsidRDefault="006E3B2D">
            <w:pPr>
              <w:pStyle w:val="BodyText"/>
              <w:spacing w:before="80" w:after="80"/>
            </w:pPr>
            <w:r>
              <w:rPr>
                <w:b/>
              </w:rPr>
              <w:t xml:space="preserve">GMT Daily Imbalances </w:t>
            </w:r>
            <w:r>
              <w:t>- Monthly Calculations</w:t>
            </w:r>
          </w:p>
        </w:tc>
        <w:tc>
          <w:tcPr>
            <w:tcW w:w="2288" w:type="dxa"/>
            <w:tcBorders>
              <w:bottom w:val="single" w:sz="4" w:space="0" w:color="auto"/>
            </w:tcBorders>
          </w:tcPr>
          <w:p w14:paraId="10AD4998" w14:textId="77777777" w:rsidR="00962C6E" w:rsidRDefault="00962C6E">
            <w:pPr>
              <w:pStyle w:val="BodyText"/>
              <w:spacing w:before="80" w:after="80"/>
            </w:pPr>
          </w:p>
        </w:tc>
        <w:tc>
          <w:tcPr>
            <w:tcW w:w="8703" w:type="dxa"/>
            <w:tcBorders>
              <w:bottom w:val="single" w:sz="4" w:space="0" w:color="auto"/>
            </w:tcBorders>
          </w:tcPr>
          <w:p w14:paraId="62ED01B7" w14:textId="77777777" w:rsidR="00962C6E" w:rsidRDefault="006E3B2D">
            <w:pPr>
              <w:pStyle w:val="BodyText"/>
            </w:pPr>
            <w:r>
              <w:t>GMT Daily Imbalances are to be calculated for each Day in month m, no later than the 19th Business Day of month m.</w:t>
            </w:r>
          </w:p>
        </w:tc>
      </w:tr>
      <w:tr w:rsidR="00962C6E" w14:paraId="5D53BF8D" w14:textId="77777777">
        <w:trPr>
          <w:trHeight w:val="77"/>
        </w:trPr>
        <w:tc>
          <w:tcPr>
            <w:tcW w:w="14778" w:type="dxa"/>
            <w:gridSpan w:val="4"/>
            <w:shd w:val="clear" w:color="auto" w:fill="548DD4" w:themeFill="text2" w:themeFillTint="99"/>
          </w:tcPr>
          <w:p w14:paraId="5BEAE4AE" w14:textId="77777777" w:rsidR="00962C6E" w:rsidRDefault="006E3B2D">
            <w:pPr>
              <w:pStyle w:val="BodyText"/>
              <w:spacing w:before="240"/>
              <w:rPr>
                <w:b/>
                <w:color w:val="FFFFFF" w:themeColor="background1"/>
              </w:rPr>
            </w:pPr>
            <w:r>
              <w:rPr>
                <w:b/>
                <w:color w:val="FFFFFF" w:themeColor="background1"/>
              </w:rPr>
              <w:t xml:space="preserve">TRANSPORTATION PRINCIPAL DOCUMENT: </w:t>
            </w:r>
            <w:r>
              <w:rPr>
                <w:b/>
                <w:color w:val="FFFFFF" w:themeColor="background1"/>
              </w:rPr>
              <w:t>SECTION F – SYSTEM CLEARING, BALANCING CHARGES AND NEUTRALITY</w:t>
            </w:r>
          </w:p>
        </w:tc>
      </w:tr>
      <w:tr w:rsidR="00962C6E" w14:paraId="6349BFA0" w14:textId="77777777">
        <w:trPr>
          <w:trHeight w:val="77"/>
        </w:trPr>
        <w:tc>
          <w:tcPr>
            <w:tcW w:w="1483" w:type="dxa"/>
          </w:tcPr>
          <w:p w14:paraId="70E863FA" w14:textId="77777777" w:rsidR="00962C6E" w:rsidRDefault="006E3B2D">
            <w:pPr>
              <w:pStyle w:val="BodyText"/>
              <w:spacing w:before="80" w:after="80"/>
              <w:rPr>
                <w:bCs/>
              </w:rPr>
            </w:pPr>
            <w:r>
              <w:rPr>
                <w:bCs/>
              </w:rPr>
              <w:t>2.4.1</w:t>
            </w:r>
          </w:p>
        </w:tc>
        <w:tc>
          <w:tcPr>
            <w:tcW w:w="2304" w:type="dxa"/>
          </w:tcPr>
          <w:p w14:paraId="1E507345" w14:textId="77777777" w:rsidR="00962C6E" w:rsidRDefault="006E3B2D">
            <w:pPr>
              <w:pStyle w:val="BodyText"/>
              <w:spacing w:before="80" w:after="80"/>
            </w:pPr>
            <w:r>
              <w:t xml:space="preserve">Calculation of </w:t>
            </w:r>
            <w:r>
              <w:rPr>
                <w:b/>
              </w:rPr>
              <w:t>GMT Daily Imbalance Charge Adjustment</w:t>
            </w:r>
          </w:p>
        </w:tc>
        <w:tc>
          <w:tcPr>
            <w:tcW w:w="2288" w:type="dxa"/>
          </w:tcPr>
          <w:p w14:paraId="0F62E4E0" w14:textId="77777777" w:rsidR="00962C6E" w:rsidRDefault="00962C6E">
            <w:pPr>
              <w:pStyle w:val="BodyText"/>
              <w:spacing w:before="80" w:after="80"/>
            </w:pPr>
          </w:p>
        </w:tc>
        <w:tc>
          <w:tcPr>
            <w:tcW w:w="8703" w:type="dxa"/>
          </w:tcPr>
          <w:p w14:paraId="5FF331CD" w14:textId="77777777" w:rsidR="00962C6E" w:rsidRDefault="006E3B2D">
            <w:pPr>
              <w:pStyle w:val="BodyText"/>
            </w:pPr>
            <w:r>
              <w:t>This paragraph provides that an adjustment to each Delivering User's Daily Imbalance Charge at each GMT System Entry Point in relatio</w:t>
            </w:r>
            <w:r>
              <w:t>n to each Day (the "G</w:t>
            </w:r>
            <w:r>
              <w:rPr>
                <w:b/>
              </w:rPr>
              <w:t>MT Daily Imbalance Charge Adjustment</w:t>
            </w:r>
            <w:r>
              <w:t>") shall be calculated in accordance with paragraph 2.4. The adjustment is calculated at or around the same time as calculation of the original charge, and invoiced in the same invoice.</w:t>
            </w:r>
          </w:p>
          <w:p w14:paraId="0FCA69CE" w14:textId="77777777" w:rsidR="00962C6E" w:rsidRDefault="006E3B2D">
            <w:pPr>
              <w:pStyle w:val="BodyText"/>
            </w:pPr>
            <w:r>
              <w:t>Where the cal</w:t>
            </w:r>
            <w:r>
              <w:t xml:space="preserve">culated adjustment is negative, then the adjustment is payable by National Grid NTS to the User and where the calculated adjustment is positive, </w:t>
            </w:r>
            <w:proofErr w:type="gramStart"/>
            <w:r>
              <w:t>then</w:t>
            </w:r>
            <w:proofErr w:type="gramEnd"/>
            <w:r>
              <w:t xml:space="preserve"> the User must make payment of the adjustment to National Grid NTS.</w:t>
            </w:r>
          </w:p>
        </w:tc>
      </w:tr>
      <w:tr w:rsidR="00962C6E" w14:paraId="4259E16F" w14:textId="77777777">
        <w:trPr>
          <w:trHeight w:val="77"/>
        </w:trPr>
        <w:tc>
          <w:tcPr>
            <w:tcW w:w="1483" w:type="dxa"/>
          </w:tcPr>
          <w:p w14:paraId="1F495B62" w14:textId="77777777" w:rsidR="00962C6E" w:rsidRDefault="006E3B2D">
            <w:pPr>
              <w:pStyle w:val="BodyText"/>
              <w:spacing w:before="80" w:after="80"/>
              <w:rPr>
                <w:bCs/>
              </w:rPr>
            </w:pPr>
            <w:r>
              <w:rPr>
                <w:bCs/>
              </w:rPr>
              <w:t>2.4.2</w:t>
            </w:r>
          </w:p>
        </w:tc>
        <w:tc>
          <w:tcPr>
            <w:tcW w:w="2304" w:type="dxa"/>
          </w:tcPr>
          <w:p w14:paraId="5C43748C" w14:textId="77777777" w:rsidR="00962C6E" w:rsidRDefault="006E3B2D">
            <w:pPr>
              <w:pStyle w:val="BodyText"/>
              <w:spacing w:before="80" w:after="80"/>
            </w:pPr>
            <w:r>
              <w:t xml:space="preserve">Determination of Charges in </w:t>
            </w:r>
            <w:r>
              <w:t>relation to 2.4.1 above.</w:t>
            </w:r>
          </w:p>
        </w:tc>
        <w:tc>
          <w:tcPr>
            <w:tcW w:w="2288" w:type="dxa"/>
          </w:tcPr>
          <w:p w14:paraId="22DB16AC" w14:textId="77777777" w:rsidR="00962C6E" w:rsidRDefault="00962C6E">
            <w:pPr>
              <w:pStyle w:val="BodyText"/>
              <w:spacing w:before="80" w:after="80"/>
            </w:pPr>
          </w:p>
        </w:tc>
        <w:tc>
          <w:tcPr>
            <w:tcW w:w="8703" w:type="dxa"/>
          </w:tcPr>
          <w:p w14:paraId="4A0188F8" w14:textId="77777777" w:rsidR="00962C6E" w:rsidRDefault="006E3B2D">
            <w:pPr>
              <w:pStyle w:val="BodyText"/>
            </w:pPr>
            <w:r>
              <w:t xml:space="preserve">This paragraph sets out how the GMT Daily Imbalance Charge for each User, for each Day is calculated, and defines the following terms: </w:t>
            </w:r>
          </w:p>
          <w:p w14:paraId="37F06CAF" w14:textId="77777777" w:rsidR="00962C6E" w:rsidRDefault="006E3B2D">
            <w:pPr>
              <w:pStyle w:val="BodyText"/>
            </w:pPr>
            <w:r>
              <w:t xml:space="preserve">(a) </w:t>
            </w:r>
            <w:proofErr w:type="gramStart"/>
            <w:r>
              <w:t>a</w:t>
            </w:r>
            <w:proofErr w:type="gramEnd"/>
            <w:r>
              <w:t xml:space="preserve"> User's "</w:t>
            </w:r>
            <w:r>
              <w:rPr>
                <w:b/>
              </w:rPr>
              <w:t>GMT Daily Imbalance Charge Adjustment</w:t>
            </w:r>
            <w:r>
              <w:t>" for a Day is the difference between the G</w:t>
            </w:r>
            <w:r>
              <w:t>MT Daily Imbalance Charge (defined below) and the Daily Imbalance Charge for that Day.</w:t>
            </w:r>
          </w:p>
          <w:p w14:paraId="1D864035" w14:textId="77777777" w:rsidR="00962C6E" w:rsidRDefault="006E3B2D">
            <w:pPr>
              <w:pStyle w:val="BodyText"/>
            </w:pPr>
            <w:r>
              <w:t>(b) "</w:t>
            </w:r>
            <w:r>
              <w:rPr>
                <w:b/>
              </w:rPr>
              <w:t>GMT Daily Imbalance Charge</w:t>
            </w:r>
            <w:r>
              <w:t>" is the amount equal to a User's Daily Imbalance Charge for that Day, but calculated by substituting the User's GMT Daily Imbalance for t</w:t>
            </w:r>
            <w:r>
              <w:t>he User's Daily Imbalance.</w:t>
            </w:r>
          </w:p>
        </w:tc>
      </w:tr>
      <w:tr w:rsidR="00962C6E" w14:paraId="4F148A3E" w14:textId="77777777">
        <w:trPr>
          <w:trHeight w:val="77"/>
        </w:trPr>
        <w:tc>
          <w:tcPr>
            <w:tcW w:w="1483" w:type="dxa"/>
          </w:tcPr>
          <w:p w14:paraId="0D2A314D" w14:textId="77777777" w:rsidR="00962C6E" w:rsidRDefault="006E3B2D">
            <w:pPr>
              <w:pStyle w:val="BodyText"/>
              <w:spacing w:before="80" w:after="80"/>
              <w:rPr>
                <w:bCs/>
              </w:rPr>
            </w:pPr>
            <w:r>
              <w:rPr>
                <w:bCs/>
              </w:rPr>
              <w:t>2.4.3</w:t>
            </w:r>
          </w:p>
        </w:tc>
        <w:tc>
          <w:tcPr>
            <w:tcW w:w="2304" w:type="dxa"/>
          </w:tcPr>
          <w:p w14:paraId="26B1FF83" w14:textId="77777777" w:rsidR="00962C6E" w:rsidRDefault="006E3B2D">
            <w:pPr>
              <w:pStyle w:val="BodyText"/>
              <w:spacing w:before="80" w:after="80"/>
            </w:pPr>
            <w:r>
              <w:rPr>
                <w:b/>
              </w:rPr>
              <w:t>GMT Daily Imbalance Charge Adjustments</w:t>
            </w:r>
            <w:r>
              <w:t xml:space="preserve"> - Monthly calculations</w:t>
            </w:r>
          </w:p>
        </w:tc>
        <w:tc>
          <w:tcPr>
            <w:tcW w:w="2288" w:type="dxa"/>
          </w:tcPr>
          <w:p w14:paraId="15A40255" w14:textId="77777777" w:rsidR="00962C6E" w:rsidRDefault="00962C6E">
            <w:pPr>
              <w:pStyle w:val="BodyText"/>
              <w:spacing w:before="80" w:after="80"/>
            </w:pPr>
          </w:p>
        </w:tc>
        <w:tc>
          <w:tcPr>
            <w:tcW w:w="8703" w:type="dxa"/>
          </w:tcPr>
          <w:p w14:paraId="4FFA4421" w14:textId="77777777" w:rsidR="00962C6E" w:rsidRDefault="006E3B2D">
            <w:pPr>
              <w:pStyle w:val="BodyText"/>
            </w:pPr>
            <w:r>
              <w:t>National Grid NTS</w:t>
            </w:r>
            <w:r>
              <w:t xml:space="preserve"> shall calculate the GMT Daily Imbalance Charge Adjustments for each User for each Day in a month (month m), no later than the 19th Business Day of month m+1.</w:t>
            </w:r>
          </w:p>
        </w:tc>
      </w:tr>
      <w:tr w:rsidR="00962C6E" w14:paraId="26D73037" w14:textId="77777777">
        <w:trPr>
          <w:trHeight w:val="77"/>
        </w:trPr>
        <w:tc>
          <w:tcPr>
            <w:tcW w:w="1483" w:type="dxa"/>
          </w:tcPr>
          <w:p w14:paraId="620847B6" w14:textId="77777777" w:rsidR="00962C6E" w:rsidRDefault="006E3B2D">
            <w:pPr>
              <w:pStyle w:val="BodyText"/>
              <w:spacing w:before="80" w:after="80"/>
              <w:rPr>
                <w:bCs/>
              </w:rPr>
            </w:pPr>
            <w:r>
              <w:rPr>
                <w:bCs/>
              </w:rPr>
              <w:lastRenderedPageBreak/>
              <w:t>2.12.14</w:t>
            </w:r>
          </w:p>
        </w:tc>
        <w:tc>
          <w:tcPr>
            <w:tcW w:w="2304" w:type="dxa"/>
          </w:tcPr>
          <w:p w14:paraId="72B3ED20" w14:textId="77777777" w:rsidR="00962C6E" w:rsidRDefault="006E3B2D">
            <w:pPr>
              <w:pStyle w:val="BodyText"/>
              <w:spacing w:before="80" w:after="80"/>
            </w:pPr>
            <w:r>
              <w:rPr>
                <w:b/>
              </w:rPr>
              <w:t>GMT Daily Imbalance Charge Adjustments</w:t>
            </w:r>
            <w:r>
              <w:t xml:space="preserve"> - Recording monthly adjustments</w:t>
            </w:r>
          </w:p>
        </w:tc>
        <w:tc>
          <w:tcPr>
            <w:tcW w:w="2288" w:type="dxa"/>
          </w:tcPr>
          <w:p w14:paraId="7B9CE6EC" w14:textId="77777777" w:rsidR="00962C6E" w:rsidRDefault="00962C6E">
            <w:pPr>
              <w:pStyle w:val="BodyText"/>
              <w:spacing w:before="80" w:after="80"/>
            </w:pPr>
          </w:p>
        </w:tc>
        <w:tc>
          <w:tcPr>
            <w:tcW w:w="8703" w:type="dxa"/>
          </w:tcPr>
          <w:p w14:paraId="4D53E724" w14:textId="77777777" w:rsidR="00962C6E" w:rsidRDefault="006E3B2D">
            <w:pPr>
              <w:pStyle w:val="BodyText"/>
            </w:pPr>
            <w:r>
              <w:t>The GMT Daily Im</w:t>
            </w:r>
            <w:r>
              <w:t>balance Charge Adjustments for Days in month m will be included in the Balancing Invoice for month m and are to be invoiced and paid in accordance with TPD Section S.</w:t>
            </w:r>
          </w:p>
        </w:tc>
      </w:tr>
      <w:tr w:rsidR="00962C6E" w14:paraId="36CB1D2C" w14:textId="77777777">
        <w:trPr>
          <w:trHeight w:val="77"/>
        </w:trPr>
        <w:tc>
          <w:tcPr>
            <w:tcW w:w="1483" w:type="dxa"/>
          </w:tcPr>
          <w:p w14:paraId="2861632E" w14:textId="77777777" w:rsidR="00962C6E" w:rsidRDefault="006E3B2D">
            <w:pPr>
              <w:pStyle w:val="BodyText"/>
              <w:spacing w:before="80" w:after="80"/>
              <w:rPr>
                <w:bCs/>
              </w:rPr>
            </w:pPr>
            <w:r>
              <w:rPr>
                <w:bCs/>
              </w:rPr>
              <w:t>3.2.3</w:t>
            </w:r>
          </w:p>
        </w:tc>
        <w:tc>
          <w:tcPr>
            <w:tcW w:w="2304" w:type="dxa"/>
          </w:tcPr>
          <w:p w14:paraId="3B26B434" w14:textId="77777777" w:rsidR="00962C6E" w:rsidRDefault="006E3B2D">
            <w:pPr>
              <w:pStyle w:val="BodyText"/>
              <w:spacing w:before="80" w:after="80"/>
            </w:pPr>
            <w:r>
              <w:t xml:space="preserve">Calculation of </w:t>
            </w:r>
            <w:r>
              <w:rPr>
                <w:b/>
              </w:rPr>
              <w:t>GMT Input Scheduling Charge Adjustment</w:t>
            </w:r>
          </w:p>
        </w:tc>
        <w:tc>
          <w:tcPr>
            <w:tcW w:w="2288" w:type="dxa"/>
          </w:tcPr>
          <w:p w14:paraId="56DBF639" w14:textId="77777777" w:rsidR="00962C6E" w:rsidRDefault="00962C6E">
            <w:pPr>
              <w:pStyle w:val="BodyText"/>
              <w:spacing w:before="80" w:after="80"/>
            </w:pPr>
          </w:p>
        </w:tc>
        <w:tc>
          <w:tcPr>
            <w:tcW w:w="8703" w:type="dxa"/>
          </w:tcPr>
          <w:p w14:paraId="4F81BF8C" w14:textId="77777777" w:rsidR="00962C6E" w:rsidRDefault="006E3B2D">
            <w:pPr>
              <w:pStyle w:val="BodyText"/>
            </w:pPr>
            <w:r>
              <w:t>This paragraph provides that an adjustment to each Delivering User's Scheduling Charge at each GMT ASEP in relation to each Day (the "</w:t>
            </w:r>
            <w:r>
              <w:rPr>
                <w:b/>
              </w:rPr>
              <w:t>GMT Input Scheduling Charge</w:t>
            </w:r>
            <w:r>
              <w:t xml:space="preserve"> </w:t>
            </w:r>
            <w:r>
              <w:rPr>
                <w:b/>
              </w:rPr>
              <w:t>Adjustment</w:t>
            </w:r>
            <w:r>
              <w:t>") shall be calculated in accordance with paragraph 3.2. The adjustment is calculate</w:t>
            </w:r>
            <w:r>
              <w:t>d at or around the same time as calculation of the original charge, and invoiced in the same invoice.</w:t>
            </w:r>
          </w:p>
          <w:p w14:paraId="3F9E4BB4" w14:textId="77777777" w:rsidR="00962C6E" w:rsidRDefault="006E3B2D">
            <w:pPr>
              <w:pStyle w:val="BodyText"/>
            </w:pPr>
            <w:r>
              <w:t>Where the calculated adjustment is negative, then the adjustment is payable by National Grid NTS to the User and where the calculated adjustment is positi</w:t>
            </w:r>
            <w:r>
              <w:t xml:space="preserve">ve, </w:t>
            </w:r>
            <w:proofErr w:type="gramStart"/>
            <w:r>
              <w:t>then</w:t>
            </w:r>
            <w:proofErr w:type="gramEnd"/>
            <w:r>
              <w:t xml:space="preserve"> the User must make payment of the adjustment to National Grid NTS.</w:t>
            </w:r>
          </w:p>
        </w:tc>
      </w:tr>
      <w:tr w:rsidR="00962C6E" w14:paraId="28E2C0C1" w14:textId="77777777">
        <w:trPr>
          <w:trHeight w:val="77"/>
        </w:trPr>
        <w:tc>
          <w:tcPr>
            <w:tcW w:w="1483" w:type="dxa"/>
          </w:tcPr>
          <w:p w14:paraId="292AE03A" w14:textId="77777777" w:rsidR="00962C6E" w:rsidRDefault="006E3B2D">
            <w:pPr>
              <w:pStyle w:val="BodyText"/>
              <w:spacing w:before="80" w:after="80"/>
              <w:rPr>
                <w:bCs/>
              </w:rPr>
            </w:pPr>
            <w:r>
              <w:rPr>
                <w:bCs/>
              </w:rPr>
              <w:t>3.2.4</w:t>
            </w:r>
          </w:p>
        </w:tc>
        <w:tc>
          <w:tcPr>
            <w:tcW w:w="2304" w:type="dxa"/>
          </w:tcPr>
          <w:p w14:paraId="6CE8D03C" w14:textId="77777777" w:rsidR="00962C6E" w:rsidRDefault="006E3B2D">
            <w:pPr>
              <w:pStyle w:val="BodyText"/>
              <w:spacing w:before="80" w:after="80"/>
            </w:pPr>
            <w:r>
              <w:t xml:space="preserve">Determination of </w:t>
            </w:r>
            <w:r>
              <w:rPr>
                <w:b/>
              </w:rPr>
              <w:t>GMT Input Scheduling</w:t>
            </w:r>
            <w:r>
              <w:t xml:space="preserve"> </w:t>
            </w:r>
            <w:r>
              <w:rPr>
                <w:b/>
              </w:rPr>
              <w:t>Quantity</w:t>
            </w:r>
          </w:p>
        </w:tc>
        <w:tc>
          <w:tcPr>
            <w:tcW w:w="2288" w:type="dxa"/>
          </w:tcPr>
          <w:p w14:paraId="3A896C5B" w14:textId="77777777" w:rsidR="00962C6E" w:rsidRDefault="00962C6E">
            <w:pPr>
              <w:pStyle w:val="BodyText"/>
              <w:spacing w:before="80" w:after="80"/>
            </w:pPr>
          </w:p>
        </w:tc>
        <w:tc>
          <w:tcPr>
            <w:tcW w:w="8703" w:type="dxa"/>
          </w:tcPr>
          <w:p w14:paraId="450EC1E4" w14:textId="77777777" w:rsidR="00962C6E" w:rsidRDefault="006E3B2D">
            <w:pPr>
              <w:pStyle w:val="BodyText"/>
            </w:pPr>
            <w:r>
              <w:t>This paragraph sets out how the GMT Input Scheduling Charge Adjustment for each User, for each Day and for each GMT ASEP is c</w:t>
            </w:r>
            <w:r>
              <w:t>alculated, and defines the following terms:</w:t>
            </w:r>
          </w:p>
          <w:p w14:paraId="623111B5" w14:textId="77777777" w:rsidR="00962C6E" w:rsidRDefault="006E3B2D">
            <w:pPr>
              <w:pStyle w:val="BodyText"/>
            </w:pPr>
            <w:r>
              <w:t>(a</w:t>
            </w:r>
            <w:proofErr w:type="gramStart"/>
            <w:r>
              <w:t>)  a</w:t>
            </w:r>
            <w:proofErr w:type="gramEnd"/>
            <w:r>
              <w:t xml:space="preserve"> User's "</w:t>
            </w:r>
            <w:r>
              <w:rPr>
                <w:b/>
              </w:rPr>
              <w:t>GMT Input Scheduling Charge Adjustment</w:t>
            </w:r>
            <w:r>
              <w:t>" at a GMT ASEP for a Day is the difference between that User's GMT Input Scheduling Charge (defined below) and their Scheduling Charge for that GMT ASEP for t</w:t>
            </w:r>
            <w:r>
              <w:t>hat Day;</w:t>
            </w:r>
          </w:p>
          <w:p w14:paraId="0F812A58" w14:textId="77777777" w:rsidR="00962C6E" w:rsidRDefault="006E3B2D">
            <w:pPr>
              <w:pStyle w:val="BodyText"/>
            </w:pPr>
            <w:r>
              <w:t xml:space="preserve">(b) </w:t>
            </w:r>
            <w:proofErr w:type="gramStart"/>
            <w:r>
              <w:t>the</w:t>
            </w:r>
            <w:proofErr w:type="gramEnd"/>
            <w:r>
              <w:t xml:space="preserve"> User's "</w:t>
            </w:r>
            <w:r>
              <w:rPr>
                <w:b/>
              </w:rPr>
              <w:t>GMT Input Scheduling Charge</w:t>
            </w:r>
            <w:r>
              <w:t>" at a GMT ASEP for a Day is the amount equal to the Scheduling Charge for that GMT ASEP for that Day, but calculated by substituting the GMT Input Scheduling Quantity for the Input Scheduling Quantity.</w:t>
            </w:r>
          </w:p>
          <w:p w14:paraId="6942206C" w14:textId="77777777" w:rsidR="00962C6E" w:rsidRDefault="006E3B2D">
            <w:pPr>
              <w:pStyle w:val="BodyText"/>
            </w:pPr>
            <w:r>
              <w:t>(</w:t>
            </w:r>
            <w:r>
              <w:t>c</w:t>
            </w:r>
            <w:proofErr w:type="gramStart"/>
            <w:r>
              <w:t>)   the</w:t>
            </w:r>
            <w:proofErr w:type="gramEnd"/>
            <w:r>
              <w:t xml:space="preserve"> User's "</w:t>
            </w:r>
            <w:r>
              <w:rPr>
                <w:b/>
              </w:rPr>
              <w:t>GMT Input Scheduling Quantity</w:t>
            </w:r>
            <w:r>
              <w:t>" for a GMT ASEP and for a Day is the User's Input Scheduling Quantity (in respect of that GMT ASEP) but calculated by substituting the User's UDQI with the User's GMT UDQI for each GMT System Entry Point in th</w:t>
            </w:r>
            <w:r>
              <w:t>e GMT ASEP for that Day.</w:t>
            </w:r>
          </w:p>
        </w:tc>
      </w:tr>
      <w:tr w:rsidR="00962C6E" w14:paraId="47810608" w14:textId="77777777">
        <w:trPr>
          <w:trHeight w:val="77"/>
        </w:trPr>
        <w:tc>
          <w:tcPr>
            <w:tcW w:w="1483" w:type="dxa"/>
          </w:tcPr>
          <w:p w14:paraId="1E0966B6" w14:textId="77777777" w:rsidR="00962C6E" w:rsidRDefault="006E3B2D">
            <w:pPr>
              <w:pStyle w:val="BodyText"/>
              <w:spacing w:before="80" w:after="80"/>
              <w:rPr>
                <w:bCs/>
              </w:rPr>
            </w:pPr>
            <w:r>
              <w:rPr>
                <w:bCs/>
              </w:rPr>
              <w:t>3.2.5</w:t>
            </w:r>
          </w:p>
        </w:tc>
        <w:tc>
          <w:tcPr>
            <w:tcW w:w="2304" w:type="dxa"/>
          </w:tcPr>
          <w:p w14:paraId="69B6093D" w14:textId="77777777" w:rsidR="00962C6E" w:rsidRDefault="006E3B2D">
            <w:pPr>
              <w:pStyle w:val="BodyText"/>
              <w:spacing w:before="80" w:after="80"/>
            </w:pPr>
            <w:r>
              <w:rPr>
                <w:b/>
              </w:rPr>
              <w:t xml:space="preserve">GMT Scheduling Charge Adjustments </w:t>
            </w:r>
            <w:r>
              <w:t xml:space="preserve">- </w:t>
            </w:r>
            <w:r>
              <w:lastRenderedPageBreak/>
              <w:t>Monthly calculations</w:t>
            </w:r>
          </w:p>
        </w:tc>
        <w:tc>
          <w:tcPr>
            <w:tcW w:w="2288" w:type="dxa"/>
          </w:tcPr>
          <w:p w14:paraId="078D610D" w14:textId="77777777" w:rsidR="00962C6E" w:rsidRDefault="00962C6E">
            <w:pPr>
              <w:pStyle w:val="BodyText"/>
              <w:spacing w:before="80" w:after="80"/>
            </w:pPr>
          </w:p>
        </w:tc>
        <w:tc>
          <w:tcPr>
            <w:tcW w:w="8703" w:type="dxa"/>
          </w:tcPr>
          <w:p w14:paraId="55D0D4D0" w14:textId="77777777" w:rsidR="00962C6E" w:rsidRDefault="006E3B2D">
            <w:pPr>
              <w:pStyle w:val="BodyText"/>
            </w:pPr>
            <w:r>
              <w:t>National Grid NTS</w:t>
            </w:r>
            <w:r>
              <w:t xml:space="preserve"> shall calculate the GMT Input Scheduling Charge Adjustments for each User for each Day in a month (month m), no later than the 19th Business Day of month m+1.</w:t>
            </w:r>
          </w:p>
        </w:tc>
      </w:tr>
      <w:tr w:rsidR="00962C6E" w14:paraId="23C18A93" w14:textId="77777777">
        <w:trPr>
          <w:trHeight w:val="77"/>
        </w:trPr>
        <w:tc>
          <w:tcPr>
            <w:tcW w:w="1483" w:type="dxa"/>
          </w:tcPr>
          <w:p w14:paraId="3BD12BE9" w14:textId="77777777" w:rsidR="00962C6E" w:rsidRDefault="006E3B2D">
            <w:pPr>
              <w:pStyle w:val="BodyText"/>
              <w:spacing w:before="80" w:after="80"/>
              <w:rPr>
                <w:bCs/>
              </w:rPr>
            </w:pPr>
            <w:r>
              <w:rPr>
                <w:bCs/>
              </w:rPr>
              <w:lastRenderedPageBreak/>
              <w:t>3.2.7</w:t>
            </w:r>
          </w:p>
        </w:tc>
        <w:tc>
          <w:tcPr>
            <w:tcW w:w="2304" w:type="dxa"/>
          </w:tcPr>
          <w:p w14:paraId="628E5CAA" w14:textId="77777777" w:rsidR="00962C6E" w:rsidRDefault="006E3B2D">
            <w:pPr>
              <w:pStyle w:val="BodyText"/>
              <w:spacing w:before="80" w:after="80"/>
            </w:pPr>
            <w:r>
              <w:rPr>
                <w:b/>
              </w:rPr>
              <w:t xml:space="preserve">GMT Scheduling Charge Adjustments </w:t>
            </w:r>
            <w:r>
              <w:t>- Recording monthly adjustments</w:t>
            </w:r>
          </w:p>
        </w:tc>
        <w:tc>
          <w:tcPr>
            <w:tcW w:w="2288" w:type="dxa"/>
          </w:tcPr>
          <w:p w14:paraId="0A85C97E" w14:textId="77777777" w:rsidR="00962C6E" w:rsidRDefault="00962C6E">
            <w:pPr>
              <w:pStyle w:val="BodyText"/>
              <w:spacing w:before="80" w:after="80"/>
            </w:pPr>
          </w:p>
        </w:tc>
        <w:tc>
          <w:tcPr>
            <w:tcW w:w="8703" w:type="dxa"/>
          </w:tcPr>
          <w:p w14:paraId="498F912F" w14:textId="77777777" w:rsidR="00962C6E" w:rsidRDefault="006E3B2D">
            <w:pPr>
              <w:pStyle w:val="BodyText"/>
            </w:pPr>
            <w:r>
              <w:t>The GMT Input Scheduli</w:t>
            </w:r>
            <w:r>
              <w:t>ng Charge Adjustments for Days in month m will be included in the Balancing Invoice for month m and are to be invoiced and paid in accordance with TPD Section S.</w:t>
            </w:r>
          </w:p>
        </w:tc>
      </w:tr>
      <w:tr w:rsidR="00962C6E" w14:paraId="7E9E45CE" w14:textId="77777777">
        <w:trPr>
          <w:trHeight w:val="77"/>
        </w:trPr>
        <w:tc>
          <w:tcPr>
            <w:tcW w:w="1483" w:type="dxa"/>
          </w:tcPr>
          <w:p w14:paraId="52EDDC5A" w14:textId="77777777" w:rsidR="00962C6E" w:rsidRDefault="006E3B2D">
            <w:pPr>
              <w:pStyle w:val="BodyText"/>
              <w:spacing w:before="80" w:after="80"/>
              <w:rPr>
                <w:bCs/>
              </w:rPr>
            </w:pPr>
            <w:r>
              <w:rPr>
                <w:bCs/>
              </w:rPr>
              <w:t>4.5.3(a)(ii)</w:t>
            </w:r>
          </w:p>
        </w:tc>
        <w:tc>
          <w:tcPr>
            <w:tcW w:w="2304" w:type="dxa"/>
          </w:tcPr>
          <w:p w14:paraId="0A2B5652" w14:textId="77777777" w:rsidR="00962C6E" w:rsidRDefault="006E3B2D">
            <w:pPr>
              <w:pStyle w:val="BodyText"/>
              <w:spacing w:before="80" w:after="80"/>
            </w:pPr>
            <w:r>
              <w:t xml:space="preserve">Users failure to pay </w:t>
            </w:r>
          </w:p>
        </w:tc>
        <w:tc>
          <w:tcPr>
            <w:tcW w:w="2288" w:type="dxa"/>
          </w:tcPr>
          <w:p w14:paraId="3B9B314D" w14:textId="77777777" w:rsidR="00962C6E" w:rsidRDefault="00962C6E">
            <w:pPr>
              <w:pStyle w:val="BodyText"/>
              <w:spacing w:before="80" w:after="80"/>
            </w:pPr>
          </w:p>
        </w:tc>
        <w:tc>
          <w:tcPr>
            <w:tcW w:w="8703" w:type="dxa"/>
          </w:tcPr>
          <w:p w14:paraId="4BBF2293" w14:textId="77777777" w:rsidR="00962C6E" w:rsidRDefault="006E3B2D">
            <w:pPr>
              <w:pStyle w:val="BodyText"/>
            </w:pPr>
            <w:r>
              <w:t>This paragraph amends paragraph 4.5.3(a)(ii) so that if a</w:t>
            </w:r>
            <w:r>
              <w:t xml:space="preserve"> User fails to make payment of a GMT Daily Imbalance Charge Adjustment, GMT Incentivised Nomination Charge Adjustment, or GMT Scheduling Charge Adjustment that was due for payment, by the specified time, the amount of that payment is recovered by National </w:t>
            </w:r>
            <w:r>
              <w:t>Grid NTS from Users through the balancing neutrality charge.</w:t>
            </w:r>
          </w:p>
        </w:tc>
      </w:tr>
      <w:tr w:rsidR="00962C6E" w14:paraId="2F1D7F7E" w14:textId="77777777">
        <w:trPr>
          <w:trHeight w:val="77"/>
        </w:trPr>
        <w:tc>
          <w:tcPr>
            <w:tcW w:w="1483" w:type="dxa"/>
            <w:tcBorders>
              <w:bottom w:val="single" w:sz="4" w:space="0" w:color="auto"/>
            </w:tcBorders>
          </w:tcPr>
          <w:p w14:paraId="18E8D8F7" w14:textId="77777777" w:rsidR="00962C6E" w:rsidRDefault="006E3B2D">
            <w:pPr>
              <w:pStyle w:val="BodyText"/>
              <w:spacing w:before="80" w:after="80"/>
              <w:rPr>
                <w:bCs/>
              </w:rPr>
            </w:pPr>
            <w:r>
              <w:rPr>
                <w:bCs/>
              </w:rPr>
              <w:t>4.5.3(a)(ix)</w:t>
            </w:r>
          </w:p>
        </w:tc>
        <w:tc>
          <w:tcPr>
            <w:tcW w:w="2304" w:type="dxa"/>
            <w:tcBorders>
              <w:bottom w:val="single" w:sz="4" w:space="0" w:color="auto"/>
            </w:tcBorders>
          </w:tcPr>
          <w:p w14:paraId="37D82936" w14:textId="77777777" w:rsidR="00962C6E" w:rsidRDefault="006E3B2D">
            <w:pPr>
              <w:pStyle w:val="BodyText"/>
              <w:spacing w:before="80" w:after="80"/>
            </w:pPr>
            <w:r>
              <w:rPr>
                <w:b/>
              </w:rPr>
              <w:t>Calculation of the Monthly Adjustment Neutrality Amount</w:t>
            </w:r>
            <w:r>
              <w:t xml:space="preserve"> – amounts payable to National Grid NTS</w:t>
            </w:r>
          </w:p>
        </w:tc>
        <w:tc>
          <w:tcPr>
            <w:tcW w:w="2288" w:type="dxa"/>
            <w:tcBorders>
              <w:bottom w:val="single" w:sz="4" w:space="0" w:color="auto"/>
            </w:tcBorders>
          </w:tcPr>
          <w:p w14:paraId="7AB1E045" w14:textId="77777777" w:rsidR="00962C6E" w:rsidRDefault="00962C6E">
            <w:pPr>
              <w:pStyle w:val="BodyText"/>
              <w:spacing w:before="80" w:after="80"/>
            </w:pPr>
          </w:p>
        </w:tc>
        <w:tc>
          <w:tcPr>
            <w:tcW w:w="8703" w:type="dxa"/>
            <w:tcBorders>
              <w:bottom w:val="single" w:sz="4" w:space="0" w:color="auto"/>
            </w:tcBorders>
          </w:tcPr>
          <w:p w14:paraId="14F5A73D" w14:textId="77777777" w:rsidR="00962C6E" w:rsidRDefault="006E3B2D">
            <w:pPr>
              <w:pStyle w:val="BodyText"/>
            </w:pPr>
            <w:r>
              <w:t>This paragraph spreads the cost of GMT Daily Imbalance Charge Adjustments, GMT Incent</w:t>
            </w:r>
            <w:r>
              <w:t xml:space="preserve">ivised Nomination Charge Adjustments, and GMT Scheduling Charge Adjustments payable to National Grid NTS across Users, by including these costs as a new item in the calculation of the Monthly Adjustment Neutrality Amount. </w:t>
            </w:r>
          </w:p>
        </w:tc>
      </w:tr>
      <w:tr w:rsidR="00962C6E" w14:paraId="74A09FD5" w14:textId="77777777">
        <w:trPr>
          <w:trHeight w:val="77"/>
        </w:trPr>
        <w:tc>
          <w:tcPr>
            <w:tcW w:w="1483" w:type="dxa"/>
            <w:tcBorders>
              <w:bottom w:val="single" w:sz="4" w:space="0" w:color="auto"/>
            </w:tcBorders>
          </w:tcPr>
          <w:p w14:paraId="19B0BE52" w14:textId="77777777" w:rsidR="00962C6E" w:rsidRDefault="006E3B2D">
            <w:pPr>
              <w:pStyle w:val="BodyText"/>
              <w:spacing w:before="80" w:after="80"/>
              <w:rPr>
                <w:bCs/>
              </w:rPr>
            </w:pPr>
            <w:r>
              <w:rPr>
                <w:bCs/>
              </w:rPr>
              <w:t>4.5.3(b)(ii)</w:t>
            </w:r>
          </w:p>
        </w:tc>
        <w:tc>
          <w:tcPr>
            <w:tcW w:w="2304" w:type="dxa"/>
            <w:tcBorders>
              <w:bottom w:val="single" w:sz="4" w:space="0" w:color="auto"/>
            </w:tcBorders>
          </w:tcPr>
          <w:p w14:paraId="2C821673" w14:textId="77777777" w:rsidR="00962C6E" w:rsidRDefault="006E3B2D">
            <w:pPr>
              <w:pStyle w:val="BodyText"/>
              <w:spacing w:before="80" w:after="80"/>
            </w:pPr>
            <w:r>
              <w:t xml:space="preserve">Late payment by </w:t>
            </w:r>
            <w:r>
              <w:t>Users</w:t>
            </w:r>
          </w:p>
        </w:tc>
        <w:tc>
          <w:tcPr>
            <w:tcW w:w="2288" w:type="dxa"/>
            <w:tcBorders>
              <w:bottom w:val="single" w:sz="4" w:space="0" w:color="auto"/>
            </w:tcBorders>
          </w:tcPr>
          <w:p w14:paraId="15A3F845" w14:textId="77777777" w:rsidR="00962C6E" w:rsidRDefault="00962C6E">
            <w:pPr>
              <w:pStyle w:val="BodyText"/>
              <w:spacing w:before="80" w:after="80"/>
            </w:pPr>
          </w:p>
        </w:tc>
        <w:tc>
          <w:tcPr>
            <w:tcW w:w="8703" w:type="dxa"/>
            <w:tcBorders>
              <w:bottom w:val="single" w:sz="4" w:space="0" w:color="auto"/>
            </w:tcBorders>
          </w:tcPr>
          <w:p w14:paraId="4E783546" w14:textId="77777777" w:rsidR="00962C6E" w:rsidRDefault="006E3B2D">
            <w:pPr>
              <w:pStyle w:val="BodyText"/>
            </w:pPr>
            <w:r>
              <w:t xml:space="preserve">This paragraph amends paragraph </w:t>
            </w:r>
            <w:r>
              <w:rPr>
                <w:bCs/>
              </w:rPr>
              <w:t>4.5.3(b)(ii)</w:t>
            </w:r>
            <w:r>
              <w:t xml:space="preserve"> so that if a User makes payment of a </w:t>
            </w:r>
            <w:proofErr w:type="gramStart"/>
            <w:r>
              <w:t>charge which National Grid NTS has recovered</w:t>
            </w:r>
            <w:proofErr w:type="gramEnd"/>
            <w:r>
              <w:t xml:space="preserve"> from Users through the balancing neutrality charge (as per paragraph 4.5.3(a)(ii) above), that amount is deducted when cal</w:t>
            </w:r>
            <w:r>
              <w:t>culating the capacity neutrality charge for the month during which payment was received.</w:t>
            </w:r>
          </w:p>
        </w:tc>
      </w:tr>
      <w:tr w:rsidR="00962C6E" w14:paraId="5D6C0E60" w14:textId="77777777">
        <w:trPr>
          <w:trHeight w:val="77"/>
        </w:trPr>
        <w:tc>
          <w:tcPr>
            <w:tcW w:w="1483" w:type="dxa"/>
            <w:tcBorders>
              <w:bottom w:val="single" w:sz="4" w:space="0" w:color="auto"/>
            </w:tcBorders>
          </w:tcPr>
          <w:p w14:paraId="5120B3AD" w14:textId="77777777" w:rsidR="00962C6E" w:rsidRDefault="006E3B2D">
            <w:pPr>
              <w:pStyle w:val="BodyText"/>
              <w:spacing w:before="80" w:after="80"/>
              <w:rPr>
                <w:bCs/>
              </w:rPr>
            </w:pPr>
            <w:r>
              <w:rPr>
                <w:bCs/>
              </w:rPr>
              <w:t>4.5.3(b)(v)</w:t>
            </w:r>
          </w:p>
        </w:tc>
        <w:tc>
          <w:tcPr>
            <w:tcW w:w="2304" w:type="dxa"/>
            <w:tcBorders>
              <w:bottom w:val="single" w:sz="4" w:space="0" w:color="auto"/>
            </w:tcBorders>
          </w:tcPr>
          <w:p w14:paraId="6E99D314" w14:textId="77777777" w:rsidR="00962C6E" w:rsidRDefault="006E3B2D">
            <w:pPr>
              <w:pStyle w:val="BodyText"/>
              <w:spacing w:before="80" w:after="80"/>
            </w:pPr>
            <w:r>
              <w:rPr>
                <w:b/>
              </w:rPr>
              <w:t>Calculation of the Monthly Adjustment Neutrality Amount</w:t>
            </w:r>
            <w:r>
              <w:t xml:space="preserve"> – amounts payable to Users</w:t>
            </w:r>
          </w:p>
        </w:tc>
        <w:tc>
          <w:tcPr>
            <w:tcW w:w="2288" w:type="dxa"/>
            <w:tcBorders>
              <w:bottom w:val="single" w:sz="4" w:space="0" w:color="auto"/>
            </w:tcBorders>
          </w:tcPr>
          <w:p w14:paraId="1E43A14D" w14:textId="77777777" w:rsidR="00962C6E" w:rsidRDefault="00962C6E">
            <w:pPr>
              <w:pStyle w:val="BodyText"/>
              <w:spacing w:before="80" w:after="80"/>
            </w:pPr>
          </w:p>
        </w:tc>
        <w:tc>
          <w:tcPr>
            <w:tcW w:w="8703" w:type="dxa"/>
            <w:tcBorders>
              <w:bottom w:val="single" w:sz="4" w:space="0" w:color="auto"/>
            </w:tcBorders>
          </w:tcPr>
          <w:p w14:paraId="238FC457" w14:textId="77777777" w:rsidR="00962C6E" w:rsidRDefault="006E3B2D">
            <w:pPr>
              <w:pStyle w:val="BodyText"/>
            </w:pPr>
            <w:r>
              <w:t>This paragraph spreads the revenues from GMT Daily Imbalance Charge Ad</w:t>
            </w:r>
            <w:r>
              <w:t>justments, GMT Incentivised Nomination Charge Adjustments, and GMT Scheduling Charge Adjustments payable by National Grid NTS across Users, by including these revenues as a new item in the calculation of the Monthly Adjustment Neutrality Amount.</w:t>
            </w:r>
          </w:p>
        </w:tc>
      </w:tr>
      <w:tr w:rsidR="00962C6E" w14:paraId="15C8129D" w14:textId="77777777">
        <w:trPr>
          <w:trHeight w:val="77"/>
        </w:trPr>
        <w:tc>
          <w:tcPr>
            <w:tcW w:w="14778" w:type="dxa"/>
            <w:gridSpan w:val="4"/>
            <w:shd w:val="clear" w:color="auto" w:fill="548DD4" w:themeFill="text2" w:themeFillTint="99"/>
          </w:tcPr>
          <w:p w14:paraId="157071BD" w14:textId="77777777" w:rsidR="00962C6E" w:rsidRDefault="006E3B2D">
            <w:pPr>
              <w:pStyle w:val="BodyText"/>
              <w:spacing w:before="240"/>
              <w:rPr>
                <w:b/>
                <w:color w:val="FFFFFF" w:themeColor="background1"/>
              </w:rPr>
            </w:pPr>
            <w:r>
              <w:rPr>
                <w:b/>
                <w:color w:val="FFFFFF" w:themeColor="background1"/>
              </w:rPr>
              <w:t>TRANSPORTATION PRINCIPAL DOCUMENT: SECTION S – INVOICING AND PAYMENT</w:t>
            </w:r>
          </w:p>
        </w:tc>
      </w:tr>
      <w:tr w:rsidR="00962C6E" w14:paraId="5FA18C0F" w14:textId="77777777">
        <w:trPr>
          <w:trHeight w:val="77"/>
        </w:trPr>
        <w:tc>
          <w:tcPr>
            <w:tcW w:w="1483" w:type="dxa"/>
          </w:tcPr>
          <w:p w14:paraId="377ED84B" w14:textId="77777777" w:rsidR="00962C6E" w:rsidRDefault="006E3B2D">
            <w:pPr>
              <w:pStyle w:val="BodyText"/>
              <w:spacing w:before="80" w:after="80"/>
              <w:rPr>
                <w:bCs/>
              </w:rPr>
            </w:pPr>
            <w:r>
              <w:rPr>
                <w:bCs/>
              </w:rPr>
              <w:lastRenderedPageBreak/>
              <w:t>Annex S-1, 1 (</w:t>
            </w:r>
            <w:proofErr w:type="spellStart"/>
            <w:r>
              <w:rPr>
                <w:bCs/>
              </w:rPr>
              <w:t>i</w:t>
            </w:r>
            <w:proofErr w:type="spellEnd"/>
            <w:r>
              <w:rPr>
                <w:bCs/>
              </w:rPr>
              <w:t>)</w:t>
            </w:r>
          </w:p>
        </w:tc>
        <w:tc>
          <w:tcPr>
            <w:tcW w:w="2304" w:type="dxa"/>
          </w:tcPr>
          <w:p w14:paraId="183C851F" w14:textId="77777777" w:rsidR="00962C6E" w:rsidRDefault="006E3B2D">
            <w:pPr>
              <w:pStyle w:val="BodyText"/>
              <w:spacing w:before="80" w:after="80"/>
            </w:pPr>
            <w:r>
              <w:t xml:space="preserve">Definition of </w:t>
            </w:r>
            <w:r>
              <w:rPr>
                <w:b/>
              </w:rPr>
              <w:t>NTS Entry Capacity Invoice</w:t>
            </w:r>
          </w:p>
        </w:tc>
        <w:tc>
          <w:tcPr>
            <w:tcW w:w="2288" w:type="dxa"/>
          </w:tcPr>
          <w:p w14:paraId="64CBC1DD" w14:textId="77777777" w:rsidR="00962C6E" w:rsidRDefault="00962C6E">
            <w:pPr>
              <w:pStyle w:val="BodyText"/>
              <w:spacing w:before="80" w:after="80"/>
            </w:pPr>
          </w:p>
        </w:tc>
        <w:tc>
          <w:tcPr>
            <w:tcW w:w="8703" w:type="dxa"/>
          </w:tcPr>
          <w:p w14:paraId="77D91FB0" w14:textId="77777777" w:rsidR="00962C6E" w:rsidRDefault="006E3B2D">
            <w:pPr>
              <w:pStyle w:val="BodyText"/>
            </w:pPr>
            <w:r>
              <w:t>This paragraph adds GMT System Overrun Charge Adjustments as a new Invoice Item to "NTS Entry Capacity Invoices".</w:t>
            </w:r>
          </w:p>
        </w:tc>
      </w:tr>
      <w:tr w:rsidR="00962C6E" w14:paraId="0BDED3E4" w14:textId="77777777">
        <w:trPr>
          <w:trHeight w:val="77"/>
        </w:trPr>
        <w:tc>
          <w:tcPr>
            <w:tcW w:w="1483" w:type="dxa"/>
          </w:tcPr>
          <w:p w14:paraId="538715A8" w14:textId="77777777" w:rsidR="00962C6E" w:rsidRDefault="006E3B2D">
            <w:pPr>
              <w:pStyle w:val="BodyText"/>
              <w:spacing w:before="80" w:after="80"/>
              <w:rPr>
                <w:bCs/>
              </w:rPr>
            </w:pPr>
            <w:r>
              <w:rPr>
                <w:bCs/>
              </w:rPr>
              <w:t>Annex S-1, 5</w:t>
            </w:r>
            <w:r>
              <w:rPr>
                <w:bCs/>
              </w:rPr>
              <w:t xml:space="preserve"> (m), (n) &amp; (o)</w:t>
            </w:r>
          </w:p>
        </w:tc>
        <w:tc>
          <w:tcPr>
            <w:tcW w:w="2304" w:type="dxa"/>
          </w:tcPr>
          <w:p w14:paraId="0056B1B1" w14:textId="77777777" w:rsidR="00962C6E" w:rsidRDefault="006E3B2D">
            <w:pPr>
              <w:pStyle w:val="BodyText"/>
              <w:spacing w:before="80" w:after="80"/>
            </w:pPr>
            <w:r>
              <w:t xml:space="preserve">Definition of </w:t>
            </w:r>
            <w:r>
              <w:rPr>
                <w:b/>
              </w:rPr>
              <w:t>Balancing Invoice</w:t>
            </w:r>
          </w:p>
        </w:tc>
        <w:tc>
          <w:tcPr>
            <w:tcW w:w="2288" w:type="dxa"/>
          </w:tcPr>
          <w:p w14:paraId="18EB76BF" w14:textId="77777777" w:rsidR="00962C6E" w:rsidRDefault="00962C6E">
            <w:pPr>
              <w:pStyle w:val="BodyText"/>
              <w:spacing w:before="80" w:after="80"/>
            </w:pPr>
          </w:p>
        </w:tc>
        <w:tc>
          <w:tcPr>
            <w:tcW w:w="8703" w:type="dxa"/>
          </w:tcPr>
          <w:p w14:paraId="1C372DA5" w14:textId="77777777" w:rsidR="00962C6E" w:rsidRDefault="006E3B2D">
            <w:pPr>
              <w:pStyle w:val="BodyText"/>
            </w:pPr>
            <w:r>
              <w:t xml:space="preserve">This paragraph adds GMT Daily Imbalance Charge Adjustments, GMT Input Scheduling Charge Adjustments, and GMT Total Incentivised Nomination Charge Adjustments as new Invoice Items to "Balancing Invoices". </w:t>
            </w:r>
          </w:p>
        </w:tc>
      </w:tr>
    </w:tbl>
    <w:p w14:paraId="7E737950" w14:textId="77777777" w:rsidR="00962C6E" w:rsidRDefault="00962C6E">
      <w:pPr>
        <w:pStyle w:val="BodyText"/>
        <w:rPr>
          <w:b/>
          <w:bCs/>
          <w:sz w:val="24"/>
        </w:rPr>
      </w:pPr>
    </w:p>
    <w:p w14:paraId="2F01E7B4" w14:textId="77777777" w:rsidR="00962C6E" w:rsidRDefault="00962C6E">
      <w:pPr>
        <w:pStyle w:val="BodyText"/>
        <w:rPr>
          <w:b/>
          <w:bCs/>
          <w:sz w:val="24"/>
        </w:rPr>
      </w:pPr>
    </w:p>
    <w:p w14:paraId="77229EC2" w14:textId="77777777" w:rsidR="00962C6E" w:rsidRDefault="00962C6E">
      <w:pPr>
        <w:pStyle w:val="BodyText"/>
        <w:ind w:left="1440" w:hanging="720"/>
        <w:rPr>
          <w:b/>
          <w:bCs/>
          <w:i/>
        </w:rPr>
      </w:pPr>
    </w:p>
    <w:sectPr w:rsidR="00962C6E">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440" w:right="1440" w:bottom="1440" w:left="1440" w:header="720" w:footer="720" w:gutter="0"/>
      <w:paperSrc w:first="259" w:other="259"/>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5FCF4" w14:textId="77777777" w:rsidR="00962C6E" w:rsidRDefault="006E3B2D">
      <w:r>
        <w:separator/>
      </w:r>
    </w:p>
  </w:endnote>
  <w:endnote w:type="continuationSeparator" w:id="0">
    <w:p w14:paraId="7F172651" w14:textId="77777777" w:rsidR="00962C6E" w:rsidRDefault="006E3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EBA09" w14:textId="77777777" w:rsidR="00962C6E" w:rsidRDefault="00962C6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7AFBF" w14:textId="77777777" w:rsidR="00962C6E" w:rsidRDefault="006E3B2D">
    <w:pPr>
      <w:pStyle w:val="Footer"/>
    </w:pPr>
    <w:r>
      <w:fldChar w:fldCharType="begin"/>
    </w:r>
    <w:r>
      <w:instrText xml:space="preserve"> COMMENTS  \* MERGEFORMAT </w:instrText>
    </w:r>
    <w:r>
      <w:fldChar w:fldCharType="separate"/>
    </w:r>
    <w:r>
      <w:t>AMAT/DBT/053191.00086/42006439.01</w:t>
    </w:r>
    <w: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BA375" w14:textId="77777777" w:rsidR="00962C6E" w:rsidRDefault="006E3B2D">
    <w:pPr>
      <w:tabs>
        <w:tab w:val="right" w:pos="9000"/>
      </w:tabs>
    </w:pPr>
    <w:r>
      <w:tab/>
    </w:r>
    <w:r>
      <w:tab/>
    </w:r>
    <w:r>
      <w:fldChar w:fldCharType="begin"/>
    </w:r>
    <w:r>
      <w:instrText xml:space="preserve"> TITLE  \* MERGEFORMAT </w:instrText>
    </w:r>
    <w:r>
      <w:fldChar w:fldCharType="separate"/>
    </w:r>
    <w:r w:rsidRPr="006E3B2D">
      <w:rPr>
        <w:sz w:val="16"/>
      </w:rPr>
      <w:t>42006439.01</w:t>
    </w:r>
    <w:r>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1656D" w14:textId="77777777" w:rsidR="00962C6E" w:rsidRDefault="006E3B2D">
      <w:r>
        <w:separator/>
      </w:r>
    </w:p>
  </w:footnote>
  <w:footnote w:type="continuationSeparator" w:id="0">
    <w:p w14:paraId="73EC3554" w14:textId="77777777" w:rsidR="00962C6E" w:rsidRDefault="006E3B2D">
      <w:r>
        <w:separator/>
      </w:r>
    </w:p>
    <w:p w14:paraId="47C6D6AB" w14:textId="77777777" w:rsidR="00962C6E" w:rsidRDefault="00962C6E"/>
  </w:footnote>
  <w:footnote w:type="continuationNotice" w:id="1">
    <w:p w14:paraId="00A7D9C0" w14:textId="77777777" w:rsidR="00962C6E" w:rsidRDefault="006E3B2D">
      <w:pPr>
        <w:jc w:val="right"/>
      </w:pPr>
      <w:r>
        <w:t>Continued…/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78DD9" w14:textId="77777777" w:rsidR="00962C6E" w:rsidRDefault="00962C6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EDAE6" w14:textId="77777777" w:rsidR="00962C6E" w:rsidRDefault="00962C6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0CAF8" w14:textId="77777777" w:rsidR="00962C6E" w:rsidRDefault="0096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A2B"/>
    <w:multiLevelType w:val="hybridMultilevel"/>
    <w:tmpl w:val="0E0AF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9377F"/>
    <w:multiLevelType w:val="multilevel"/>
    <w:tmpl w:val="D54670C8"/>
    <w:lvl w:ilvl="0">
      <w:start w:val="1"/>
      <w:numFmt w:val="decimal"/>
      <w:pStyle w:val="Appendix"/>
      <w:suff w:val="nothing"/>
      <w:lvlText w:val="Appendix %1"/>
      <w:lvlJc w:val="left"/>
      <w:pPr>
        <w:ind w:left="0" w:firstLine="0"/>
      </w:pPr>
      <w:rPr>
        <w:rFonts w:hint="default"/>
        <w:b/>
        <w:i w:val="0"/>
        <w:sz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E173C3D"/>
    <w:multiLevelType w:val="singleLevel"/>
    <w:tmpl w:val="300A38CC"/>
    <w:lvl w:ilvl="0">
      <w:start w:val="1"/>
      <w:numFmt w:val="decimal"/>
      <w:pStyle w:val="Parties"/>
      <w:lvlText w:val="(%1)"/>
      <w:lvlJc w:val="left"/>
      <w:pPr>
        <w:tabs>
          <w:tab w:val="num" w:pos="720"/>
        </w:tabs>
        <w:ind w:left="720" w:hanging="720"/>
      </w:pPr>
      <w:rPr>
        <w:rFonts w:hint="default"/>
        <w:b w:val="0"/>
        <w:i w:val="0"/>
      </w:rPr>
    </w:lvl>
  </w:abstractNum>
  <w:abstractNum w:abstractNumId="3">
    <w:nsid w:val="0F1A19FD"/>
    <w:multiLevelType w:val="singleLevel"/>
    <w:tmpl w:val="3DB265BC"/>
    <w:lvl w:ilvl="0">
      <w:start w:val="1"/>
      <w:numFmt w:val="upperLetter"/>
      <w:pStyle w:val="Recital"/>
      <w:lvlText w:val="%1"/>
      <w:lvlJc w:val="left"/>
      <w:pPr>
        <w:tabs>
          <w:tab w:val="num" w:pos="720"/>
        </w:tabs>
        <w:ind w:left="720" w:hanging="720"/>
      </w:pPr>
      <w:rPr>
        <w:rFonts w:hint="default"/>
        <w:b w:val="0"/>
        <w:i w:val="0"/>
      </w:rPr>
    </w:lvl>
  </w:abstractNum>
  <w:abstractNum w:abstractNumId="4">
    <w:nsid w:val="11B80373"/>
    <w:multiLevelType w:val="hybridMultilevel"/>
    <w:tmpl w:val="0C78C5C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4948D2"/>
    <w:multiLevelType w:val="hybridMultilevel"/>
    <w:tmpl w:val="B9B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2C0726"/>
    <w:multiLevelType w:val="hybridMultilevel"/>
    <w:tmpl w:val="0972D36E"/>
    <w:lvl w:ilvl="0" w:tplc="4554FE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A0649E"/>
    <w:multiLevelType w:val="hybridMultilevel"/>
    <w:tmpl w:val="8480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2E502D"/>
    <w:multiLevelType w:val="hybridMultilevel"/>
    <w:tmpl w:val="34645174"/>
    <w:lvl w:ilvl="0" w:tplc="27B0F3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A425F6"/>
    <w:multiLevelType w:val="multilevel"/>
    <w:tmpl w:val="9FF4D8D0"/>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lowerLetter"/>
      <w:pStyle w:val="Heading4"/>
      <w:lvlText w:val="(%4)"/>
      <w:lvlJc w:val="left"/>
      <w:pPr>
        <w:tabs>
          <w:tab w:val="num" w:pos="1440"/>
        </w:tabs>
        <w:ind w:left="1440" w:hanging="720"/>
      </w:pPr>
      <w:rPr>
        <w:rFonts w:hint="default"/>
        <w:b w:val="0"/>
      </w:rPr>
    </w:lvl>
    <w:lvl w:ilvl="4">
      <w:start w:val="1"/>
      <w:numFmt w:val="lowerRoman"/>
      <w:pStyle w:val="Heading5"/>
      <w:lvlText w:val="(%5)"/>
      <w:lvlJc w:val="left"/>
      <w:pPr>
        <w:tabs>
          <w:tab w:val="num" w:pos="2160"/>
        </w:tabs>
        <w:ind w:left="2160" w:hanging="720"/>
      </w:pPr>
      <w:rPr>
        <w:rFonts w:hint="default"/>
      </w:rPr>
    </w:lvl>
    <w:lvl w:ilvl="5">
      <w:start w:val="27"/>
      <w:numFmt w:val="lowerLetter"/>
      <w:pStyle w:val="Heading6"/>
      <w:lvlText w:val="(%6)"/>
      <w:lvlJc w:val="left"/>
      <w:pPr>
        <w:tabs>
          <w:tab w:val="num" w:pos="2880"/>
        </w:tabs>
        <w:ind w:left="2880" w:hanging="72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0">
    <w:nsid w:val="29ED1277"/>
    <w:multiLevelType w:val="hybridMultilevel"/>
    <w:tmpl w:val="3862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62202"/>
    <w:multiLevelType w:val="multilevel"/>
    <w:tmpl w:val="5C660BD2"/>
    <w:lvl w:ilvl="0">
      <w:start w:val="1"/>
      <w:numFmt w:val="decimal"/>
      <w:pStyle w:val="Level1"/>
      <w:lvlText w:val="%1."/>
      <w:lvlJc w:val="left"/>
      <w:pPr>
        <w:tabs>
          <w:tab w:val="num" w:pos="720"/>
        </w:tabs>
        <w:ind w:left="720" w:hanging="720"/>
      </w:pPr>
      <w:rPr>
        <w:rFonts w:ascii="Times New Roman" w:hAnsi="Times New Roman" w:hint="default"/>
        <w:sz w:val="24"/>
      </w:rPr>
    </w:lvl>
    <w:lvl w:ilvl="1">
      <w:start w:val="1"/>
      <w:numFmt w:val="decimal"/>
      <w:pStyle w:val="Level2"/>
      <w:lvlText w:val="%1.%2"/>
      <w:lvlJc w:val="left"/>
      <w:pPr>
        <w:tabs>
          <w:tab w:val="num" w:pos="720"/>
        </w:tabs>
        <w:ind w:left="720" w:hanging="720"/>
      </w:pPr>
    </w:lvl>
    <w:lvl w:ilvl="2">
      <w:start w:val="1"/>
      <w:numFmt w:val="lowerLetter"/>
      <w:pStyle w:val="Level3"/>
      <w:lvlText w:val="(%3)"/>
      <w:lvlJc w:val="left"/>
      <w:pPr>
        <w:tabs>
          <w:tab w:val="num" w:pos="1440"/>
        </w:tabs>
        <w:ind w:left="1440" w:hanging="720"/>
      </w:pPr>
    </w:lvl>
    <w:lvl w:ilvl="3">
      <w:start w:val="1"/>
      <w:numFmt w:val="lowerRoman"/>
      <w:pStyle w:val="Level4"/>
      <w:lvlText w:val="(%4)"/>
      <w:lvlJc w:val="left"/>
      <w:pPr>
        <w:tabs>
          <w:tab w:val="num" w:pos="2347"/>
        </w:tabs>
        <w:ind w:left="2347" w:hanging="907"/>
      </w:pPr>
    </w:lvl>
    <w:lvl w:ilvl="4">
      <w:start w:val="1"/>
      <w:numFmt w:val="decimal"/>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numFmt w:val="decimal"/>
      <w:lvlText w:val=""/>
      <w:lvlJc w:val="left"/>
      <w:pPr>
        <w:tabs>
          <w:tab w:val="num" w:pos="0"/>
        </w:tabs>
        <w:ind w:left="0" w:firstLine="0"/>
      </w:pPr>
    </w:lvl>
  </w:abstractNum>
  <w:abstractNum w:abstractNumId="12">
    <w:nsid w:val="2DEF711C"/>
    <w:multiLevelType w:val="hybridMultilevel"/>
    <w:tmpl w:val="E51AB99C"/>
    <w:lvl w:ilvl="0" w:tplc="799AA9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D745A4A"/>
    <w:multiLevelType w:val="multilevel"/>
    <w:tmpl w:val="4104CA64"/>
    <w:lvl w:ilvl="0">
      <w:start w:val="1"/>
      <w:numFmt w:val="decimal"/>
      <w:pStyle w:val="Schedule"/>
      <w:suff w:val="nothing"/>
      <w:lvlText w:val="Schedule %1"/>
      <w:lvlJc w:val="left"/>
      <w:pPr>
        <w:ind w:left="0" w:firstLine="0"/>
      </w:pPr>
      <w:rPr>
        <w:rFonts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D757FD5"/>
    <w:multiLevelType w:val="hybridMultilevel"/>
    <w:tmpl w:val="C26A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EE5110"/>
    <w:multiLevelType w:val="hybridMultilevel"/>
    <w:tmpl w:val="B5C4BBDC"/>
    <w:lvl w:ilvl="0" w:tplc="27B0F3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2F2E2E"/>
    <w:multiLevelType w:val="hybridMultilevel"/>
    <w:tmpl w:val="A20083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D60DB2"/>
    <w:multiLevelType w:val="hybridMultilevel"/>
    <w:tmpl w:val="1BEE01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B76B25"/>
    <w:multiLevelType w:val="hybridMultilevel"/>
    <w:tmpl w:val="4E26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B40D3E"/>
    <w:multiLevelType w:val="multilevel"/>
    <w:tmpl w:val="36AE117C"/>
    <w:lvl w:ilvl="0">
      <w:start w:val="1"/>
      <w:numFmt w:val="none"/>
      <w:lvlRestart w:val="0"/>
      <w:pStyle w:val="Definition"/>
      <w:suff w:val="nothing"/>
      <w:lvlText w:val="%1"/>
      <w:lvlJc w:val="left"/>
      <w:pPr>
        <w:ind w:left="720" w:firstLine="0"/>
      </w:pPr>
      <w:rPr>
        <w:rFonts w:hint="default"/>
      </w:rPr>
    </w:lvl>
    <w:lvl w:ilvl="1">
      <w:start w:val="1"/>
      <w:numFmt w:val="lowerLetter"/>
      <w:pStyle w:val="Definitiona"/>
      <w:lvlText w:val="(%2)"/>
      <w:lvlJc w:val="left"/>
      <w:pPr>
        <w:tabs>
          <w:tab w:val="num" w:pos="1440"/>
        </w:tabs>
        <w:ind w:left="1440" w:hanging="720"/>
      </w:pPr>
      <w:rPr>
        <w:rFonts w:hint="default"/>
      </w:rPr>
    </w:lvl>
    <w:lvl w:ilvl="2">
      <w:start w:val="1"/>
      <w:numFmt w:val="lowerRoman"/>
      <w:pStyle w:val="Definitioni"/>
      <w:lvlText w:val="(%3)"/>
      <w:lvlJc w:val="left"/>
      <w:pPr>
        <w:tabs>
          <w:tab w:val="num" w:pos="2160"/>
        </w:tabs>
        <w:ind w:left="2160" w:hanging="720"/>
      </w:pPr>
      <w:rPr>
        <w:rFonts w:hint="default"/>
        <w:b w:val="0"/>
        <w:i w:val="0"/>
      </w:rPr>
    </w:lvl>
    <w:lvl w:ilvl="3">
      <w:start w:val="27"/>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27"/>
      <w:numFmt w:val="none"/>
      <w:lvlText w:val=""/>
      <w:lvlJc w:val="left"/>
      <w:pPr>
        <w:tabs>
          <w:tab w:val="num" w:pos="357"/>
        </w:tabs>
        <w:ind w:left="0" w:firstLine="0"/>
      </w:pPr>
      <w:rPr>
        <w:rFonts w:hint="default"/>
      </w:rPr>
    </w:lvl>
    <w:lvl w:ilvl="6">
      <w:start w:val="1"/>
      <w:numFmt w:val="none"/>
      <w:lvlText w:val=""/>
      <w:lvlJc w:val="left"/>
      <w:pPr>
        <w:tabs>
          <w:tab w:val="num" w:pos="357"/>
        </w:tabs>
        <w:ind w:left="1296" w:hanging="1296"/>
      </w:pPr>
      <w:rPr>
        <w:rFonts w:hint="default"/>
      </w:rPr>
    </w:lvl>
    <w:lvl w:ilvl="7">
      <w:start w:val="1"/>
      <w:numFmt w:val="none"/>
      <w:lvlText w:val=""/>
      <w:lvlJc w:val="left"/>
      <w:pPr>
        <w:tabs>
          <w:tab w:val="num" w:pos="357"/>
        </w:tabs>
        <w:ind w:left="0" w:firstLine="0"/>
      </w:pPr>
      <w:rPr>
        <w:rFonts w:hint="default"/>
      </w:rPr>
    </w:lvl>
    <w:lvl w:ilvl="8">
      <w:start w:val="1"/>
      <w:numFmt w:val="none"/>
      <w:lvlText w:val="%1%9"/>
      <w:lvlJc w:val="left"/>
      <w:pPr>
        <w:tabs>
          <w:tab w:val="num" w:pos="357"/>
        </w:tabs>
        <w:ind w:left="0" w:firstLine="0"/>
      </w:pPr>
      <w:rPr>
        <w:rFonts w:hint="default"/>
      </w:rPr>
    </w:lvl>
  </w:abstractNum>
  <w:abstractNum w:abstractNumId="20">
    <w:nsid w:val="7109363F"/>
    <w:multiLevelType w:val="hybridMultilevel"/>
    <w:tmpl w:val="7DD602B6"/>
    <w:lvl w:ilvl="0" w:tplc="27B0F3E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1D30242"/>
    <w:multiLevelType w:val="multilevel"/>
    <w:tmpl w:val="E6060564"/>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024"/>
        </w:tabs>
        <w:ind w:left="2592" w:hanging="1008"/>
      </w:pPr>
    </w:lvl>
    <w:lvl w:ilvl="5">
      <w:start w:val="1"/>
      <w:numFmt w:val="lowerRoman"/>
      <w:lvlText w:val="(%6)"/>
      <w:lvlJc w:val="left"/>
      <w:pPr>
        <w:tabs>
          <w:tab w:val="num" w:pos="3312"/>
        </w:tabs>
        <w:ind w:left="3067" w:hanging="475"/>
      </w:pPr>
    </w:lvl>
    <w:lvl w:ilvl="6">
      <w:start w:val="1"/>
      <w:numFmt w:val="lowerLetter"/>
      <w:lvlText w:val="(%7)"/>
      <w:lvlJc w:val="left"/>
      <w:pPr>
        <w:tabs>
          <w:tab w:val="num" w:pos="3096"/>
        </w:tabs>
        <w:ind w:left="3096" w:hanging="504"/>
      </w:pPr>
      <w:rPr>
        <w:sz w:val="22"/>
      </w:r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1"/>
  </w:num>
  <w:num w:numId="2">
    <w:abstractNumId w:val="11"/>
  </w:num>
  <w:num w:numId="3">
    <w:abstractNumId w:val="11"/>
  </w:num>
  <w:num w:numId="4">
    <w:abstractNumId w:val="11"/>
  </w:num>
  <w:num w:numId="5">
    <w:abstractNumId w:val="2"/>
  </w:num>
  <w:num w:numId="6">
    <w:abstractNumId w:val="3"/>
  </w:num>
  <w:num w:numId="7">
    <w:abstractNumId w:val="13"/>
  </w:num>
  <w:num w:numId="8">
    <w:abstractNumId w:val="9"/>
  </w:num>
  <w:num w:numId="9">
    <w:abstractNumId w:val="21"/>
  </w:num>
  <w:num w:numId="10">
    <w:abstractNumId w:val="1"/>
  </w:num>
  <w:num w:numId="11">
    <w:abstractNumId w:val="19"/>
  </w:num>
  <w:num w:numId="12">
    <w:abstractNumId w:val="19"/>
  </w:num>
  <w:num w:numId="13">
    <w:abstractNumId w:val="1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1">
    <w:abstractNumId w:val="17"/>
  </w:num>
  <w:num w:numId="32">
    <w:abstractNumId w:val="0"/>
  </w:num>
  <w:num w:numId="33">
    <w:abstractNumId w:val="4"/>
  </w:num>
  <w:num w:numId="34">
    <w:abstractNumId w:val="16"/>
  </w:num>
  <w:num w:numId="35">
    <w:abstractNumId w:val="18"/>
  </w:num>
  <w:num w:numId="36">
    <w:abstractNumId w:val="14"/>
  </w:num>
  <w:num w:numId="37">
    <w:abstractNumId w:val="10"/>
  </w:num>
  <w:num w:numId="38">
    <w:abstractNumId w:val="20"/>
  </w:num>
  <w:num w:numId="39">
    <w:abstractNumId w:val="15"/>
  </w:num>
  <w:num w:numId="40">
    <w:abstractNumId w:val="8"/>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ctiveWritingStyle w:appName="MSWord" w:lang="en-GB" w:vendorID="8" w:dllVersion="513" w:checkStyle="1"/>
  <w:proofState w:spelling="clean" w:grammar="clean"/>
  <w:attachedTemplate r:id="rId1"/>
  <w:defaultTabStop w:val="720"/>
  <w:drawingGridHorizontalSpacing w:val="10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CultureID" w:val="en-GB"/>
    <w:docVar w:name="TMS_OfficeID" w:val="London  (One Fleet Place)"/>
    <w:docVar w:name="TMS_TEMPLATE_ID" w:val="Plain"/>
  </w:docVars>
  <w:rsids>
    <w:rsidRoot w:val="00962C6E"/>
    <w:rsid w:val="006E3B2D"/>
    <w:rsid w:val="00962C6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4C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en-US"/>
    </w:rPr>
  </w:style>
  <w:style w:type="paragraph" w:styleId="Heading1">
    <w:name w:val="heading 1"/>
    <w:basedOn w:val="BodyText"/>
    <w:next w:val="BodyText1"/>
    <w:qFormat/>
    <w:pPr>
      <w:keepNext/>
      <w:numPr>
        <w:numId w:val="8"/>
      </w:numPr>
      <w:spacing w:before="240"/>
      <w:outlineLvl w:val="0"/>
    </w:pPr>
    <w:rPr>
      <w:b/>
      <w:sz w:val="22"/>
    </w:rPr>
  </w:style>
  <w:style w:type="paragraph" w:styleId="Heading2">
    <w:name w:val="heading 2"/>
    <w:basedOn w:val="BodyText"/>
    <w:next w:val="BodyText2"/>
    <w:qFormat/>
    <w:pPr>
      <w:keepNext/>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single" w:sz="8" w:space="2" w:color="739600"/>
        <w:left w:val="single" w:sz="8" w:space="4" w:color="739600"/>
        <w:bottom w:val="single" w:sz="8" w:space="2" w:color="739600"/>
        <w:right w:val="single" w:sz="8" w:space="4" w:color="739600"/>
      </w:pBdr>
      <w:spacing w:after="240"/>
      <w:ind w:left="709"/>
    </w:pPr>
    <w:rPr>
      <w:color w:val="201C3E"/>
      <w:sz w:val="16"/>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TextChar">
    <w:name w:val="Comment Text Char"/>
    <w:basedOn w:val="DefaultParagraphFont"/>
    <w:link w:val="CommentText"/>
    <w:semiHidden/>
    <w:rPr>
      <w:rFonts w:ascii="Arial" w:hAnsi="Arial"/>
      <w:lang w:eastAsia="en-US"/>
    </w:rPr>
  </w:style>
  <w:style w:type="character" w:customStyle="1" w:styleId="CommentSubjectChar">
    <w:name w:val="Comment Subject Char"/>
    <w:basedOn w:val="CommentTextChar"/>
    <w:link w:val="CommentSubject"/>
    <w:rPr>
      <w:rFonts w:ascii="Arial" w:hAnsi="Arial"/>
      <w:lang w:eastAsia="en-US"/>
    </w:rPr>
  </w:style>
  <w:style w:type="character" w:customStyle="1" w:styleId="BodyTextChar">
    <w:name w:val="Body Text Char"/>
    <w:basedOn w:val="DefaultParagraphFont"/>
    <w:link w:val="BodyText"/>
    <w:semiHidden/>
    <w:rPr>
      <w:rFonts w:ascii="Arial" w:hAnsi="Arial"/>
      <w:lang w:eastAsia="en-US"/>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rFonts w:ascii="Arial" w:hAnsi="Arial"/>
      <w:lang w:eastAsia="en-US"/>
    </w:rPr>
  </w:style>
  <w:style w:type="paragraph" w:styleId="Heading1">
    <w:name w:val="heading 1"/>
    <w:basedOn w:val="BodyText"/>
    <w:next w:val="BodyText1"/>
    <w:qFormat/>
    <w:pPr>
      <w:keepNext/>
      <w:numPr>
        <w:numId w:val="8"/>
      </w:numPr>
      <w:spacing w:before="240"/>
      <w:outlineLvl w:val="0"/>
    </w:pPr>
    <w:rPr>
      <w:b/>
      <w:sz w:val="22"/>
    </w:rPr>
  </w:style>
  <w:style w:type="paragraph" w:styleId="Heading2">
    <w:name w:val="heading 2"/>
    <w:basedOn w:val="BodyText"/>
    <w:next w:val="BodyText2"/>
    <w:qFormat/>
    <w:pPr>
      <w:keepNext/>
      <w:numPr>
        <w:ilvl w:val="1"/>
        <w:numId w:val="8"/>
      </w:numPr>
      <w:outlineLvl w:val="1"/>
    </w:pPr>
  </w:style>
  <w:style w:type="paragraph" w:styleId="Heading3">
    <w:name w:val="heading 3"/>
    <w:basedOn w:val="BodyText"/>
    <w:next w:val="BodyText3"/>
    <w:qFormat/>
    <w:pPr>
      <w:numPr>
        <w:ilvl w:val="2"/>
        <w:numId w:val="8"/>
      </w:numPr>
      <w:outlineLvl w:val="2"/>
    </w:pPr>
  </w:style>
  <w:style w:type="paragraph" w:styleId="Heading4">
    <w:name w:val="heading 4"/>
    <w:basedOn w:val="BodyText"/>
    <w:qFormat/>
    <w:pPr>
      <w:numPr>
        <w:ilvl w:val="3"/>
        <w:numId w:val="8"/>
      </w:numPr>
      <w:outlineLvl w:val="3"/>
    </w:pPr>
  </w:style>
  <w:style w:type="paragraph" w:styleId="Heading5">
    <w:name w:val="heading 5"/>
    <w:basedOn w:val="BodyText"/>
    <w:qFormat/>
    <w:pPr>
      <w:numPr>
        <w:ilvl w:val="4"/>
        <w:numId w:val="8"/>
      </w:numPr>
      <w:outlineLvl w:val="4"/>
    </w:pPr>
  </w:style>
  <w:style w:type="paragraph" w:styleId="Heading6">
    <w:name w:val="heading 6"/>
    <w:basedOn w:val="BodyText"/>
    <w:qFormat/>
    <w:pPr>
      <w:numPr>
        <w:ilvl w:val="5"/>
        <w:numId w:val="8"/>
      </w:numPr>
      <w:outlineLvl w:val="5"/>
    </w:pPr>
  </w:style>
  <w:style w:type="paragraph" w:styleId="Heading7">
    <w:name w:val="heading 7"/>
    <w:basedOn w:val="BodyText"/>
    <w:next w:val="Normal"/>
    <w:qFormat/>
    <w:pPr>
      <w:outlineLvl w:val="6"/>
    </w:pPr>
    <w:rPr>
      <w:b/>
      <w:sz w:val="28"/>
    </w:rPr>
  </w:style>
  <w:style w:type="paragraph" w:styleId="Heading8">
    <w:name w:val="heading 8"/>
    <w:basedOn w:val="Normal"/>
    <w:next w:val="Normal"/>
    <w:qFormat/>
    <w:pPr>
      <w:spacing w:before="120"/>
      <w:outlineLvl w:val="7"/>
    </w:pPr>
    <w:rPr>
      <w:b/>
      <w:sz w:val="24"/>
    </w:rPr>
  </w:style>
  <w:style w:type="paragraph" w:styleId="Heading9">
    <w:name w:val="heading 9"/>
    <w:basedOn w:val="Normal"/>
    <w:next w:val="Normal"/>
    <w:qFormat/>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pPr>
  </w:style>
  <w:style w:type="paragraph" w:customStyle="1" w:styleId="BodyText1">
    <w:name w:val="Body Text 1"/>
    <w:basedOn w:val="BodyText"/>
    <w:pPr>
      <w:ind w:left="720"/>
    </w:pPr>
  </w:style>
  <w:style w:type="paragraph" w:styleId="BodyText2">
    <w:name w:val="Body Text 2"/>
    <w:basedOn w:val="BodyText"/>
    <w:semiHidden/>
    <w:pPr>
      <w:ind w:left="720"/>
    </w:pPr>
  </w:style>
  <w:style w:type="paragraph" w:styleId="BodyText3">
    <w:name w:val="Body Text 3"/>
    <w:basedOn w:val="BodyText"/>
    <w:semiHidden/>
    <w:pPr>
      <w:ind w:left="720"/>
    </w:pPr>
  </w:style>
  <w:style w:type="paragraph" w:customStyle="1" w:styleId="Address">
    <w:name w:val="Address"/>
    <w:basedOn w:val="Normal"/>
    <w:rPr>
      <w:b/>
      <w:sz w:val="18"/>
    </w:rPr>
  </w:style>
  <w:style w:type="paragraph" w:customStyle="1" w:styleId="BodyText4">
    <w:name w:val="Body Text 4"/>
    <w:basedOn w:val="BodyText"/>
    <w:pPr>
      <w:ind w:left="1440"/>
    </w:pPr>
  </w:style>
  <w:style w:type="paragraph" w:customStyle="1" w:styleId="BodyText5">
    <w:name w:val="Body Text 5"/>
    <w:basedOn w:val="BodyText"/>
    <w:pPr>
      <w:ind w:left="2160"/>
    </w:pPr>
  </w:style>
  <w:style w:type="paragraph" w:customStyle="1" w:styleId="BodyText6">
    <w:name w:val="Body Text 6"/>
    <w:basedOn w:val="BodyText"/>
    <w:pPr>
      <w:ind w:left="2880"/>
    </w:p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style>
  <w:style w:type="paragraph" w:customStyle="1" w:styleId="Cover1">
    <w:name w:val="Cover1"/>
    <w:basedOn w:val="Normal"/>
    <w:next w:val="Cover2"/>
    <w:rPr>
      <w:b/>
      <w:sz w:val="22"/>
    </w:rPr>
  </w:style>
  <w:style w:type="paragraph" w:customStyle="1" w:styleId="Cover2">
    <w:name w:val="Cover2"/>
    <w:basedOn w:val="Normal"/>
    <w:next w:val="Cover1"/>
    <w:autoRedefine/>
    <w:pPr>
      <w:spacing w:after="240"/>
    </w:pPr>
    <w:rPr>
      <w:sz w:val="22"/>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tabs>
        <w:tab w:val="left" w:pos="720"/>
      </w:tabs>
    </w:pPr>
    <w:rPr>
      <w:sz w:val="18"/>
    </w:rPr>
  </w:style>
  <w:style w:type="paragraph" w:styleId="EnvelopeAddress">
    <w:name w:val="envelope address"/>
    <w:basedOn w:val="Normal"/>
    <w:semiHidden/>
    <w:pPr>
      <w:framePr w:w="7920" w:h="1980" w:hRule="exact" w:hSpace="180" w:wrap="auto" w:hAnchor="page" w:xAlign="center" w:yAlign="bottom"/>
      <w:ind w:left="2880"/>
    </w:pPr>
    <w:rPr>
      <w:sz w:val="24"/>
    </w:rPr>
  </w:style>
  <w:style w:type="paragraph" w:styleId="EnvelopeReturn">
    <w:name w:val="envelope return"/>
    <w:basedOn w:val="Normal"/>
    <w:semiHidden/>
  </w:style>
  <w:style w:type="character" w:styleId="FollowedHyperlink">
    <w:name w:val="FollowedHyperlink"/>
    <w:basedOn w:val="DefaultParagraphFont"/>
    <w:semiHidden/>
    <w:rPr>
      <w:color w:val="800080"/>
      <w:u w:val="single"/>
    </w:rPr>
  </w:style>
  <w:style w:type="paragraph" w:styleId="Footer">
    <w:name w:val="footer"/>
    <w:basedOn w:val="Normal"/>
    <w:semiHidden/>
    <w:pPr>
      <w:tabs>
        <w:tab w:val="center" w:pos="4536"/>
        <w:tab w:val="right" w:pos="9072"/>
      </w:tabs>
    </w:pPr>
    <w:rPr>
      <w:sz w:val="16"/>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18"/>
    </w:rPr>
  </w:style>
  <w:style w:type="paragraph" w:styleId="Header">
    <w:name w:val="header"/>
    <w:basedOn w:val="Normal"/>
    <w:semiHidden/>
    <w:pPr>
      <w:tabs>
        <w:tab w:val="center" w:pos="4536"/>
        <w:tab w:val="right" w:pos="9072"/>
      </w:tabs>
    </w:pPr>
  </w:style>
  <w:style w:type="character" w:styleId="Hyperlink">
    <w:name w:val="Hyperlink"/>
    <w:basedOn w:val="DefaultParagraphFont"/>
    <w:semiHidden/>
    <w:rPr>
      <w:color w:val="0000FF"/>
      <w:u w:val="single"/>
    </w:rPr>
  </w:style>
  <w:style w:type="paragraph" w:customStyle="1" w:styleId="Leader">
    <w:name w:val="Leader"/>
    <w:basedOn w:val="BodyText"/>
    <w:next w:val="BodyText"/>
    <w:pPr>
      <w:spacing w:before="120"/>
    </w:pPr>
    <w:rPr>
      <w:b/>
      <w:sz w:val="22"/>
    </w:rPr>
  </w:style>
  <w:style w:type="character" w:styleId="LineNumber">
    <w:name w:val="line number"/>
    <w:basedOn w:val="DefaultParagraphFont"/>
    <w:semiHidden/>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customStyle="1" w:styleId="Note">
    <w:name w:val="Note"/>
    <w:basedOn w:val="Normal"/>
    <w:pPr>
      <w:pBdr>
        <w:top w:val="single" w:sz="8" w:space="2" w:color="739600"/>
        <w:left w:val="single" w:sz="8" w:space="4" w:color="739600"/>
        <w:bottom w:val="single" w:sz="8" w:space="2" w:color="739600"/>
        <w:right w:val="single" w:sz="8" w:space="4" w:color="739600"/>
      </w:pBdr>
      <w:spacing w:after="240"/>
      <w:ind w:left="709"/>
    </w:pPr>
    <w:rPr>
      <w:color w:val="201C3E"/>
      <w:sz w:val="16"/>
    </w:rPr>
  </w:style>
  <w:style w:type="character" w:styleId="PageNumber">
    <w:name w:val="page number"/>
    <w:basedOn w:val="DefaultParagraphFont"/>
    <w:semiHidden/>
  </w:style>
  <w:style w:type="paragraph" w:customStyle="1" w:styleId="Parties">
    <w:name w:val="Parties"/>
    <w:basedOn w:val="BodyText"/>
    <w:pPr>
      <w:numPr>
        <w:numId w:val="5"/>
      </w:numPr>
    </w:pPr>
  </w:style>
  <w:style w:type="paragraph" w:styleId="PlainText">
    <w:name w:val="Plain Text"/>
    <w:basedOn w:val="Normal"/>
    <w:semiHidden/>
    <w:rPr>
      <w:rFonts w:ascii="Courier New" w:hAnsi="Courier New"/>
    </w:rPr>
  </w:style>
  <w:style w:type="paragraph" w:customStyle="1" w:styleId="Recital">
    <w:name w:val="Recital"/>
    <w:basedOn w:val="Normal"/>
    <w:pPr>
      <w:numPr>
        <w:numId w:val="6"/>
      </w:numPr>
      <w:spacing w:after="240"/>
    </w:pPr>
  </w:style>
  <w:style w:type="paragraph" w:customStyle="1" w:styleId="Schedule">
    <w:name w:val="Schedule"/>
    <w:basedOn w:val="Normal"/>
    <w:next w:val="BodyText"/>
    <w:pPr>
      <w:numPr>
        <w:numId w:val="7"/>
      </w:numPr>
      <w:spacing w:after="240"/>
    </w:pPr>
    <w:rPr>
      <w:b/>
      <w:sz w:val="28"/>
    </w:rPr>
  </w:style>
  <w:style w:type="character" w:styleId="Strong">
    <w:name w:val="Strong"/>
    <w:basedOn w:val="DefaultParagraphFont"/>
    <w:qFormat/>
    <w:rPr>
      <w:b/>
    </w:rPr>
  </w:style>
  <w:style w:type="paragraph" w:styleId="Subtitle">
    <w:name w:val="Subtitle"/>
    <w:basedOn w:val="Normal"/>
    <w:qFormat/>
    <w:pPr>
      <w:spacing w:after="60"/>
      <w:jc w:val="center"/>
      <w:outlineLvl w:val="1"/>
    </w:pPr>
    <w:rPr>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b/>
      <w:kern w:val="28"/>
      <w:sz w:val="32"/>
    </w:rPr>
  </w:style>
  <w:style w:type="paragraph" w:styleId="TOAHeading">
    <w:name w:val="toa heading"/>
    <w:basedOn w:val="Normal"/>
    <w:next w:val="Normal"/>
    <w:semiHidden/>
    <w:pPr>
      <w:spacing w:before="120"/>
    </w:pPr>
    <w:rPr>
      <w:b/>
      <w:sz w:val="24"/>
    </w:rPr>
  </w:style>
  <w:style w:type="paragraph" w:styleId="TOC1">
    <w:name w:val="toc 1"/>
    <w:basedOn w:val="Normal"/>
    <w:next w:val="Normal"/>
    <w:autoRedefine/>
    <w:semiHidden/>
    <w:pPr>
      <w:keepNext/>
      <w:tabs>
        <w:tab w:val="left" w:pos="720"/>
        <w:tab w:val="right" w:pos="9072"/>
      </w:tabs>
      <w:spacing w:before="240" w:after="60"/>
    </w:pPr>
    <w:rPr>
      <w:b/>
      <w:noProof/>
    </w:rPr>
  </w:style>
  <w:style w:type="paragraph" w:styleId="TOC2">
    <w:name w:val="toc 2"/>
    <w:basedOn w:val="Normal"/>
    <w:next w:val="Normal"/>
    <w:autoRedefine/>
    <w:semiHidden/>
    <w:pPr>
      <w:tabs>
        <w:tab w:val="left" w:pos="720"/>
        <w:tab w:val="right" w:pos="9072"/>
      </w:tabs>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Level1">
    <w:name w:val="Level 1"/>
    <w:basedOn w:val="Normal"/>
    <w:next w:val="Normal"/>
    <w:pPr>
      <w:numPr>
        <w:numId w:val="1"/>
      </w:numPr>
      <w:spacing w:after="220"/>
      <w:outlineLvl w:val="0"/>
    </w:pPr>
    <w:rPr>
      <w:b/>
    </w:rPr>
  </w:style>
  <w:style w:type="paragraph" w:customStyle="1" w:styleId="Appendix">
    <w:name w:val="Appendix"/>
    <w:basedOn w:val="Normal"/>
    <w:next w:val="BodyText"/>
    <w:pPr>
      <w:numPr>
        <w:numId w:val="10"/>
      </w:numPr>
      <w:spacing w:after="240"/>
    </w:pPr>
    <w:rPr>
      <w:b/>
      <w:sz w:val="28"/>
    </w:rPr>
  </w:style>
  <w:style w:type="paragraph" w:customStyle="1" w:styleId="Level2">
    <w:name w:val="Level 2"/>
    <w:basedOn w:val="Normal"/>
    <w:pPr>
      <w:numPr>
        <w:ilvl w:val="1"/>
        <w:numId w:val="2"/>
      </w:numPr>
      <w:tabs>
        <w:tab w:val="left" w:pos="1440"/>
      </w:tabs>
      <w:spacing w:after="220"/>
      <w:outlineLvl w:val="1"/>
    </w:pPr>
  </w:style>
  <w:style w:type="paragraph" w:customStyle="1" w:styleId="Level3">
    <w:name w:val="Level 3"/>
    <w:basedOn w:val="Normal"/>
    <w:pPr>
      <w:numPr>
        <w:ilvl w:val="2"/>
        <w:numId w:val="3"/>
      </w:numPr>
      <w:spacing w:after="220"/>
      <w:outlineLvl w:val="2"/>
    </w:pPr>
  </w:style>
  <w:style w:type="paragraph" w:customStyle="1" w:styleId="Level4">
    <w:name w:val="Level 4"/>
    <w:basedOn w:val="Normal"/>
    <w:pPr>
      <w:numPr>
        <w:ilvl w:val="3"/>
        <w:numId w:val="4"/>
      </w:numPr>
      <w:spacing w:after="220"/>
      <w:outlineLvl w:val="3"/>
    </w:pPr>
  </w:style>
  <w:style w:type="character" w:customStyle="1" w:styleId="Annotation">
    <w:name w:val="Annotation"/>
    <w:basedOn w:val="DefaultParagraphFont"/>
    <w:rPr>
      <w:b/>
      <w:bCs/>
      <w:i/>
      <w:iCs/>
      <w:bdr w:val="none" w:sz="0" w:space="0" w:color="auto"/>
      <w:shd w:val="clear" w:color="auto" w:fill="CDC6B6"/>
    </w:rPr>
  </w:style>
  <w:style w:type="character" w:customStyle="1" w:styleId="Mandatorytext">
    <w:name w:val="Mandatory text"/>
    <w:basedOn w:val="DefaultParagraphFont"/>
    <w:rPr>
      <w:b/>
      <w:bCs/>
      <w:bdr w:val="none" w:sz="0" w:space="0" w:color="auto"/>
      <w:shd w:val="clear" w:color="auto" w:fill="81E3D0"/>
    </w:rPr>
  </w:style>
  <w:style w:type="paragraph" w:styleId="BodyTextIndent2">
    <w:name w:val="Body Text Indent 2"/>
    <w:basedOn w:val="Normal"/>
    <w:semiHidden/>
    <w:pPr>
      <w:spacing w:after="120" w:line="480" w:lineRule="auto"/>
      <w:ind w:left="283"/>
    </w:pPr>
  </w:style>
  <w:style w:type="paragraph" w:customStyle="1" w:styleId="Definition">
    <w:name w:val="Definition"/>
    <w:basedOn w:val="BodyText"/>
    <w:pPr>
      <w:numPr>
        <w:numId w:val="11"/>
      </w:numPr>
    </w:pPr>
  </w:style>
  <w:style w:type="paragraph" w:customStyle="1" w:styleId="Definitiona">
    <w:name w:val="Definition (a)"/>
    <w:basedOn w:val="BodyText"/>
    <w:pPr>
      <w:numPr>
        <w:ilvl w:val="1"/>
        <w:numId w:val="11"/>
      </w:numPr>
    </w:pPr>
  </w:style>
  <w:style w:type="paragraph" w:customStyle="1" w:styleId="Definitioni">
    <w:name w:val="Definition (i)"/>
    <w:basedOn w:val="BodyText"/>
    <w:pPr>
      <w:numPr>
        <w:ilvl w:val="2"/>
        <w:numId w:val="11"/>
      </w:numPr>
    </w:pPr>
  </w:style>
  <w:style w:type="paragraph" w:customStyle="1" w:styleId="Firm">
    <w:name w:val="Firm"/>
    <w:basedOn w:val="Normal"/>
    <w:rPr>
      <w:sz w:val="1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pPr>
      <w:spacing w:line="240" w:lineRule="auto"/>
    </w:pPr>
    <w:rPr>
      <w:b/>
      <w:bCs/>
    </w:rPr>
  </w:style>
  <w:style w:type="character" w:customStyle="1" w:styleId="CommentTextChar">
    <w:name w:val="Comment Text Char"/>
    <w:basedOn w:val="DefaultParagraphFont"/>
    <w:link w:val="CommentText"/>
    <w:semiHidden/>
    <w:rPr>
      <w:rFonts w:ascii="Arial" w:hAnsi="Arial"/>
      <w:lang w:eastAsia="en-US"/>
    </w:rPr>
  </w:style>
  <w:style w:type="character" w:customStyle="1" w:styleId="CommentSubjectChar">
    <w:name w:val="Comment Subject Char"/>
    <w:basedOn w:val="CommentTextChar"/>
    <w:link w:val="CommentSubject"/>
    <w:rPr>
      <w:rFonts w:ascii="Arial" w:hAnsi="Arial"/>
      <w:lang w:eastAsia="en-US"/>
    </w:rPr>
  </w:style>
  <w:style w:type="character" w:customStyle="1" w:styleId="BodyTextChar">
    <w:name w:val="Body Text Char"/>
    <w:basedOn w:val="DefaultParagraphFont"/>
    <w:link w:val="BodyText"/>
    <w:semiHidden/>
    <w:rPr>
      <w:rFonts w:ascii="Arial" w:hAnsi="Arial"/>
      <w:lang w:eastAsia="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ikit\Template%20Management%20System\TMSConfig\Templates\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lassification xmlns="eecedeb9-13b3-4e62-b003-046c92e1668a">Unclassified</Classification>
    <Descriptor xmlns="eecedeb9-13b3-4e62-b003-046c92e1668a" xsi:nil="true"/>
    <Applicable_x0020_Start_x0020_Date xmlns="eecedeb9-13b3-4e62-b003-046c92e1668a">2013-04-15T23:00:00+00:00</Applicable_x0020_Start_x0020_Date>
    <Code xmlns="95665b0c-7cec-46fb-8393-d29d3f44c759">UNC</Code>
    <Organisation xmlns="eecedeb9-13b3-4e62-b003-046c92e1668a">Choose an Organisation</Organisation>
    <Mod_x0020_No xmlns="95665b0c-7cec-46fb-8393-d29d3f44c759">432</Mod_x0020_No>
    <Applicable_x0020_Duration xmlns="eecedeb9-13b3-4e62-b003-046c92e1668a">-</Applicable_x0020_Duration>
    <_Status xmlns="http://schemas.microsoft.com/sharepoint/v3/fields">Draft</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nalysis" ma:contentTypeID="0x010100224D7ED41386EF40B8EE6E522BAA77810051100355F3DBF246822712871CBFBF32" ma:contentTypeVersion="24" ma:contentTypeDescription="This is used to create spreadsheets" ma:contentTypeScope="" ma:versionID="9021d321171de0d8bad26cc7d0707f9e">
  <xsd:schema xmlns:xsd="http://www.w3.org/2001/XMLSchema" xmlns:p="http://schemas.microsoft.com/office/2006/metadata/properties" xmlns:ns2="eecedeb9-13b3-4e62-b003-046c92e1668a" xmlns:ns3="http://schemas.microsoft.com/sharepoint/v3/fields" xmlns:ns4="95665b0c-7cec-46fb-8393-d29d3f44c759" targetNamespace="http://schemas.microsoft.com/office/2006/metadata/properties" ma:root="true" ma:fieldsID="4683fbc5aa7707f3d113dc6dd14f491d" ns2:_="" ns3:_="" ns4:_="">
    <xsd:import namespace="eecedeb9-13b3-4e62-b003-046c92e1668a"/>
    <xsd:import namespace="http://schemas.microsoft.com/sharepoint/v3/fields"/>
    <xsd:import namespace="95665b0c-7cec-46fb-8393-d29d3f44c759"/>
    <xsd:element name="properties">
      <xsd:complexType>
        <xsd:sequence>
          <xsd:element name="documentManagement">
            <xsd:complexType>
              <xsd:all>
                <xsd:element ref="ns2:Applicable_x0020_Start_x0020_Date" minOccurs="0"/>
                <xsd:element ref="ns2:Applicable_x0020_Duration" minOccurs="0"/>
                <xsd:element ref="ns3:_Status"/>
                <xsd:element ref="ns2:Organisation" minOccurs="0"/>
                <xsd:element ref="ns4:Code"/>
                <xsd:element ref="ns4:Mod_x0020_No"/>
                <xsd:element ref="ns2:Classification"/>
                <xsd:element ref="ns2:Descriptor" minOccurs="0"/>
              </xsd:all>
            </xsd:complexType>
          </xsd:element>
        </xsd:sequence>
      </xsd:complexType>
    </xsd:element>
  </xsd:schema>
  <xsd:schema xmlns:xsd="http://www.w3.org/2001/XMLSchema" xmlns:dms="http://schemas.microsoft.com/office/2006/documentManagement/types" targetNamespace="eecedeb9-13b3-4e62-b003-046c92e1668a" elementFormDefault="qualified">
    <xsd:import namespace="http://schemas.microsoft.com/office/2006/documentManagement/types"/>
    <xsd:element name="Applicable_x0020_Start_x0020_Date" ma:index="2" nillable="true" ma:displayName="Applicable Start Date" ma:default="[today]" ma:description="The Starting Date for the work - format is DD/MM/YYYY" ma:format="DateOnly" ma:internalName="Applicable_x0020_Start_x0020_Date" ma:readOnly="false">
      <xsd:simpleType>
        <xsd:restriction base="dms:DateTime"/>
      </xsd:simpleType>
    </xsd:element>
    <xsd:element name="Applicable_x0020_Duration" ma:index="3" nillable="true" ma:displayName="Applicable Duration" ma:default="-" ma:description="For how long is this document applicable, from the Applicable Start Date?" ma:format="Dropdown" ma:internalName="Applicable_x0020_Duration" ma:readOnly="false">
      <xsd:simpleType>
        <xsd:restriction base="dms:Choice">
          <xsd:enumeration value="-"/>
          <xsd:enumeration value="Day"/>
          <xsd:enumeration value="Week"/>
          <xsd:enumeration value="Month"/>
          <xsd:enumeration value="Quarter"/>
          <xsd:enumeration value="6 Months"/>
          <xsd:enumeration value="Winter"/>
          <xsd:enumeration value="Summer"/>
          <xsd:enumeration value="1 Year"/>
          <xsd:enumeration value="2 Years"/>
          <xsd:enumeration value="3 Years"/>
          <xsd:enumeration value="5 Years"/>
          <xsd:enumeration value="6 - 10 Years"/>
          <xsd:enumeration value="Enduring"/>
        </xsd:restriction>
      </xsd:simpleType>
    </xsd:element>
    <xsd:element name="Organisation" ma:index="5" nillable="true" ma:displayName="Organisation" ma:default="Choose an Organisation" ma:description="Choose from the drop-down menu or fill in a value" ma:format="Dropdown" ma:internalName="Organisation">
      <xsd:simpleType>
        <xsd:union memberTypes="dms:Text">
          <xsd:simpleType>
            <xsd:restriction base="dms:Choice">
              <xsd:enumeration value="Choose an Organisation"/>
              <xsd:enumeration value="Assoc Elec Producers"/>
              <xsd:enumeration value="Atomic Energy Auth"/>
              <xsd:enumeration value="BERR"/>
              <xsd:enumeration value="British Energy"/>
              <xsd:enumeration value="Brit Wind Energy Assoc"/>
              <xsd:enumeration value="Building Research Est"/>
              <xsd:enumeration value="Carbon Trust"/>
              <xsd:enumeration value="Cavendish"/>
              <xsd:enumeration value="Centrica"/>
              <xsd:enumeration value="Central Networks"/>
              <xsd:enumeration value="CE"/>
              <xsd:enumeration value="CEER"/>
              <xsd:enumeration value="CHPA"/>
              <xsd:enumeration value="Competition Commission"/>
              <xsd:enumeration value="DCLG"/>
              <xsd:enumeration value="DCUSA Ltd"/>
              <xsd:enumeration value="DECC"/>
              <xsd:enumeration value="DEFRA"/>
              <xsd:enumeration value="DETI (Northern Ireland)"/>
              <xsd:enumeration value="European Commission"/>
              <xsd:enumeration value="EdF"/>
              <xsd:enumeration value="Elec DNO"/>
              <xsd:enumeration value="ELEXON"/>
              <xsd:enumeration value="eon"/>
              <xsd:enumeration value="Electricity North West"/>
              <xsd:enumeration value="Energy Networks Association"/>
              <xsd:enumeration value="Energy Retail Association"/>
              <xsd:enumeration value="Energy Saving Trust"/>
              <xsd:enumeration value="energywatch"/>
              <xsd:enumeration value="ERGEG"/>
              <xsd:enumeration value="Ernst &amp; Young"/>
              <xsd:enumeration value="ESTA"/>
              <xsd:enumeration value="Gas DNs"/>
              <xsd:enumeration value="Gas Forum"/>
              <xsd:enumeration value="Gaz de France"/>
              <xsd:enumeration value="Government"/>
              <xsd:enumeration value="HM Revenue &amp; Customs"/>
              <xsd:enumeration value="HM Treasury"/>
              <xsd:enumeration value="House of Commons"/>
              <xsd:enumeration value="HSE"/>
              <xsd:enumeration value="IDNO"/>
              <xsd:enumeration value="IGT"/>
              <xsd:enumeration value="National Grid Gas"/>
              <xsd:enumeration value="National Grid Elec"/>
              <xsd:enumeration value="nPower"/>
              <xsd:enumeration value="NWOperators"/>
              <xsd:enumeration value="NEDL &amp;  YEDL"/>
              <xsd:enumeration value="Northern Gas Networks"/>
              <xsd:enumeration value="OFGEM"/>
              <xsd:enumeration value="OFREG"/>
              <xsd:enumeration value="OFT"/>
              <xsd:enumeration value="Parity"/>
              <xsd:enumeration value="Parl Renew &amp; Sustain Energy Grp"/>
              <xsd:enumeration value="Renewble Energy Assoc"/>
              <xsd:enumeration value="RWE"/>
              <xsd:enumeration value="Scotia Gas Networks"/>
              <xsd:enumeration value="Scottish and Southern"/>
              <xsd:enumeration value="Scottish Executive"/>
              <xsd:enumeration value="Scottish Power"/>
              <xsd:enumeration value="SmartestEnergy"/>
              <xsd:enumeration value="Suppliers"/>
              <xsd:enumeration value="Wales &amp; West Utilities"/>
              <xsd:enumeration value="Welsh Assembly"/>
              <xsd:enumeration value="WPD"/>
              <xsd:enumeration value="Xoserve"/>
              <xsd:enumeration value="-"/>
            </xsd:restriction>
          </xsd:simpleType>
        </xsd:union>
      </xsd:simpleType>
    </xsd:element>
    <xsd:element name="Classification" ma:index="14" ma:displayName="Classification" ma:default="Unclassified" ma:format="Dropdown" ma:internalName="Classification">
      <xsd:simpleType>
        <xsd:restriction base="dms:Choice">
          <xsd:enumeration value="Unclassified"/>
          <xsd:enumeration value="Protect"/>
          <xsd:enumeration value="Restricted"/>
        </xsd:restriction>
      </xsd:simpleType>
    </xsd:element>
    <xsd:element name="Descriptor" ma:index="15" nillable="true" ma:displayName="Descriptor" ma:format="Dropdown" ma:internalName="Descriptor">
      <xsd:simpleType>
        <xsd:restriction base="dms:Choice">
          <xsd:enumeration value="Commercial"/>
          <xsd:enumeration value="Management"/>
          <xsd:enumeration value="Market Sensitive"/>
          <xsd:enumeration value="Staff"/>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4" ma:displayName="Status" ma:default="Draft" ma:description="Choose the appropriate status from the drop-down" ma:format="Dropdown" ma:internalName="_Status" ma:readOnly="false">
      <xsd:simpleType>
        <xsd:restriction base="dms:Choice">
          <xsd:enumeration value="Draft"/>
          <xsd:enumeration value="For comment"/>
          <xsd:enumeration value="Peer Reviewed"/>
          <xsd:enumeration value="Head of Dept Reviewed"/>
          <xsd:enumeration value="Legally Reviewed"/>
          <xsd:enumeration value="MD Approved"/>
          <xsd:enumeration value="Final not for Registry"/>
          <xsd:enumeration value="Final and Sent to Registry"/>
          <xsd:enumeration value="Published"/>
          <xsd:enumeration value="For deletion review"/>
          <xsd:enumeration value="External Draft"/>
          <xsd:enumeration value="External for comment"/>
          <xsd:enumeration value="External for action"/>
          <xsd:enumeration value="External Final"/>
        </xsd:restriction>
      </xsd:simpleType>
    </xsd:element>
  </xsd:schema>
  <xsd:schema xmlns:xsd="http://www.w3.org/2001/XMLSchema" xmlns:dms="http://schemas.microsoft.com/office/2006/documentManagement/types" targetNamespace="95665b0c-7cec-46fb-8393-d29d3f44c759" elementFormDefault="qualified">
    <xsd:import namespace="http://schemas.microsoft.com/office/2006/documentManagement/types"/>
    <xsd:element name="Code" ma:index="11" ma:displayName="Code" ma:default="Choose a Code" ma:description="Choose the relevant Code or Agreement" ma:format="Dropdown" ma:internalName="Code" ma:readOnly="false">
      <xsd:simpleType>
        <xsd:restriction base="dms:Choice">
          <xsd:enumeration value="Choose a Code"/>
          <xsd:enumeration value="BSC"/>
          <xsd:enumeration value="CM"/>
          <xsd:enumeration value="CUSC"/>
          <xsd:enumeration value="DCUSA"/>
          <xsd:enumeration value="Dist Code"/>
          <xsd:enumeration value="Grid Code"/>
          <xsd:enumeration value="IGT Codes"/>
          <xsd:enumeration value="MRA"/>
          <xsd:enumeration value="Network Code"/>
          <xsd:enumeration value="SPAA"/>
          <xsd:enumeration value="STC"/>
          <xsd:enumeration value="UNC"/>
        </xsd:restriction>
      </xsd:simpleType>
    </xsd:element>
    <xsd:element name="Mod_x0020_No" ma:index="12" ma:displayName="Mod No" ma:decimals="0" ma:default="" ma:description="Enter the Reference Number as a numeral without any letters.  If the document does not relate to a specific mod (i.e. general Panel paper) please specify 000." ma:internalName="Mod_x0020_No"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42E8B-0999-4E60-B7AB-B55431571E9D}">
  <ds:schemaRefs>
    <ds:schemaRef ds:uri="http://schemas.microsoft.com/office/2006/metadata/properties"/>
    <ds:schemaRef ds:uri="95665b0c-7cec-46fb-8393-d29d3f44c759"/>
    <ds:schemaRef ds:uri="http://schemas.microsoft.com/office/2006/documentManagement/types"/>
    <ds:schemaRef ds:uri="http://schemas.microsoft.com/sharepoint/v3/fields"/>
    <ds:schemaRef ds:uri="http://purl.org/dc/dcmitype/"/>
    <ds:schemaRef ds:uri="http://purl.org/dc/terms/"/>
    <ds:schemaRef ds:uri="http://purl.org/dc/elements/1.1/"/>
    <ds:schemaRef ds:uri="http://www.w3.org/XML/1998/namespace"/>
    <ds:schemaRef ds:uri="http://schemas.openxmlformats.org/package/2006/metadata/core-properties"/>
    <ds:schemaRef ds:uri="eecedeb9-13b3-4e62-b003-046c92e1668a"/>
  </ds:schemaRefs>
</ds:datastoreItem>
</file>

<file path=customXml/itemProps2.xml><?xml version="1.0" encoding="utf-8"?>
<ds:datastoreItem xmlns:ds="http://schemas.openxmlformats.org/officeDocument/2006/customXml" ds:itemID="{6C3B8967-3274-4606-95C8-2C1BB3A721EC}">
  <ds:schemaRefs>
    <ds:schemaRef ds:uri="http://schemas.microsoft.com/sharepoint/v3/contenttype/forms"/>
  </ds:schemaRefs>
</ds:datastoreItem>
</file>

<file path=customXml/itemProps3.xml><?xml version="1.0" encoding="utf-8"?>
<ds:datastoreItem xmlns:ds="http://schemas.openxmlformats.org/officeDocument/2006/customXml" ds:itemID="{BE27EFB5-2B12-4725-8335-32D939917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edeb9-13b3-4e62-b003-046c92e1668a"/>
    <ds:schemaRef ds:uri="http://schemas.microsoft.com/sharepoint/v3/fields"/>
    <ds:schemaRef ds:uri="95665b0c-7cec-46fb-8393-d29d3f44c75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8AF75BE-FF2E-FF48-8C3D-EF7486C91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Files\Tikit\Template Management System\TMSConfig\Templates\Plain.dotx</Template>
  <TotalTime>0</TotalTime>
  <Pages>15</Pages>
  <Words>3916</Words>
  <Characters>22327</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42006439.01</vt:lpstr>
    </vt:vector>
  </TitlesOfParts>
  <Company>SNR Denton</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42006439.01</dc:title>
  <dc:creator>SNR Denton</dc:creator>
  <dc:description>AMAT/DBT/053191.00086/42006439.01</dc:description>
  <cp:lastModifiedBy>Karen Visgarda</cp:lastModifiedBy>
  <cp:revision>3</cp:revision>
  <cp:lastPrinted>2016-02-12T08:53:00Z</cp:lastPrinted>
  <dcterms:created xsi:type="dcterms:W3CDTF">2016-02-12T08:53:00Z</dcterms:created>
  <dcterms:modified xsi:type="dcterms:W3CDTF">2016-02-12T08:53:00Z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053191.00086</vt:lpwstr>
  </property>
  <property fmtid="{D5CDD505-2E9C-101B-9397-08002B2CF9AE}" pid="3" name="DocumentNumber">
    <vt:lpwstr>42006439.01</vt:lpwstr>
  </property>
  <property fmtid="{D5CDD505-2E9C-101B-9397-08002B2CF9AE}" pid="4" name="Version">
    <vt:lpwstr>2.0</vt:lpwstr>
  </property>
  <property fmtid="{D5CDD505-2E9C-101B-9397-08002B2CF9AE}" pid="5" name="LetterRef">
    <vt:lpwstr>JHL/53191.00087/9583640.03</vt:lpwstr>
  </property>
  <property fmtid="{D5CDD505-2E9C-101B-9397-08002B2CF9AE}" pid="6" name="OurRef">
    <vt:lpwstr>AMAT/DBT/053191.00086</vt:lpwstr>
  </property>
  <property fmtid="{D5CDD505-2E9C-101B-9397-08002B2CF9AE}" pid="7" name="ContentTypeId">
    <vt:lpwstr>0x010100224D7ED41386EF40B8EE6E522BAA77810051100355F3DBF246822712871CBFBF32</vt:lpwstr>
  </property>
  <property fmtid="{D5CDD505-2E9C-101B-9397-08002B2CF9AE}" pid="8" name="_NewReviewCycle">
    <vt:lpwstr/>
  </property>
  <property fmtid="{D5CDD505-2E9C-101B-9397-08002B2CF9AE}" pid="9" name="_AdHocReviewCycleID">
    <vt:i4>1813334862</vt:i4>
  </property>
  <property fmtid="{D5CDD505-2E9C-101B-9397-08002B2CF9AE}" pid="10" name="_EmailSubject">
    <vt:lpwstr>Workgroup 0541: 16th Feb 2016</vt:lpwstr>
  </property>
  <property fmtid="{D5CDD505-2E9C-101B-9397-08002B2CF9AE}" pid="11" name="_AuthorEmail">
    <vt:lpwstr>Justin.Goonesinghe@nationalgrid.com</vt:lpwstr>
  </property>
  <property fmtid="{D5CDD505-2E9C-101B-9397-08002B2CF9AE}" pid="12" name="_AuthorEmailDisplayName">
    <vt:lpwstr>Goonesinghe, Justin</vt:lpwstr>
  </property>
</Properties>
</file>