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46" w:rsidRDefault="00BD2ECE">
      <w:pPr>
        <w:rPr>
          <w:rFonts w:ascii="Arial" w:hAnsi="Arial" w:cs="Arial"/>
          <w:b/>
          <w:sz w:val="20"/>
          <w:szCs w:val="20"/>
        </w:rPr>
      </w:pPr>
      <w:r>
        <w:rPr>
          <w:rFonts w:ascii="Arial" w:hAnsi="Arial" w:cs="Arial"/>
          <w:b/>
          <w:sz w:val="20"/>
          <w:szCs w:val="20"/>
        </w:rPr>
        <w:t>DSC CONTRACT MANAGEMENT COMMITTEE 17 JANUARY 2018</w:t>
      </w:r>
    </w:p>
    <w:p w:rsidR="00BD2ECE" w:rsidRPr="007C6867" w:rsidRDefault="00BD2ECE">
      <w:pPr>
        <w:rPr>
          <w:rFonts w:ascii="Arial" w:hAnsi="Arial" w:cs="Arial"/>
          <w:b/>
          <w:sz w:val="20"/>
          <w:szCs w:val="20"/>
        </w:rPr>
      </w:pPr>
      <w:r>
        <w:rPr>
          <w:rFonts w:ascii="Arial" w:hAnsi="Arial" w:cs="Arial"/>
          <w:b/>
          <w:sz w:val="20"/>
          <w:szCs w:val="20"/>
        </w:rPr>
        <w:t>INFORMATION NOTE ON DECISION MAKING RESPONSIBILITIES</w:t>
      </w:r>
    </w:p>
    <w:p w:rsidR="007C6867" w:rsidRDefault="007228AC" w:rsidP="007C6867">
      <w:pPr>
        <w:pStyle w:val="NGTHeading2"/>
        <w:numPr>
          <w:ilvl w:val="0"/>
          <w:numId w:val="0"/>
        </w:numPr>
        <w:rPr>
          <w:rFonts w:cs="Arial"/>
          <w:szCs w:val="20"/>
        </w:rPr>
      </w:pPr>
      <w:r>
        <w:rPr>
          <w:rFonts w:cs="Arial"/>
          <w:szCs w:val="20"/>
        </w:rPr>
        <w:t xml:space="preserve">The table below sets out the key roles and responsibilities of Xoserve Shareholders, the Xoserve Board, Customers and Ofgem, and illustrates the extent to which these are repositioned as a result of the changes to the Xoserve business model arising from the FGO Review.  </w:t>
      </w:r>
    </w:p>
    <w:p w:rsidR="007228AC" w:rsidRPr="007C6867" w:rsidRDefault="007228AC" w:rsidP="007C6867">
      <w:pPr>
        <w:pStyle w:val="NGTHeading2"/>
        <w:numPr>
          <w:ilvl w:val="0"/>
          <w:numId w:val="0"/>
        </w:numPr>
        <w:rPr>
          <w:rFonts w:cs="Arial"/>
          <w:b/>
          <w:szCs w:val="20"/>
        </w:rPr>
      </w:pPr>
      <w:r>
        <w:rPr>
          <w:rFonts w:cs="Arial"/>
          <w:szCs w:val="20"/>
        </w:rPr>
        <w:t xml:space="preserve">The term ‘Customers’ refers to those parties who are signatories to the Data Services Contract and are therefore participants in the </w:t>
      </w:r>
      <w:r w:rsidR="007B54B3">
        <w:rPr>
          <w:rFonts w:cs="Arial"/>
          <w:szCs w:val="20"/>
        </w:rPr>
        <w:t xml:space="preserve">CDSP </w:t>
      </w:r>
      <w:r>
        <w:rPr>
          <w:rFonts w:cs="Arial"/>
          <w:szCs w:val="20"/>
        </w:rPr>
        <w:t xml:space="preserve">co-operative funding and governance arrangements. </w:t>
      </w:r>
    </w:p>
    <w:tbl>
      <w:tblPr>
        <w:tblStyle w:val="TableGrid"/>
        <w:tblW w:w="4504" w:type="pct"/>
        <w:jc w:val="center"/>
        <w:tblLook w:val="04A0" w:firstRow="1" w:lastRow="0" w:firstColumn="1" w:lastColumn="0" w:noHBand="0" w:noVBand="1"/>
      </w:tblPr>
      <w:tblGrid>
        <w:gridCol w:w="2656"/>
        <w:gridCol w:w="794"/>
        <w:gridCol w:w="1261"/>
        <w:gridCol w:w="850"/>
        <w:gridCol w:w="227"/>
        <w:gridCol w:w="1495"/>
        <w:gridCol w:w="1374"/>
        <w:gridCol w:w="1417"/>
        <w:gridCol w:w="1420"/>
        <w:gridCol w:w="1274"/>
      </w:tblGrid>
      <w:tr w:rsidR="00DB39A6" w:rsidRPr="007C6867" w:rsidTr="0004180F">
        <w:trPr>
          <w:gridAfter w:val="1"/>
          <w:wAfter w:w="499" w:type="pct"/>
          <w:jc w:val="center"/>
        </w:trPr>
        <w:tc>
          <w:tcPr>
            <w:tcW w:w="1040" w:type="pct"/>
          </w:tcPr>
          <w:p w:rsidR="00DB39A6" w:rsidRPr="007C6867" w:rsidRDefault="00DB39A6" w:rsidP="00050455">
            <w:pPr>
              <w:spacing w:after="0"/>
              <w:jc w:val="left"/>
              <w:rPr>
                <w:rFonts w:ascii="Arial" w:hAnsi="Arial" w:cs="Arial"/>
                <w:b/>
              </w:rPr>
            </w:pPr>
          </w:p>
        </w:tc>
        <w:tc>
          <w:tcPr>
            <w:tcW w:w="1138" w:type="pct"/>
            <w:gridSpan w:val="3"/>
          </w:tcPr>
          <w:p w:rsidR="00DB39A6" w:rsidRPr="007C6867" w:rsidRDefault="00DB39A6" w:rsidP="00050455">
            <w:pPr>
              <w:spacing w:after="0"/>
              <w:jc w:val="center"/>
              <w:rPr>
                <w:rFonts w:ascii="Arial" w:hAnsi="Arial" w:cs="Arial"/>
                <w:b/>
              </w:rPr>
            </w:pPr>
            <w:r>
              <w:rPr>
                <w:rFonts w:ascii="Arial" w:hAnsi="Arial" w:cs="Arial"/>
                <w:b/>
              </w:rPr>
              <w:t>Old</w:t>
            </w:r>
            <w:r w:rsidRPr="007C6867">
              <w:rPr>
                <w:rFonts w:ascii="Arial" w:hAnsi="Arial" w:cs="Arial"/>
                <w:b/>
              </w:rPr>
              <w:t xml:space="preserve"> Model</w:t>
            </w:r>
          </w:p>
        </w:tc>
        <w:tc>
          <w:tcPr>
            <w:tcW w:w="89" w:type="pct"/>
            <w:vMerge w:val="restart"/>
          </w:tcPr>
          <w:p w:rsidR="00DB39A6" w:rsidRDefault="00DB39A6" w:rsidP="00050455">
            <w:pPr>
              <w:spacing w:after="0"/>
              <w:jc w:val="center"/>
              <w:rPr>
                <w:rFonts w:ascii="Arial" w:hAnsi="Arial" w:cs="Arial"/>
                <w:b/>
              </w:rPr>
            </w:pPr>
          </w:p>
        </w:tc>
        <w:tc>
          <w:tcPr>
            <w:tcW w:w="2234" w:type="pct"/>
            <w:gridSpan w:val="4"/>
          </w:tcPr>
          <w:p w:rsidR="00DB39A6" w:rsidRPr="007C6867" w:rsidRDefault="00DB39A6" w:rsidP="00050455">
            <w:pPr>
              <w:spacing w:after="0"/>
              <w:jc w:val="center"/>
              <w:rPr>
                <w:rFonts w:ascii="Arial" w:hAnsi="Arial" w:cs="Arial"/>
                <w:b/>
              </w:rPr>
            </w:pPr>
            <w:r>
              <w:rPr>
                <w:rFonts w:ascii="Arial" w:hAnsi="Arial" w:cs="Arial"/>
                <w:b/>
              </w:rPr>
              <w:t>New Model</w:t>
            </w: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b/>
              </w:rPr>
            </w:pPr>
            <w:r w:rsidRPr="007C6867">
              <w:rPr>
                <w:rFonts w:ascii="Arial" w:hAnsi="Arial" w:cs="Arial"/>
                <w:b/>
              </w:rPr>
              <w:t>Decision Topic</w:t>
            </w:r>
          </w:p>
        </w:tc>
        <w:tc>
          <w:tcPr>
            <w:tcW w:w="311" w:type="pct"/>
          </w:tcPr>
          <w:p w:rsidR="00DB39A6" w:rsidRPr="007C6867" w:rsidRDefault="00DB39A6" w:rsidP="00050455">
            <w:pPr>
              <w:spacing w:after="0"/>
              <w:jc w:val="center"/>
              <w:rPr>
                <w:rFonts w:ascii="Arial" w:hAnsi="Arial" w:cs="Arial"/>
                <w:b/>
              </w:rPr>
            </w:pPr>
            <w:r w:rsidRPr="007C6867">
              <w:rPr>
                <w:rFonts w:ascii="Arial" w:hAnsi="Arial" w:cs="Arial"/>
                <w:b/>
              </w:rPr>
              <w:t>Board</w:t>
            </w:r>
          </w:p>
        </w:tc>
        <w:tc>
          <w:tcPr>
            <w:tcW w:w="494" w:type="pct"/>
            <w:tcBorders>
              <w:bottom w:val="single" w:sz="4" w:space="0" w:color="auto"/>
            </w:tcBorders>
          </w:tcPr>
          <w:p w:rsidR="00DB39A6" w:rsidRPr="007C6867" w:rsidRDefault="00DB39A6" w:rsidP="00050455">
            <w:pPr>
              <w:spacing w:after="0"/>
              <w:jc w:val="center"/>
              <w:rPr>
                <w:rFonts w:ascii="Arial" w:hAnsi="Arial" w:cs="Arial"/>
                <w:b/>
              </w:rPr>
            </w:pPr>
            <w:r w:rsidRPr="007C6867">
              <w:rPr>
                <w:rFonts w:ascii="Arial" w:hAnsi="Arial" w:cs="Arial"/>
                <w:b/>
              </w:rPr>
              <w:t>Customer</w:t>
            </w:r>
            <w:r>
              <w:rPr>
                <w:rFonts w:ascii="Arial" w:hAnsi="Arial" w:cs="Arial"/>
                <w:b/>
              </w:rPr>
              <w:t>s</w:t>
            </w:r>
          </w:p>
        </w:tc>
        <w:tc>
          <w:tcPr>
            <w:tcW w:w="333" w:type="pct"/>
            <w:tcBorders>
              <w:bottom w:val="single" w:sz="4" w:space="0" w:color="auto"/>
            </w:tcBorders>
          </w:tcPr>
          <w:p w:rsidR="00DB39A6" w:rsidRPr="007C6867" w:rsidRDefault="00DB39A6" w:rsidP="00050455">
            <w:pPr>
              <w:spacing w:after="0"/>
              <w:jc w:val="center"/>
              <w:rPr>
                <w:rFonts w:ascii="Arial" w:hAnsi="Arial" w:cs="Arial"/>
                <w:b/>
              </w:rPr>
            </w:pPr>
            <w:r w:rsidRPr="007C6867">
              <w:rPr>
                <w:rFonts w:ascii="Arial" w:hAnsi="Arial" w:cs="Arial"/>
                <w:b/>
              </w:rPr>
              <w:t>Ofgem</w:t>
            </w:r>
          </w:p>
        </w:tc>
        <w:tc>
          <w:tcPr>
            <w:tcW w:w="89" w:type="pct"/>
            <w:vMerge/>
          </w:tcPr>
          <w:p w:rsidR="00DB39A6" w:rsidRDefault="00DB39A6" w:rsidP="00050455">
            <w:pPr>
              <w:spacing w:after="0"/>
              <w:jc w:val="center"/>
              <w:rPr>
                <w:rFonts w:ascii="Arial" w:hAnsi="Arial" w:cs="Arial"/>
                <w:b/>
              </w:rPr>
            </w:pPr>
          </w:p>
        </w:tc>
        <w:tc>
          <w:tcPr>
            <w:tcW w:w="585" w:type="pct"/>
            <w:tcBorders>
              <w:bottom w:val="single" w:sz="4" w:space="0" w:color="auto"/>
            </w:tcBorders>
          </w:tcPr>
          <w:p w:rsidR="00DB39A6" w:rsidRPr="007C6867" w:rsidRDefault="00DB39A6" w:rsidP="00050455">
            <w:pPr>
              <w:spacing w:after="0"/>
              <w:jc w:val="center"/>
              <w:rPr>
                <w:rFonts w:ascii="Arial" w:hAnsi="Arial" w:cs="Arial"/>
                <w:b/>
              </w:rPr>
            </w:pPr>
            <w:r>
              <w:rPr>
                <w:rFonts w:ascii="Arial" w:hAnsi="Arial" w:cs="Arial"/>
                <w:b/>
              </w:rPr>
              <w:t xml:space="preserve">Shareholders </w:t>
            </w:r>
          </w:p>
        </w:tc>
        <w:tc>
          <w:tcPr>
            <w:tcW w:w="538" w:type="pct"/>
          </w:tcPr>
          <w:p w:rsidR="00DB39A6" w:rsidRPr="007C6867" w:rsidRDefault="00DB39A6" w:rsidP="00050455">
            <w:pPr>
              <w:spacing w:after="0"/>
              <w:jc w:val="center"/>
              <w:rPr>
                <w:rFonts w:ascii="Arial" w:hAnsi="Arial" w:cs="Arial"/>
                <w:b/>
              </w:rPr>
            </w:pPr>
            <w:r w:rsidRPr="007C6867">
              <w:rPr>
                <w:rFonts w:ascii="Arial" w:hAnsi="Arial" w:cs="Arial"/>
                <w:b/>
              </w:rPr>
              <w:t>Board</w:t>
            </w:r>
          </w:p>
        </w:tc>
        <w:tc>
          <w:tcPr>
            <w:tcW w:w="555" w:type="pct"/>
          </w:tcPr>
          <w:p w:rsidR="00DB39A6" w:rsidRPr="007C6867" w:rsidRDefault="00DB39A6" w:rsidP="00050455">
            <w:pPr>
              <w:spacing w:after="0"/>
              <w:jc w:val="center"/>
              <w:rPr>
                <w:rFonts w:ascii="Arial" w:hAnsi="Arial" w:cs="Arial"/>
                <w:b/>
              </w:rPr>
            </w:pPr>
            <w:r w:rsidRPr="007C6867">
              <w:rPr>
                <w:rFonts w:ascii="Arial" w:hAnsi="Arial" w:cs="Arial"/>
                <w:b/>
              </w:rPr>
              <w:t>Customer</w:t>
            </w:r>
            <w:r>
              <w:rPr>
                <w:rFonts w:ascii="Arial" w:hAnsi="Arial" w:cs="Arial"/>
                <w:b/>
              </w:rPr>
              <w:t>s</w:t>
            </w:r>
          </w:p>
        </w:tc>
        <w:tc>
          <w:tcPr>
            <w:tcW w:w="556" w:type="pct"/>
          </w:tcPr>
          <w:p w:rsidR="00DB39A6" w:rsidRPr="007C6867" w:rsidRDefault="00DB39A6" w:rsidP="00050455">
            <w:pPr>
              <w:spacing w:after="0"/>
              <w:jc w:val="center"/>
              <w:rPr>
                <w:rFonts w:ascii="Arial" w:hAnsi="Arial" w:cs="Arial"/>
                <w:b/>
              </w:rPr>
            </w:pPr>
            <w:r w:rsidRPr="007C6867">
              <w:rPr>
                <w:rFonts w:ascii="Arial" w:hAnsi="Arial" w:cs="Arial"/>
                <w:b/>
              </w:rPr>
              <w:t>Ofgem</w:t>
            </w:r>
          </w:p>
        </w:tc>
        <w:tc>
          <w:tcPr>
            <w:tcW w:w="499" w:type="pct"/>
          </w:tcPr>
          <w:p w:rsidR="00DB39A6" w:rsidRPr="007C6867" w:rsidRDefault="00DB39A6" w:rsidP="00050455">
            <w:pPr>
              <w:spacing w:after="0"/>
              <w:jc w:val="center"/>
              <w:rPr>
                <w:rFonts w:ascii="Arial" w:hAnsi="Arial" w:cs="Arial"/>
                <w:b/>
              </w:rPr>
            </w:pPr>
            <w:r w:rsidRPr="007C6867">
              <w:rPr>
                <w:rFonts w:ascii="Arial" w:hAnsi="Arial" w:cs="Arial"/>
                <w:b/>
              </w:rPr>
              <w:t>Notes</w:t>
            </w: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Business Plan and Budget</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Budget Amendment</w:t>
            </w:r>
          </w:p>
        </w:tc>
        <w:tc>
          <w:tcPr>
            <w:tcW w:w="311" w:type="pct"/>
            <w:tcBorders>
              <w:bottom w:val="single" w:sz="4" w:space="0" w:color="auto"/>
            </w:tcBorders>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tcBorders>
              <w:bottom w:val="single" w:sz="4" w:space="0" w:color="auto"/>
            </w:tcBorders>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tcBorders>
              <w:bottom w:val="single" w:sz="4" w:space="0" w:color="auto"/>
            </w:tcBorders>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tcPr>
          <w:p w:rsidR="00DB39A6" w:rsidRPr="007C6867" w:rsidRDefault="00DB39A6" w:rsidP="00050455">
            <w:pPr>
              <w:spacing w:after="0"/>
              <w:jc w:val="center"/>
              <w:rPr>
                <w:rFonts w:ascii="Arial" w:hAnsi="Arial" w:cs="Arial"/>
              </w:rPr>
            </w:pPr>
            <w:r w:rsidRPr="007C6867">
              <w:rPr>
                <w:rFonts w:ascii="Arial" w:hAnsi="Arial" w:cs="Arial"/>
              </w:rPr>
              <w:t>N</w:t>
            </w: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Budget Appeal</w:t>
            </w:r>
          </w:p>
        </w:tc>
        <w:tc>
          <w:tcPr>
            <w:tcW w:w="311"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tcPr>
          <w:p w:rsidR="00DB39A6" w:rsidRDefault="00DB39A6" w:rsidP="00050455">
            <w:pPr>
              <w:spacing w:after="0"/>
              <w:jc w:val="center"/>
              <w:rPr>
                <w:rFonts w:ascii="Arial" w:hAnsi="Arial" w:cs="Arial"/>
              </w:rPr>
            </w:pPr>
          </w:p>
        </w:tc>
        <w:tc>
          <w:tcPr>
            <w:tcW w:w="585" w:type="pct"/>
          </w:tcPr>
          <w:p w:rsidR="00DB39A6" w:rsidRDefault="00DB39A6" w:rsidP="00050455">
            <w:pPr>
              <w:spacing w:after="0"/>
              <w:jc w:val="center"/>
              <w:rPr>
                <w:rFonts w:ascii="Arial" w:hAnsi="Arial" w:cs="Arial"/>
              </w:rPr>
            </w:pPr>
            <w:r>
              <w:rPr>
                <w:rFonts w:ascii="Arial" w:hAnsi="Arial" w:cs="Arial"/>
              </w:rPr>
              <w:t>A</w:t>
            </w:r>
            <w:r w:rsidR="00571F97">
              <w:rPr>
                <w:rFonts w:ascii="Arial" w:hAnsi="Arial" w:cs="Arial"/>
              </w:rPr>
              <w:t xml:space="preserve"> </w:t>
            </w:r>
          </w:p>
          <w:p w:rsidR="00571F97" w:rsidRPr="007C6867" w:rsidRDefault="00571F97" w:rsidP="00050455">
            <w:pPr>
              <w:spacing w:after="0"/>
              <w:jc w:val="center"/>
              <w:rPr>
                <w:rFonts w:ascii="Arial" w:hAnsi="Arial" w:cs="Arial"/>
              </w:rPr>
            </w:pPr>
            <w:r>
              <w:rPr>
                <w:rFonts w:ascii="Arial" w:hAnsi="Arial" w:cs="Arial"/>
              </w:rPr>
              <w:t>(Contingency)</w:t>
            </w: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r w:rsidR="00571F97">
              <w:rPr>
                <w:rFonts w:ascii="Arial" w:hAnsi="Arial" w:cs="Arial"/>
              </w:rPr>
              <w:t xml:space="preserve"> (Secondary)</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tcPr>
          <w:p w:rsidR="00571F97" w:rsidRDefault="00DB39A6" w:rsidP="00050455">
            <w:pPr>
              <w:spacing w:after="0"/>
              <w:jc w:val="center"/>
              <w:rPr>
                <w:rFonts w:ascii="Arial" w:hAnsi="Arial" w:cs="Arial"/>
              </w:rPr>
            </w:pPr>
            <w:r w:rsidRPr="007C6867">
              <w:rPr>
                <w:rFonts w:ascii="Arial" w:hAnsi="Arial" w:cs="Arial"/>
              </w:rPr>
              <w:t>A</w:t>
            </w:r>
            <w:r w:rsidR="00571F97">
              <w:rPr>
                <w:rFonts w:ascii="Arial" w:hAnsi="Arial" w:cs="Arial"/>
              </w:rPr>
              <w:t xml:space="preserve"> </w:t>
            </w:r>
          </w:p>
          <w:p w:rsidR="00DB39A6" w:rsidRPr="007C6867" w:rsidRDefault="00571F97" w:rsidP="00050455">
            <w:pPr>
              <w:spacing w:after="0"/>
              <w:jc w:val="center"/>
              <w:rPr>
                <w:rFonts w:ascii="Arial" w:hAnsi="Arial" w:cs="Arial"/>
              </w:rPr>
            </w:pPr>
            <w:r>
              <w:rPr>
                <w:rFonts w:ascii="Arial" w:hAnsi="Arial" w:cs="Arial"/>
              </w:rPr>
              <w:t>(Primary)</w:t>
            </w:r>
          </w:p>
        </w:tc>
        <w:tc>
          <w:tcPr>
            <w:tcW w:w="499" w:type="pct"/>
          </w:tcPr>
          <w:p w:rsidR="00DB39A6" w:rsidRPr="007C6867" w:rsidRDefault="00DB39A6" w:rsidP="00050455">
            <w:pPr>
              <w:spacing w:after="0"/>
              <w:jc w:val="center"/>
              <w:rPr>
                <w:rFonts w:ascii="Arial" w:hAnsi="Arial" w:cs="Arial"/>
              </w:rPr>
            </w:pPr>
            <w:r w:rsidRPr="007C6867">
              <w:rPr>
                <w:rFonts w:ascii="Arial" w:hAnsi="Arial" w:cs="Arial"/>
              </w:rPr>
              <w:t>1</w:t>
            </w: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Change Budget</w:t>
            </w:r>
          </w:p>
        </w:tc>
        <w:tc>
          <w:tcPr>
            <w:tcW w:w="311"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4" w:type="pct"/>
            <w:tcBorders>
              <w:bottom w:val="single" w:sz="4" w:space="0" w:color="auto"/>
            </w:tcBorders>
          </w:tcPr>
          <w:p w:rsidR="00DB39A6" w:rsidRPr="007C6867" w:rsidRDefault="00DB39A6" w:rsidP="00050455">
            <w:pPr>
              <w:spacing w:after="0"/>
              <w:jc w:val="center"/>
              <w:rPr>
                <w:rFonts w:ascii="Arial" w:hAnsi="Arial" w:cs="Arial"/>
              </w:rPr>
            </w:pPr>
            <w:r w:rsidRPr="007C6867">
              <w:rPr>
                <w:rFonts w:ascii="Arial" w:hAnsi="Arial" w:cs="Arial"/>
              </w:rPr>
              <w:t>A</w:t>
            </w:r>
          </w:p>
        </w:tc>
        <w:tc>
          <w:tcPr>
            <w:tcW w:w="333" w:type="pct"/>
            <w:tcBorders>
              <w:bottom w:val="single" w:sz="4" w:space="0" w:color="auto"/>
            </w:tcBorders>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tcBorders>
              <w:bottom w:val="single" w:sz="4" w:space="0" w:color="auto"/>
            </w:tcBorders>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6" w:type="pct"/>
            <w:tcBorders>
              <w:bottom w:val="single" w:sz="4" w:space="0" w:color="auto"/>
            </w:tcBorders>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Business Strategy</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New Service Proposal</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shd w:val="clear" w:color="auto" w:fill="auto"/>
          </w:tcPr>
          <w:p w:rsidR="00DB39A6" w:rsidRPr="007C6867" w:rsidRDefault="00DB39A6" w:rsidP="00050455">
            <w:pPr>
              <w:spacing w:after="0"/>
              <w:jc w:val="center"/>
              <w:rPr>
                <w:rFonts w:ascii="Arial" w:hAnsi="Arial" w:cs="Arial"/>
              </w:rPr>
            </w:pPr>
            <w:r w:rsidRPr="007C6867">
              <w:rPr>
                <w:rFonts w:ascii="Arial" w:hAnsi="Arial" w:cs="Arial"/>
              </w:rPr>
              <w:t>A</w:t>
            </w:r>
          </w:p>
        </w:tc>
        <w:tc>
          <w:tcPr>
            <w:tcW w:w="499" w:type="pct"/>
          </w:tcPr>
          <w:p w:rsidR="00DB39A6" w:rsidRPr="007C6867" w:rsidRDefault="00DB39A6" w:rsidP="00050455">
            <w:pPr>
              <w:spacing w:after="0"/>
              <w:jc w:val="center"/>
              <w:rPr>
                <w:rFonts w:ascii="Arial" w:hAnsi="Arial" w:cs="Arial"/>
              </w:rPr>
            </w:pPr>
            <w:r w:rsidRPr="007C6867">
              <w:rPr>
                <w:rFonts w:ascii="Arial" w:hAnsi="Arial" w:cs="Arial"/>
              </w:rPr>
              <w:t>2</w:t>
            </w: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Credit Risk</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r w:rsidRPr="007C6867">
              <w:rPr>
                <w:rFonts w:ascii="Arial" w:hAnsi="Arial" w:cs="Arial"/>
              </w:rPr>
              <w:t>3</w:t>
            </w: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Audit Programme</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tcBorders>
              <w:bottom w:val="single" w:sz="4" w:space="0" w:color="auto"/>
            </w:tcBorders>
          </w:tcPr>
          <w:p w:rsidR="00DB39A6" w:rsidRPr="007C6867" w:rsidRDefault="00DB39A6" w:rsidP="00050455">
            <w:pPr>
              <w:spacing w:after="0"/>
              <w:jc w:val="center"/>
              <w:rPr>
                <w:rFonts w:ascii="Arial" w:hAnsi="Arial" w:cs="Arial"/>
              </w:rPr>
            </w:pPr>
            <w:r w:rsidRPr="007C6867">
              <w:rPr>
                <w:rFonts w:ascii="Arial" w:hAnsi="Arial" w:cs="Arial"/>
              </w:rPr>
              <w:t>I</w:t>
            </w: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Statutory Accounts</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Remuneration</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jc w:val="left"/>
              <w:rPr>
                <w:rFonts w:ascii="Arial" w:hAnsi="Arial" w:cs="Arial"/>
              </w:rPr>
            </w:pPr>
            <w:r w:rsidRPr="007C6867">
              <w:rPr>
                <w:rFonts w:ascii="Arial" w:hAnsi="Arial" w:cs="Arial"/>
              </w:rPr>
              <w:t>Expenditure Approval</w:t>
            </w:r>
          </w:p>
        </w:tc>
        <w:tc>
          <w:tcPr>
            <w:tcW w:w="311"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shd w:val="clear" w:color="auto" w:fill="BFBFBF" w:themeFill="background1" w:themeFillShade="BF"/>
          </w:tcPr>
          <w:p w:rsidR="00DB39A6" w:rsidRPr="007C6867" w:rsidRDefault="00DB39A6" w:rsidP="00050455">
            <w:pPr>
              <w:spacing w:after="0"/>
              <w:jc w:val="center"/>
              <w:rPr>
                <w:rFonts w:ascii="Arial" w:hAnsi="Arial" w:cs="Arial"/>
              </w:rPr>
            </w:pPr>
          </w:p>
        </w:tc>
        <w:tc>
          <w:tcPr>
            <w:tcW w:w="58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38" w:type="pct"/>
          </w:tcPr>
          <w:p w:rsidR="00DB39A6" w:rsidRPr="007C6867" w:rsidRDefault="00DB39A6" w:rsidP="00050455">
            <w:pPr>
              <w:spacing w:after="0"/>
              <w:jc w:val="center"/>
              <w:rPr>
                <w:rFonts w:ascii="Arial" w:hAnsi="Arial" w:cs="Arial"/>
              </w:rPr>
            </w:pPr>
            <w:r w:rsidRPr="007C6867">
              <w:rPr>
                <w:rFonts w:ascii="Arial" w:hAnsi="Arial" w:cs="Arial"/>
              </w:rPr>
              <w:t>A</w:t>
            </w:r>
          </w:p>
        </w:tc>
        <w:tc>
          <w:tcPr>
            <w:tcW w:w="55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DB39A6" w:rsidRPr="007C6867" w:rsidTr="004A58E6">
        <w:trPr>
          <w:jc w:val="center"/>
        </w:trPr>
        <w:tc>
          <w:tcPr>
            <w:tcW w:w="1040" w:type="pct"/>
          </w:tcPr>
          <w:p w:rsidR="00DB39A6" w:rsidRPr="007C6867" w:rsidRDefault="00DB39A6" w:rsidP="00050455">
            <w:pPr>
              <w:spacing w:after="0"/>
              <w:rPr>
                <w:rFonts w:ascii="Arial" w:hAnsi="Arial" w:cs="Arial"/>
              </w:rPr>
            </w:pPr>
            <w:r>
              <w:rPr>
                <w:rFonts w:ascii="Arial" w:hAnsi="Arial" w:cs="Arial"/>
              </w:rPr>
              <w:t>Regulatory Information Provision (GT Licence SSC A26)</w:t>
            </w:r>
          </w:p>
        </w:tc>
        <w:tc>
          <w:tcPr>
            <w:tcW w:w="311" w:type="pct"/>
          </w:tcPr>
          <w:p w:rsidR="00DB39A6" w:rsidRPr="007C6867" w:rsidRDefault="00DB39A6" w:rsidP="00050455">
            <w:pPr>
              <w:spacing w:after="0"/>
              <w:jc w:val="center"/>
              <w:rPr>
                <w:rFonts w:ascii="Arial" w:hAnsi="Arial" w:cs="Arial"/>
              </w:rPr>
            </w:pPr>
          </w:p>
        </w:tc>
        <w:tc>
          <w:tcPr>
            <w:tcW w:w="494"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333"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89" w:type="pct"/>
            <w:vMerge/>
          </w:tcPr>
          <w:p w:rsidR="00DB39A6" w:rsidRDefault="00DB39A6" w:rsidP="00050455">
            <w:pPr>
              <w:spacing w:after="0"/>
              <w:jc w:val="center"/>
              <w:rPr>
                <w:rFonts w:ascii="Arial" w:hAnsi="Arial" w:cs="Arial"/>
              </w:rPr>
            </w:pPr>
          </w:p>
        </w:tc>
        <w:tc>
          <w:tcPr>
            <w:tcW w:w="585" w:type="pct"/>
            <w:shd w:val="clear" w:color="auto" w:fill="auto"/>
          </w:tcPr>
          <w:p w:rsidR="00DB39A6" w:rsidRPr="007C6867" w:rsidRDefault="00DB39A6" w:rsidP="00050455">
            <w:pPr>
              <w:spacing w:after="0"/>
              <w:jc w:val="center"/>
              <w:rPr>
                <w:rFonts w:ascii="Arial" w:hAnsi="Arial" w:cs="Arial"/>
              </w:rPr>
            </w:pPr>
            <w:r>
              <w:rPr>
                <w:rFonts w:ascii="Arial" w:hAnsi="Arial" w:cs="Arial"/>
              </w:rPr>
              <w:t>A</w:t>
            </w:r>
          </w:p>
        </w:tc>
        <w:tc>
          <w:tcPr>
            <w:tcW w:w="538"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5"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556" w:type="pct"/>
            <w:shd w:val="clear" w:color="auto" w:fill="BFBFBF" w:themeFill="background1" w:themeFillShade="BF"/>
          </w:tcPr>
          <w:p w:rsidR="00DB39A6" w:rsidRPr="007C6867" w:rsidRDefault="00DB39A6" w:rsidP="00050455">
            <w:pPr>
              <w:spacing w:after="0"/>
              <w:jc w:val="center"/>
              <w:rPr>
                <w:rFonts w:ascii="Arial" w:hAnsi="Arial" w:cs="Arial"/>
              </w:rPr>
            </w:pPr>
          </w:p>
        </w:tc>
        <w:tc>
          <w:tcPr>
            <w:tcW w:w="499" w:type="pct"/>
          </w:tcPr>
          <w:p w:rsidR="00DB39A6" w:rsidRPr="007C6867" w:rsidRDefault="00DB39A6" w:rsidP="00050455">
            <w:pPr>
              <w:spacing w:after="0"/>
              <w:jc w:val="center"/>
              <w:rPr>
                <w:rFonts w:ascii="Arial" w:hAnsi="Arial" w:cs="Arial"/>
              </w:rPr>
            </w:pPr>
          </w:p>
        </w:tc>
      </w:tr>
      <w:tr w:rsidR="0004180F" w:rsidRPr="007C6867" w:rsidTr="0004180F">
        <w:trPr>
          <w:jc w:val="center"/>
        </w:trPr>
        <w:tc>
          <w:tcPr>
            <w:tcW w:w="5000" w:type="pct"/>
            <w:gridSpan w:val="10"/>
          </w:tcPr>
          <w:p w:rsidR="0004180F" w:rsidRPr="0004180F" w:rsidRDefault="0004180F" w:rsidP="0004180F">
            <w:pPr>
              <w:spacing w:after="0"/>
              <w:jc w:val="left"/>
              <w:rPr>
                <w:rFonts w:ascii="Arial" w:hAnsi="Arial" w:cs="Arial"/>
              </w:rPr>
            </w:pPr>
            <w:r w:rsidRPr="0004180F">
              <w:rPr>
                <w:rFonts w:ascii="Arial" w:hAnsi="Arial" w:cs="Arial"/>
              </w:rPr>
              <w:t>A = Approver; I = Influencer; N = Notified</w:t>
            </w:r>
          </w:p>
        </w:tc>
      </w:tr>
    </w:tbl>
    <w:p w:rsidR="007C6867" w:rsidRPr="007C6867" w:rsidRDefault="007C6867" w:rsidP="007C6867">
      <w:pPr>
        <w:spacing w:after="0"/>
        <w:rPr>
          <w:rFonts w:ascii="Arial" w:hAnsi="Arial" w:cs="Arial"/>
          <w:b/>
          <w:sz w:val="20"/>
          <w:szCs w:val="20"/>
        </w:rPr>
      </w:pPr>
    </w:p>
    <w:p w:rsidR="007C6867" w:rsidRPr="007C6867" w:rsidRDefault="007C6867" w:rsidP="007C6867">
      <w:pPr>
        <w:spacing w:after="0"/>
        <w:rPr>
          <w:rFonts w:ascii="Arial" w:hAnsi="Arial" w:cs="Arial"/>
          <w:sz w:val="20"/>
          <w:szCs w:val="20"/>
        </w:rPr>
      </w:pPr>
      <w:r w:rsidRPr="007C6867">
        <w:rPr>
          <w:rFonts w:ascii="Arial" w:hAnsi="Arial" w:cs="Arial"/>
          <w:sz w:val="20"/>
          <w:szCs w:val="20"/>
          <w:u w:val="single"/>
        </w:rPr>
        <w:t>Notes</w:t>
      </w:r>
    </w:p>
    <w:p w:rsidR="007C6867" w:rsidRPr="007C6867" w:rsidRDefault="007C6867" w:rsidP="007C6867">
      <w:pPr>
        <w:spacing w:after="0"/>
        <w:rPr>
          <w:rFonts w:ascii="Arial" w:hAnsi="Arial" w:cs="Arial"/>
          <w:sz w:val="20"/>
          <w:szCs w:val="20"/>
        </w:rPr>
      </w:pPr>
    </w:p>
    <w:p w:rsidR="007C6867" w:rsidRPr="007C6867" w:rsidRDefault="00571F97" w:rsidP="007C6867">
      <w:pPr>
        <w:pStyle w:val="ListParagraph"/>
        <w:numPr>
          <w:ilvl w:val="0"/>
          <w:numId w:val="2"/>
        </w:numPr>
        <w:spacing w:after="240" w:line="360" w:lineRule="auto"/>
        <w:jc w:val="both"/>
        <w:rPr>
          <w:rFonts w:ascii="Arial" w:hAnsi="Arial" w:cs="Arial"/>
          <w:sz w:val="20"/>
          <w:szCs w:val="20"/>
        </w:rPr>
      </w:pPr>
      <w:r>
        <w:rPr>
          <w:rFonts w:ascii="Arial" w:hAnsi="Arial" w:cs="Arial"/>
          <w:sz w:val="20"/>
          <w:szCs w:val="20"/>
        </w:rPr>
        <w:t>I</w:t>
      </w:r>
      <w:r w:rsidR="007C6867" w:rsidRPr="007C6867">
        <w:rPr>
          <w:rFonts w:ascii="Arial" w:hAnsi="Arial" w:cs="Arial"/>
          <w:sz w:val="20"/>
          <w:szCs w:val="20"/>
        </w:rPr>
        <w:t xml:space="preserve">n the event of a Budget Appeal, </w:t>
      </w:r>
      <w:r>
        <w:rPr>
          <w:rFonts w:ascii="Arial" w:hAnsi="Arial" w:cs="Arial"/>
          <w:sz w:val="20"/>
          <w:szCs w:val="20"/>
        </w:rPr>
        <w:t xml:space="preserve">the primary approval sits with </w:t>
      </w:r>
      <w:r w:rsidR="007C6867" w:rsidRPr="007C6867">
        <w:rPr>
          <w:rFonts w:ascii="Arial" w:hAnsi="Arial" w:cs="Arial"/>
          <w:sz w:val="20"/>
          <w:szCs w:val="20"/>
        </w:rPr>
        <w:t xml:space="preserve">Ofgem </w:t>
      </w:r>
      <w:r>
        <w:rPr>
          <w:rFonts w:ascii="Arial" w:hAnsi="Arial" w:cs="Arial"/>
          <w:sz w:val="20"/>
          <w:szCs w:val="20"/>
        </w:rPr>
        <w:t>to</w:t>
      </w:r>
      <w:r w:rsidR="007C6867" w:rsidRPr="007C6867">
        <w:rPr>
          <w:rFonts w:ascii="Arial" w:hAnsi="Arial" w:cs="Arial"/>
          <w:sz w:val="20"/>
          <w:szCs w:val="20"/>
        </w:rPr>
        <w:t xml:space="preserve"> de</w:t>
      </w:r>
      <w:r>
        <w:rPr>
          <w:rFonts w:ascii="Arial" w:hAnsi="Arial" w:cs="Arial"/>
          <w:sz w:val="20"/>
          <w:szCs w:val="20"/>
        </w:rPr>
        <w:t>termine</w:t>
      </w:r>
      <w:r w:rsidR="007C6867" w:rsidRPr="007C6867">
        <w:rPr>
          <w:rFonts w:ascii="Arial" w:hAnsi="Arial" w:cs="Arial"/>
          <w:sz w:val="20"/>
          <w:szCs w:val="20"/>
        </w:rPr>
        <w:t xml:space="preserve"> the outcome of the Appeal</w:t>
      </w:r>
      <w:r>
        <w:rPr>
          <w:rFonts w:ascii="Arial" w:hAnsi="Arial" w:cs="Arial"/>
          <w:sz w:val="20"/>
          <w:szCs w:val="20"/>
        </w:rPr>
        <w:t>.  S</w:t>
      </w:r>
      <w:r w:rsidR="007C6867" w:rsidRPr="007C6867">
        <w:rPr>
          <w:rFonts w:ascii="Arial" w:hAnsi="Arial" w:cs="Arial"/>
          <w:sz w:val="20"/>
          <w:szCs w:val="20"/>
        </w:rPr>
        <w:t>econdly</w:t>
      </w:r>
      <w:r>
        <w:rPr>
          <w:rFonts w:ascii="Arial" w:hAnsi="Arial" w:cs="Arial"/>
          <w:sz w:val="20"/>
          <w:szCs w:val="20"/>
        </w:rPr>
        <w:t>,</w:t>
      </w:r>
      <w:r w:rsidR="007C6867" w:rsidRPr="007C6867">
        <w:rPr>
          <w:rFonts w:ascii="Arial" w:hAnsi="Arial" w:cs="Arial"/>
          <w:sz w:val="20"/>
          <w:szCs w:val="20"/>
        </w:rPr>
        <w:t xml:space="preserve"> the Board </w:t>
      </w:r>
      <w:r>
        <w:rPr>
          <w:rFonts w:ascii="Arial" w:hAnsi="Arial" w:cs="Arial"/>
          <w:sz w:val="20"/>
          <w:szCs w:val="20"/>
        </w:rPr>
        <w:t xml:space="preserve">is required </w:t>
      </w:r>
      <w:r w:rsidR="007C6867" w:rsidRPr="007C6867">
        <w:rPr>
          <w:rFonts w:ascii="Arial" w:hAnsi="Arial" w:cs="Arial"/>
          <w:sz w:val="20"/>
          <w:szCs w:val="20"/>
        </w:rPr>
        <w:t>to approve the restated Budget</w:t>
      </w:r>
      <w:r>
        <w:rPr>
          <w:rFonts w:ascii="Arial" w:hAnsi="Arial" w:cs="Arial"/>
          <w:sz w:val="20"/>
          <w:szCs w:val="20"/>
        </w:rPr>
        <w:t xml:space="preserve"> as determined by Ofgem</w:t>
      </w:r>
      <w:r w:rsidR="007C6867" w:rsidRPr="007C6867">
        <w:rPr>
          <w:rFonts w:ascii="Arial" w:hAnsi="Arial" w:cs="Arial"/>
          <w:sz w:val="20"/>
          <w:szCs w:val="20"/>
        </w:rPr>
        <w:t xml:space="preserve">.  </w:t>
      </w:r>
      <w:r>
        <w:rPr>
          <w:rFonts w:ascii="Arial" w:hAnsi="Arial" w:cs="Arial"/>
          <w:sz w:val="20"/>
          <w:szCs w:val="20"/>
        </w:rPr>
        <w:t>As a contingency, i</w:t>
      </w:r>
      <w:r w:rsidR="007C6867" w:rsidRPr="007C6867">
        <w:rPr>
          <w:rFonts w:ascii="Arial" w:hAnsi="Arial" w:cs="Arial"/>
          <w:sz w:val="20"/>
          <w:szCs w:val="20"/>
        </w:rPr>
        <w:t xml:space="preserve">f </w:t>
      </w:r>
      <w:r>
        <w:rPr>
          <w:rFonts w:ascii="Arial" w:hAnsi="Arial" w:cs="Arial"/>
          <w:sz w:val="20"/>
          <w:szCs w:val="20"/>
        </w:rPr>
        <w:t>the Company</w:t>
      </w:r>
      <w:r w:rsidR="007C6867" w:rsidRPr="007C6867">
        <w:rPr>
          <w:rFonts w:ascii="Arial" w:hAnsi="Arial" w:cs="Arial"/>
          <w:sz w:val="20"/>
          <w:szCs w:val="20"/>
        </w:rPr>
        <w:t xml:space="preserve"> fails (or is likely to fail) to comply with Ofgem’s </w:t>
      </w:r>
      <w:r>
        <w:rPr>
          <w:rFonts w:ascii="Arial" w:hAnsi="Arial" w:cs="Arial"/>
          <w:sz w:val="20"/>
          <w:szCs w:val="20"/>
        </w:rPr>
        <w:t>determina</w:t>
      </w:r>
      <w:r w:rsidR="007C6867" w:rsidRPr="007C6867">
        <w:rPr>
          <w:rFonts w:ascii="Arial" w:hAnsi="Arial" w:cs="Arial"/>
          <w:sz w:val="20"/>
          <w:szCs w:val="20"/>
        </w:rPr>
        <w:t xml:space="preserve">tion, </w:t>
      </w:r>
      <w:r>
        <w:rPr>
          <w:rFonts w:ascii="Arial" w:hAnsi="Arial" w:cs="Arial"/>
          <w:sz w:val="20"/>
          <w:szCs w:val="20"/>
        </w:rPr>
        <w:t xml:space="preserve">the </w:t>
      </w:r>
      <w:r w:rsidR="007C6867" w:rsidRPr="007C6867">
        <w:rPr>
          <w:rFonts w:ascii="Arial" w:hAnsi="Arial" w:cs="Arial"/>
          <w:sz w:val="20"/>
          <w:szCs w:val="20"/>
        </w:rPr>
        <w:t xml:space="preserve">Shareholders can require </w:t>
      </w:r>
      <w:r>
        <w:rPr>
          <w:rFonts w:ascii="Arial" w:hAnsi="Arial" w:cs="Arial"/>
          <w:sz w:val="20"/>
          <w:szCs w:val="20"/>
        </w:rPr>
        <w:t>the Company</w:t>
      </w:r>
      <w:r w:rsidR="007C6867" w:rsidRPr="007C6867">
        <w:rPr>
          <w:rFonts w:ascii="Arial" w:hAnsi="Arial" w:cs="Arial"/>
          <w:sz w:val="20"/>
          <w:szCs w:val="20"/>
        </w:rPr>
        <w:t xml:space="preserve"> to change the Budget as d</w:t>
      </w:r>
      <w:r>
        <w:rPr>
          <w:rFonts w:ascii="Arial" w:hAnsi="Arial" w:cs="Arial"/>
          <w:sz w:val="20"/>
          <w:szCs w:val="20"/>
        </w:rPr>
        <w:t>e</w:t>
      </w:r>
      <w:r w:rsidR="007C6867" w:rsidRPr="007C6867">
        <w:rPr>
          <w:rFonts w:ascii="Arial" w:hAnsi="Arial" w:cs="Arial"/>
          <w:sz w:val="20"/>
          <w:szCs w:val="20"/>
        </w:rPr>
        <w:t>t</w:t>
      </w:r>
      <w:r>
        <w:rPr>
          <w:rFonts w:ascii="Arial" w:hAnsi="Arial" w:cs="Arial"/>
          <w:sz w:val="20"/>
          <w:szCs w:val="20"/>
        </w:rPr>
        <w:t>ermin</w:t>
      </w:r>
      <w:r w:rsidR="007C6867" w:rsidRPr="007C6867">
        <w:rPr>
          <w:rFonts w:ascii="Arial" w:hAnsi="Arial" w:cs="Arial"/>
          <w:sz w:val="20"/>
          <w:szCs w:val="20"/>
        </w:rPr>
        <w:t xml:space="preserve">ed by Ofgem.  </w:t>
      </w:r>
    </w:p>
    <w:p w:rsidR="007C6867" w:rsidRPr="007C6867" w:rsidRDefault="007C6867" w:rsidP="007C6867">
      <w:pPr>
        <w:pStyle w:val="ListParagraph"/>
        <w:numPr>
          <w:ilvl w:val="0"/>
          <w:numId w:val="2"/>
        </w:numPr>
        <w:spacing w:after="240" w:line="360" w:lineRule="auto"/>
        <w:jc w:val="both"/>
        <w:rPr>
          <w:rFonts w:ascii="Arial" w:hAnsi="Arial" w:cs="Arial"/>
          <w:sz w:val="20"/>
          <w:szCs w:val="20"/>
        </w:rPr>
      </w:pPr>
      <w:r w:rsidRPr="007C6867">
        <w:rPr>
          <w:rFonts w:ascii="Arial" w:hAnsi="Arial" w:cs="Arial"/>
          <w:sz w:val="20"/>
          <w:szCs w:val="20"/>
        </w:rPr>
        <w:t>The Board is required to approve any new business activity that is outside of Xoserve’s normal scope of business (as defined by its business strategy).  Where the proposed service falls (or may fall) outside of the definition of “CDSP Services”, Ofgem approval to provide the service is required.</w:t>
      </w:r>
    </w:p>
    <w:p w:rsidR="007C6867" w:rsidRDefault="007C6867" w:rsidP="00BD2ECE">
      <w:pPr>
        <w:pStyle w:val="ListParagraph"/>
        <w:numPr>
          <w:ilvl w:val="0"/>
          <w:numId w:val="2"/>
        </w:numPr>
        <w:spacing w:after="240" w:line="360" w:lineRule="auto"/>
        <w:jc w:val="both"/>
        <w:rPr>
          <w:rFonts w:ascii="Arial" w:hAnsi="Arial" w:cs="Arial"/>
          <w:sz w:val="20"/>
          <w:szCs w:val="20"/>
        </w:rPr>
      </w:pPr>
      <w:r w:rsidRPr="007C6867">
        <w:rPr>
          <w:rFonts w:ascii="Arial" w:hAnsi="Arial" w:cs="Arial"/>
          <w:sz w:val="20"/>
          <w:szCs w:val="20"/>
        </w:rPr>
        <w:t>The primary responsibility for the management of credit risk sits with customers (DSC Credit Committee).  Board approval is required only where Xoserve settles a claim in relation to a financial default that exceeds £0.5m.</w:t>
      </w:r>
    </w:p>
    <w:p w:rsidR="002C741D" w:rsidRPr="002C741D" w:rsidRDefault="002C741D" w:rsidP="007B54B3">
      <w:pPr>
        <w:spacing w:line="360" w:lineRule="auto"/>
        <w:jc w:val="both"/>
        <w:rPr>
          <w:rFonts w:ascii="Arial" w:hAnsi="Arial" w:cs="Arial"/>
          <w:sz w:val="20"/>
          <w:szCs w:val="20"/>
          <w:u w:val="single"/>
        </w:rPr>
      </w:pPr>
      <w:r>
        <w:rPr>
          <w:rFonts w:ascii="Arial" w:hAnsi="Arial" w:cs="Arial"/>
          <w:sz w:val="20"/>
          <w:szCs w:val="20"/>
          <w:u w:val="single"/>
        </w:rPr>
        <w:t>Shareholder Powers and Matters</w:t>
      </w:r>
    </w:p>
    <w:p w:rsidR="002C741D" w:rsidRDefault="002C741D" w:rsidP="002C741D">
      <w:pPr>
        <w:spacing w:line="360" w:lineRule="auto"/>
        <w:jc w:val="both"/>
        <w:rPr>
          <w:rFonts w:ascii="Arial" w:hAnsi="Arial" w:cs="Arial"/>
          <w:sz w:val="20"/>
          <w:szCs w:val="20"/>
        </w:rPr>
      </w:pPr>
      <w:r w:rsidRPr="002C741D">
        <w:rPr>
          <w:rFonts w:ascii="Arial" w:hAnsi="Arial" w:cs="Arial"/>
          <w:sz w:val="20"/>
          <w:szCs w:val="20"/>
        </w:rPr>
        <w:t xml:space="preserve">Shareholder Reserve Matters and Shareholder Consent Matters are more limited </w:t>
      </w:r>
      <w:r>
        <w:rPr>
          <w:rFonts w:ascii="Arial" w:hAnsi="Arial" w:cs="Arial"/>
          <w:sz w:val="20"/>
          <w:szCs w:val="20"/>
        </w:rPr>
        <w:t xml:space="preserve">in their scope </w:t>
      </w:r>
      <w:r w:rsidRPr="002C741D">
        <w:rPr>
          <w:rFonts w:ascii="Arial" w:hAnsi="Arial" w:cs="Arial"/>
          <w:sz w:val="20"/>
          <w:szCs w:val="20"/>
        </w:rPr>
        <w:t>under the New Model</w:t>
      </w:r>
      <w:r>
        <w:rPr>
          <w:rFonts w:ascii="Arial" w:hAnsi="Arial" w:cs="Arial"/>
          <w:sz w:val="20"/>
          <w:szCs w:val="20"/>
        </w:rPr>
        <w:t xml:space="preserve"> when compared to the Old</w:t>
      </w:r>
      <w:r w:rsidRPr="002C741D">
        <w:rPr>
          <w:rFonts w:ascii="Arial" w:hAnsi="Arial" w:cs="Arial"/>
          <w:sz w:val="20"/>
          <w:szCs w:val="20"/>
        </w:rPr>
        <w:t>.</w:t>
      </w:r>
    </w:p>
    <w:p w:rsidR="002C741D" w:rsidRDefault="003B31DA" w:rsidP="002C741D">
      <w:pPr>
        <w:spacing w:line="360" w:lineRule="auto"/>
        <w:jc w:val="both"/>
        <w:rPr>
          <w:rFonts w:ascii="Arial" w:hAnsi="Arial" w:cs="Arial"/>
          <w:sz w:val="20"/>
          <w:szCs w:val="20"/>
        </w:rPr>
      </w:pPr>
      <w:r w:rsidRPr="002C741D">
        <w:rPr>
          <w:rFonts w:ascii="Arial" w:hAnsi="Arial" w:cs="Arial"/>
          <w:sz w:val="20"/>
          <w:szCs w:val="20"/>
        </w:rPr>
        <w:t>In addition to the two Shareholder Reserve Powers noted in the table</w:t>
      </w:r>
      <w:r w:rsidR="00DB39A6" w:rsidRPr="002C741D">
        <w:rPr>
          <w:rFonts w:ascii="Arial" w:hAnsi="Arial" w:cs="Arial"/>
          <w:sz w:val="20"/>
          <w:szCs w:val="20"/>
        </w:rPr>
        <w:t xml:space="preserve"> (Budget Appeal and Regulatory Information Provision)</w:t>
      </w:r>
      <w:r w:rsidRPr="002C741D">
        <w:rPr>
          <w:rFonts w:ascii="Arial" w:hAnsi="Arial" w:cs="Arial"/>
          <w:sz w:val="20"/>
          <w:szCs w:val="20"/>
        </w:rPr>
        <w:t xml:space="preserve">, </w:t>
      </w:r>
      <w:r w:rsidR="00DB39A6" w:rsidRPr="002C741D">
        <w:rPr>
          <w:rFonts w:ascii="Arial" w:hAnsi="Arial" w:cs="Arial"/>
          <w:sz w:val="20"/>
          <w:szCs w:val="20"/>
        </w:rPr>
        <w:t xml:space="preserve">under the New Model </w:t>
      </w:r>
      <w:r w:rsidRPr="002C741D">
        <w:rPr>
          <w:rFonts w:ascii="Arial" w:hAnsi="Arial" w:cs="Arial"/>
          <w:sz w:val="20"/>
          <w:szCs w:val="20"/>
        </w:rPr>
        <w:t xml:space="preserve">there are </w:t>
      </w:r>
      <w:r w:rsidR="00DB39A6" w:rsidRPr="002C741D">
        <w:rPr>
          <w:rFonts w:ascii="Arial" w:hAnsi="Arial" w:cs="Arial"/>
          <w:sz w:val="20"/>
          <w:szCs w:val="20"/>
        </w:rPr>
        <w:t xml:space="preserve">some </w:t>
      </w:r>
      <w:r w:rsidR="006D6FED" w:rsidRPr="002C741D">
        <w:rPr>
          <w:rFonts w:ascii="Arial" w:hAnsi="Arial" w:cs="Arial"/>
          <w:sz w:val="20"/>
          <w:szCs w:val="20"/>
        </w:rPr>
        <w:t>Shareholder</w:t>
      </w:r>
      <w:r w:rsidRPr="002C741D">
        <w:rPr>
          <w:rFonts w:ascii="Arial" w:hAnsi="Arial" w:cs="Arial"/>
          <w:sz w:val="20"/>
          <w:szCs w:val="20"/>
        </w:rPr>
        <w:t xml:space="preserve"> Consent Matters in relation to which the prior written consent of all Shareholders is required including:</w:t>
      </w:r>
    </w:p>
    <w:p w:rsidR="002C741D" w:rsidRDefault="002C741D" w:rsidP="002C741D">
      <w:pPr>
        <w:spacing w:line="360" w:lineRule="auto"/>
        <w:ind w:left="720"/>
        <w:jc w:val="both"/>
        <w:rPr>
          <w:rFonts w:ascii="Arial" w:hAnsi="Arial" w:cs="Arial"/>
          <w:sz w:val="20"/>
          <w:szCs w:val="20"/>
        </w:rPr>
      </w:pPr>
      <w:r>
        <w:rPr>
          <w:rFonts w:ascii="Arial" w:hAnsi="Arial" w:cs="Arial"/>
          <w:sz w:val="20"/>
          <w:szCs w:val="20"/>
        </w:rPr>
        <w:t>(a) A</w:t>
      </w:r>
      <w:r w:rsidR="003B31DA" w:rsidRPr="002C741D">
        <w:rPr>
          <w:rFonts w:ascii="Arial" w:hAnsi="Arial" w:cs="Arial"/>
          <w:sz w:val="20"/>
          <w:szCs w:val="20"/>
        </w:rPr>
        <w:t>ny amendment to the Articles which will, in the opinion of a Shareholder</w:t>
      </w:r>
      <w:r w:rsidR="007B76D9" w:rsidRPr="002C741D">
        <w:rPr>
          <w:rFonts w:ascii="Arial" w:hAnsi="Arial" w:cs="Arial"/>
          <w:sz w:val="20"/>
          <w:szCs w:val="20"/>
        </w:rPr>
        <w:t>,</w:t>
      </w:r>
      <w:r w:rsidR="003B31DA" w:rsidRPr="002C741D">
        <w:rPr>
          <w:rFonts w:ascii="Arial" w:hAnsi="Arial" w:cs="Arial"/>
          <w:sz w:val="20"/>
          <w:szCs w:val="20"/>
        </w:rPr>
        <w:t xml:space="preserve"> result in that Shareholder breaching its GT Licence;</w:t>
      </w:r>
    </w:p>
    <w:p w:rsidR="002C741D" w:rsidRDefault="002C741D" w:rsidP="002C741D">
      <w:pPr>
        <w:spacing w:line="360" w:lineRule="auto"/>
        <w:ind w:left="720"/>
        <w:jc w:val="both"/>
        <w:rPr>
          <w:rFonts w:ascii="Arial" w:hAnsi="Arial" w:cs="Arial"/>
          <w:sz w:val="20"/>
          <w:szCs w:val="20"/>
        </w:rPr>
      </w:pPr>
      <w:r>
        <w:rPr>
          <w:rFonts w:ascii="Arial" w:hAnsi="Arial" w:cs="Arial"/>
          <w:sz w:val="20"/>
          <w:szCs w:val="20"/>
        </w:rPr>
        <w:t>(b) P</w:t>
      </w:r>
      <w:r w:rsidR="003B31DA" w:rsidRPr="002C741D">
        <w:rPr>
          <w:rFonts w:ascii="Arial" w:hAnsi="Arial" w:cs="Arial"/>
          <w:sz w:val="20"/>
          <w:szCs w:val="20"/>
        </w:rPr>
        <w:t>assing</w:t>
      </w:r>
      <w:r w:rsidR="007B76D9" w:rsidRPr="002C741D">
        <w:rPr>
          <w:rFonts w:ascii="Arial" w:hAnsi="Arial" w:cs="Arial"/>
          <w:sz w:val="20"/>
          <w:szCs w:val="20"/>
        </w:rPr>
        <w:t xml:space="preserve"> of any resolution or presenting a petition for the Xoserve</w:t>
      </w:r>
      <w:r w:rsidR="003B31DA" w:rsidRPr="002C741D">
        <w:rPr>
          <w:rFonts w:ascii="Arial" w:hAnsi="Arial" w:cs="Arial"/>
          <w:sz w:val="20"/>
          <w:szCs w:val="20"/>
        </w:rPr>
        <w:t>’s winding up (unless</w:t>
      </w:r>
      <w:r w:rsidR="007B76D9" w:rsidRPr="002C741D">
        <w:rPr>
          <w:rFonts w:ascii="Arial" w:hAnsi="Arial" w:cs="Arial"/>
          <w:sz w:val="20"/>
          <w:szCs w:val="20"/>
        </w:rPr>
        <w:t xml:space="preserve"> Xoserve</w:t>
      </w:r>
      <w:r w:rsidR="003B31DA" w:rsidRPr="002C741D">
        <w:rPr>
          <w:rFonts w:ascii="Arial" w:hAnsi="Arial" w:cs="Arial"/>
          <w:sz w:val="20"/>
          <w:szCs w:val="20"/>
        </w:rPr>
        <w:t xml:space="preserve"> is insolvent);</w:t>
      </w:r>
    </w:p>
    <w:p w:rsidR="002C741D" w:rsidRDefault="002C741D" w:rsidP="002C741D">
      <w:pPr>
        <w:spacing w:line="360" w:lineRule="auto"/>
        <w:ind w:left="720"/>
        <w:jc w:val="both"/>
        <w:rPr>
          <w:rFonts w:ascii="Arial" w:hAnsi="Arial" w:cs="Arial"/>
          <w:sz w:val="20"/>
          <w:szCs w:val="20"/>
        </w:rPr>
      </w:pPr>
      <w:r>
        <w:rPr>
          <w:rFonts w:ascii="Arial" w:hAnsi="Arial" w:cs="Arial"/>
          <w:sz w:val="20"/>
          <w:szCs w:val="20"/>
        </w:rPr>
        <w:t>(c) E</w:t>
      </w:r>
      <w:r w:rsidR="003B31DA" w:rsidRPr="002C741D">
        <w:rPr>
          <w:rFonts w:ascii="Arial" w:hAnsi="Arial" w:cs="Arial"/>
          <w:sz w:val="20"/>
          <w:szCs w:val="20"/>
        </w:rPr>
        <w:t>ntering into a scheme of arrangement or merger; and</w:t>
      </w:r>
    </w:p>
    <w:p w:rsidR="003B31DA" w:rsidRDefault="002C741D" w:rsidP="002C741D">
      <w:pPr>
        <w:spacing w:line="360" w:lineRule="auto"/>
        <w:ind w:left="72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d</w:t>
      </w:r>
      <w:proofErr w:type="gramEnd"/>
      <w:r>
        <w:rPr>
          <w:rFonts w:ascii="Arial" w:hAnsi="Arial" w:cs="Arial"/>
          <w:sz w:val="20"/>
          <w:szCs w:val="20"/>
        </w:rPr>
        <w:t>) S</w:t>
      </w:r>
      <w:r w:rsidR="003B31DA" w:rsidRPr="002C741D">
        <w:rPr>
          <w:rFonts w:ascii="Arial" w:hAnsi="Arial" w:cs="Arial"/>
          <w:sz w:val="20"/>
          <w:szCs w:val="20"/>
        </w:rPr>
        <w:t>ubject to certain exceptions, the issue or allotment of share</w:t>
      </w:r>
      <w:r>
        <w:rPr>
          <w:rFonts w:ascii="Arial" w:hAnsi="Arial" w:cs="Arial"/>
          <w:sz w:val="20"/>
          <w:szCs w:val="20"/>
        </w:rPr>
        <w:t>s in the capital of the Company.</w:t>
      </w:r>
    </w:p>
    <w:p w:rsidR="002C741D" w:rsidRPr="002C741D" w:rsidRDefault="002C741D">
      <w:pPr>
        <w:spacing w:line="360" w:lineRule="auto"/>
        <w:jc w:val="both"/>
        <w:rPr>
          <w:rFonts w:ascii="Arial" w:hAnsi="Arial" w:cs="Arial"/>
          <w:sz w:val="20"/>
          <w:szCs w:val="20"/>
        </w:rPr>
      </w:pPr>
    </w:p>
    <w:sectPr w:rsidR="002C741D" w:rsidRPr="002C741D" w:rsidSect="004A58E6">
      <w:footerReference w:type="default" r:id="rId8"/>
      <w:pgSz w:w="16838" w:h="11906"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CB" w:rsidRDefault="008F04CB" w:rsidP="00297E2A">
      <w:pPr>
        <w:spacing w:after="0" w:line="240" w:lineRule="auto"/>
      </w:pPr>
      <w:r>
        <w:separator/>
      </w:r>
    </w:p>
  </w:endnote>
  <w:endnote w:type="continuationSeparator" w:id="0">
    <w:p w:rsidR="008F04CB" w:rsidRDefault="008F04CB" w:rsidP="0029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2A" w:rsidRDefault="00297E2A">
    <w:pPr>
      <w:pStyle w:val="Footer"/>
      <w:pBdr>
        <w:bottom w:val="single" w:sz="6" w:space="1" w:color="auto"/>
      </w:pBdr>
    </w:pPr>
  </w:p>
  <w:p w:rsidR="00F3782A" w:rsidRPr="00F3782A" w:rsidRDefault="00F3782A">
    <w:pPr>
      <w:pStyle w:val="Footer"/>
      <w:rPr>
        <w:rFonts w:ascii="Arial" w:hAnsi="Arial" w:cs="Arial"/>
        <w:sz w:val="16"/>
        <w:szCs w:val="16"/>
      </w:rPr>
    </w:pPr>
    <w:r w:rsidRPr="00F3782A">
      <w:rPr>
        <w:rFonts w:ascii="Arial" w:hAnsi="Arial" w:cs="Arial"/>
        <w:sz w:val="16"/>
        <w:szCs w:val="16"/>
      </w:rPr>
      <w:fldChar w:fldCharType="begin"/>
    </w:r>
    <w:r w:rsidRPr="00F3782A">
      <w:rPr>
        <w:rFonts w:ascii="Arial" w:hAnsi="Arial" w:cs="Arial"/>
        <w:sz w:val="16"/>
        <w:szCs w:val="16"/>
      </w:rPr>
      <w:instrText xml:space="preserve"> FILENAME   \* MERGEFORMAT </w:instrText>
    </w:r>
    <w:r w:rsidRPr="00F3782A">
      <w:rPr>
        <w:rFonts w:ascii="Arial" w:hAnsi="Arial" w:cs="Arial"/>
        <w:sz w:val="16"/>
        <w:szCs w:val="16"/>
      </w:rPr>
      <w:fldChar w:fldCharType="separate"/>
    </w:r>
    <w:r w:rsidR="00BD2ECE">
      <w:rPr>
        <w:rFonts w:ascii="Arial" w:hAnsi="Arial" w:cs="Arial"/>
        <w:noProof/>
        <w:sz w:val="16"/>
        <w:szCs w:val="16"/>
      </w:rPr>
      <w:t>Decision Making Matrix DSC CoMC 20180117</w:t>
    </w:r>
    <w:r w:rsidRPr="00F3782A">
      <w:rPr>
        <w:rFonts w:ascii="Arial" w:hAnsi="Arial" w:cs="Arial"/>
        <w:sz w:val="16"/>
        <w:szCs w:val="16"/>
      </w:rPr>
      <w:fldChar w:fldCharType="end"/>
    </w:r>
    <w:r w:rsidRPr="00F3782A">
      <w:rPr>
        <w:rFonts w:ascii="Arial" w:hAnsi="Arial" w:cs="Arial"/>
        <w:sz w:val="16"/>
        <w:szCs w:val="16"/>
      </w:rPr>
      <w:tab/>
    </w:r>
    <w:r w:rsidRPr="00F3782A">
      <w:rPr>
        <w:rFonts w:ascii="Arial" w:hAnsi="Arial" w:cs="Arial"/>
        <w:sz w:val="16"/>
        <w:szCs w:val="16"/>
      </w:rPr>
      <w:tab/>
    </w:r>
    <w:r w:rsidRPr="00F3782A">
      <w:rPr>
        <w:rFonts w:ascii="Arial" w:hAnsi="Arial" w:cs="Arial"/>
        <w:sz w:val="16"/>
        <w:szCs w:val="16"/>
      </w:rPr>
      <w:tab/>
    </w:r>
    <w:r w:rsidRPr="00F3782A">
      <w:rPr>
        <w:rFonts w:ascii="Arial" w:hAnsi="Arial" w:cs="Arial"/>
        <w:sz w:val="16"/>
        <w:szCs w:val="16"/>
      </w:rPr>
      <w:tab/>
    </w:r>
    <w:r w:rsidRPr="00F3782A">
      <w:rPr>
        <w:rFonts w:ascii="Arial" w:hAnsi="Arial" w:cs="Arial"/>
        <w:sz w:val="16"/>
        <w:szCs w:val="16"/>
      </w:rPr>
      <w:tab/>
    </w:r>
    <w:r w:rsidRPr="00F3782A">
      <w:rPr>
        <w:rFonts w:ascii="Arial" w:hAnsi="Arial" w:cs="Arial"/>
        <w:sz w:val="16"/>
        <w:szCs w:val="16"/>
      </w:rPr>
      <w:tab/>
    </w:r>
    <w:r w:rsidRPr="00F3782A">
      <w:rPr>
        <w:rFonts w:ascii="Arial" w:hAnsi="Arial" w:cs="Arial"/>
        <w:sz w:val="16"/>
        <w:szCs w:val="16"/>
      </w:rPr>
      <w:tab/>
      <w:t xml:space="preserve">Page </w:t>
    </w:r>
    <w:r w:rsidRPr="00F3782A">
      <w:rPr>
        <w:rFonts w:ascii="Arial" w:hAnsi="Arial" w:cs="Arial"/>
        <w:sz w:val="16"/>
        <w:szCs w:val="16"/>
      </w:rPr>
      <w:fldChar w:fldCharType="begin"/>
    </w:r>
    <w:r w:rsidRPr="00F3782A">
      <w:rPr>
        <w:rFonts w:ascii="Arial" w:hAnsi="Arial" w:cs="Arial"/>
        <w:sz w:val="16"/>
        <w:szCs w:val="16"/>
      </w:rPr>
      <w:instrText xml:space="preserve"> PAGE   \* MERGEFORMAT </w:instrText>
    </w:r>
    <w:r w:rsidRPr="00F3782A">
      <w:rPr>
        <w:rFonts w:ascii="Arial" w:hAnsi="Arial" w:cs="Arial"/>
        <w:sz w:val="16"/>
        <w:szCs w:val="16"/>
      </w:rPr>
      <w:fldChar w:fldCharType="separate"/>
    </w:r>
    <w:r w:rsidR="00AE4BC8">
      <w:rPr>
        <w:rFonts w:ascii="Arial" w:hAnsi="Arial" w:cs="Arial"/>
        <w:noProof/>
        <w:sz w:val="16"/>
        <w:szCs w:val="16"/>
      </w:rPr>
      <w:t>1</w:t>
    </w:r>
    <w:r w:rsidRPr="00F3782A">
      <w:rPr>
        <w:rFonts w:ascii="Arial" w:hAnsi="Arial" w:cs="Arial"/>
        <w:sz w:val="16"/>
        <w:szCs w:val="16"/>
      </w:rPr>
      <w:fldChar w:fldCharType="end"/>
    </w:r>
    <w:r w:rsidRPr="00F3782A">
      <w:rPr>
        <w:rFonts w:ascii="Arial" w:hAnsi="Arial" w:cs="Arial"/>
        <w:sz w:val="16"/>
        <w:szCs w:val="16"/>
      </w:rPr>
      <w:t xml:space="preserve"> of </w:t>
    </w:r>
    <w:r w:rsidRPr="00F3782A">
      <w:rPr>
        <w:rFonts w:ascii="Arial" w:hAnsi="Arial" w:cs="Arial"/>
        <w:sz w:val="16"/>
        <w:szCs w:val="16"/>
      </w:rPr>
      <w:fldChar w:fldCharType="begin"/>
    </w:r>
    <w:r w:rsidRPr="00F3782A">
      <w:rPr>
        <w:rFonts w:ascii="Arial" w:hAnsi="Arial" w:cs="Arial"/>
        <w:sz w:val="16"/>
        <w:szCs w:val="16"/>
      </w:rPr>
      <w:instrText xml:space="preserve"> NUMPAGES   \* MERGEFORMAT </w:instrText>
    </w:r>
    <w:r w:rsidRPr="00F3782A">
      <w:rPr>
        <w:rFonts w:ascii="Arial" w:hAnsi="Arial" w:cs="Arial"/>
        <w:sz w:val="16"/>
        <w:szCs w:val="16"/>
      </w:rPr>
      <w:fldChar w:fldCharType="separate"/>
    </w:r>
    <w:r w:rsidR="00AE4BC8">
      <w:rPr>
        <w:rFonts w:ascii="Arial" w:hAnsi="Arial" w:cs="Arial"/>
        <w:noProof/>
        <w:sz w:val="16"/>
        <w:szCs w:val="16"/>
      </w:rPr>
      <w:t>2</w:t>
    </w:r>
    <w:r w:rsidRPr="00F3782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CB" w:rsidRDefault="008F04CB" w:rsidP="00297E2A">
      <w:pPr>
        <w:spacing w:after="0" w:line="240" w:lineRule="auto"/>
      </w:pPr>
      <w:r>
        <w:separator/>
      </w:r>
    </w:p>
  </w:footnote>
  <w:footnote w:type="continuationSeparator" w:id="0">
    <w:p w:rsidR="008F04CB" w:rsidRDefault="008F04CB" w:rsidP="00297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F16"/>
    <w:multiLevelType w:val="multilevel"/>
    <w:tmpl w:val="66E8646C"/>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560"/>
        </w:tabs>
        <w:ind w:left="1560" w:hanging="567"/>
      </w:pPr>
      <w:rPr>
        <w:rFonts w:ascii="Arial" w:hAnsi="Arial" w:cs="Arial" w:hint="default"/>
        <w:b w:val="0"/>
        <w:i w:val="0"/>
        <w:sz w:val="20"/>
        <w:szCs w:val="20"/>
      </w:rPr>
    </w:lvl>
    <w:lvl w:ilvl="3">
      <w:start w:val="1"/>
      <w:numFmt w:val="lowerRoman"/>
      <w:pStyle w:val="NGTHeading4"/>
      <w:lvlText w:val="(%4)"/>
      <w:lvlJc w:val="left"/>
      <w:pPr>
        <w:tabs>
          <w:tab w:val="num" w:pos="2007"/>
        </w:tabs>
        <w:ind w:left="2007"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571D2EAF"/>
    <w:multiLevelType w:val="hybridMultilevel"/>
    <w:tmpl w:val="828004FA"/>
    <w:lvl w:ilvl="0" w:tplc="69044E92">
      <w:start w:val="1"/>
      <w:numFmt w:val="decimal"/>
      <w:lvlText w:val="%1."/>
      <w:lvlJc w:val="left"/>
      <w:pPr>
        <w:ind w:left="360" w:hanging="360"/>
      </w:pPr>
      <w:rPr>
        <w:rFonts w:ascii="Arial" w:hAnsi="Arial" w:cs="Arial"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5B"/>
    <w:rsid w:val="0004180F"/>
    <w:rsid w:val="00156C5B"/>
    <w:rsid w:val="00277647"/>
    <w:rsid w:val="00297E2A"/>
    <w:rsid w:val="002C5823"/>
    <w:rsid w:val="002C741D"/>
    <w:rsid w:val="003B31DA"/>
    <w:rsid w:val="00413146"/>
    <w:rsid w:val="00464844"/>
    <w:rsid w:val="004A58E6"/>
    <w:rsid w:val="00571F97"/>
    <w:rsid w:val="006D6FED"/>
    <w:rsid w:val="007228AC"/>
    <w:rsid w:val="007B54B3"/>
    <w:rsid w:val="007B76D9"/>
    <w:rsid w:val="007C6867"/>
    <w:rsid w:val="008432C0"/>
    <w:rsid w:val="008F04CB"/>
    <w:rsid w:val="009D1C96"/>
    <w:rsid w:val="009E7066"/>
    <w:rsid w:val="00AE4BC8"/>
    <w:rsid w:val="00B57708"/>
    <w:rsid w:val="00BD2ECE"/>
    <w:rsid w:val="00BD7221"/>
    <w:rsid w:val="00DB39A6"/>
    <w:rsid w:val="00F3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THeading1">
    <w:name w:val="*NGT Heading 1"/>
    <w:basedOn w:val="Normal"/>
    <w:next w:val="Normal"/>
    <w:rsid w:val="007C6867"/>
    <w:pPr>
      <w:keepNext/>
      <w:numPr>
        <w:numId w:val="1"/>
      </w:numPr>
      <w:spacing w:line="360" w:lineRule="auto"/>
      <w:jc w:val="both"/>
    </w:pPr>
    <w:rPr>
      <w:rFonts w:ascii="Arial" w:eastAsia="Times New Roman" w:hAnsi="Arial" w:cs="Times New Roman"/>
      <w:b/>
      <w:sz w:val="20"/>
      <w:szCs w:val="24"/>
    </w:rPr>
  </w:style>
  <w:style w:type="paragraph" w:customStyle="1" w:styleId="NGTHeading2">
    <w:name w:val="*NGT Heading 2"/>
    <w:basedOn w:val="Normal"/>
    <w:rsid w:val="007C6867"/>
    <w:pPr>
      <w:numPr>
        <w:ilvl w:val="1"/>
        <w:numId w:val="1"/>
      </w:numPr>
      <w:spacing w:line="360" w:lineRule="auto"/>
      <w:jc w:val="both"/>
    </w:pPr>
    <w:rPr>
      <w:rFonts w:ascii="Arial" w:eastAsia="Times New Roman" w:hAnsi="Arial" w:cs="Times New Roman"/>
      <w:sz w:val="20"/>
      <w:szCs w:val="24"/>
    </w:rPr>
  </w:style>
  <w:style w:type="paragraph" w:customStyle="1" w:styleId="NGTHeading3">
    <w:name w:val="*NGT Heading 3"/>
    <w:basedOn w:val="Normal"/>
    <w:rsid w:val="007C6867"/>
    <w:pPr>
      <w:numPr>
        <w:ilvl w:val="2"/>
        <w:numId w:val="1"/>
      </w:numPr>
      <w:spacing w:line="360" w:lineRule="auto"/>
      <w:jc w:val="both"/>
    </w:pPr>
    <w:rPr>
      <w:rFonts w:ascii="Arial" w:eastAsia="Times New Roman" w:hAnsi="Arial" w:cs="Times New Roman"/>
      <w:sz w:val="20"/>
      <w:szCs w:val="24"/>
    </w:rPr>
  </w:style>
  <w:style w:type="paragraph" w:customStyle="1" w:styleId="NGTHeading4">
    <w:name w:val="*NGT Heading 4"/>
    <w:basedOn w:val="Normal"/>
    <w:rsid w:val="007C6867"/>
    <w:pPr>
      <w:numPr>
        <w:ilvl w:val="3"/>
        <w:numId w:val="1"/>
      </w:numPr>
      <w:spacing w:line="360" w:lineRule="auto"/>
      <w:jc w:val="both"/>
    </w:pPr>
    <w:rPr>
      <w:rFonts w:ascii="Arial" w:eastAsia="Times New Roman" w:hAnsi="Arial" w:cs="Times New Roman"/>
      <w:sz w:val="20"/>
      <w:szCs w:val="24"/>
    </w:rPr>
  </w:style>
  <w:style w:type="paragraph" w:customStyle="1" w:styleId="NGTHeading5">
    <w:name w:val="*NGT Heading 5"/>
    <w:basedOn w:val="Normal"/>
    <w:rsid w:val="007C6867"/>
    <w:pPr>
      <w:numPr>
        <w:ilvl w:val="4"/>
        <w:numId w:val="1"/>
      </w:numPr>
      <w:spacing w:line="360" w:lineRule="auto"/>
      <w:jc w:val="both"/>
    </w:pPr>
    <w:rPr>
      <w:rFonts w:ascii="Arial" w:eastAsia="Times New Roman" w:hAnsi="Arial" w:cs="Times New Roman"/>
      <w:sz w:val="20"/>
      <w:szCs w:val="24"/>
    </w:rPr>
  </w:style>
  <w:style w:type="paragraph" w:customStyle="1" w:styleId="NGTHeading6">
    <w:name w:val="*NGT Heading 6"/>
    <w:basedOn w:val="Normal"/>
    <w:rsid w:val="007C6867"/>
    <w:pPr>
      <w:numPr>
        <w:ilvl w:val="5"/>
        <w:numId w:val="1"/>
      </w:numPr>
      <w:spacing w:line="360" w:lineRule="auto"/>
      <w:jc w:val="both"/>
    </w:pPr>
    <w:rPr>
      <w:rFonts w:ascii="Arial" w:eastAsia="Times New Roman" w:hAnsi="Arial" w:cs="Times New Roman"/>
      <w:sz w:val="20"/>
      <w:szCs w:val="24"/>
    </w:rPr>
  </w:style>
  <w:style w:type="paragraph" w:customStyle="1" w:styleId="NGTHeading7">
    <w:name w:val="*NGT Heading 7"/>
    <w:basedOn w:val="Normal"/>
    <w:rsid w:val="007C6867"/>
    <w:pPr>
      <w:numPr>
        <w:ilvl w:val="6"/>
        <w:numId w:val="1"/>
      </w:numPr>
      <w:tabs>
        <w:tab w:val="left" w:pos="3402"/>
      </w:tabs>
      <w:spacing w:line="360" w:lineRule="auto"/>
      <w:jc w:val="both"/>
    </w:pPr>
    <w:rPr>
      <w:rFonts w:ascii="Arial" w:eastAsia="Times New Roman" w:hAnsi="Arial" w:cs="Times New Roman"/>
      <w:sz w:val="20"/>
      <w:szCs w:val="24"/>
    </w:rPr>
  </w:style>
  <w:style w:type="table" w:styleId="TableGrid">
    <w:name w:val="Table Grid"/>
    <w:basedOn w:val="TableNormal"/>
    <w:uiPriority w:val="59"/>
    <w:rsid w:val="007C6867"/>
    <w:pPr>
      <w:spacing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867"/>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29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2A"/>
  </w:style>
  <w:style w:type="paragraph" w:styleId="Footer">
    <w:name w:val="footer"/>
    <w:basedOn w:val="Normal"/>
    <w:link w:val="FooterChar"/>
    <w:uiPriority w:val="99"/>
    <w:unhideWhenUsed/>
    <w:rsid w:val="0029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THeading1">
    <w:name w:val="*NGT Heading 1"/>
    <w:basedOn w:val="Normal"/>
    <w:next w:val="Normal"/>
    <w:rsid w:val="007C6867"/>
    <w:pPr>
      <w:keepNext/>
      <w:numPr>
        <w:numId w:val="1"/>
      </w:numPr>
      <w:spacing w:line="360" w:lineRule="auto"/>
      <w:jc w:val="both"/>
    </w:pPr>
    <w:rPr>
      <w:rFonts w:ascii="Arial" w:eastAsia="Times New Roman" w:hAnsi="Arial" w:cs="Times New Roman"/>
      <w:b/>
      <w:sz w:val="20"/>
      <w:szCs w:val="24"/>
    </w:rPr>
  </w:style>
  <w:style w:type="paragraph" w:customStyle="1" w:styleId="NGTHeading2">
    <w:name w:val="*NGT Heading 2"/>
    <w:basedOn w:val="Normal"/>
    <w:rsid w:val="007C6867"/>
    <w:pPr>
      <w:numPr>
        <w:ilvl w:val="1"/>
        <w:numId w:val="1"/>
      </w:numPr>
      <w:spacing w:line="360" w:lineRule="auto"/>
      <w:jc w:val="both"/>
    </w:pPr>
    <w:rPr>
      <w:rFonts w:ascii="Arial" w:eastAsia="Times New Roman" w:hAnsi="Arial" w:cs="Times New Roman"/>
      <w:sz w:val="20"/>
      <w:szCs w:val="24"/>
    </w:rPr>
  </w:style>
  <w:style w:type="paragraph" w:customStyle="1" w:styleId="NGTHeading3">
    <w:name w:val="*NGT Heading 3"/>
    <w:basedOn w:val="Normal"/>
    <w:rsid w:val="007C6867"/>
    <w:pPr>
      <w:numPr>
        <w:ilvl w:val="2"/>
        <w:numId w:val="1"/>
      </w:numPr>
      <w:spacing w:line="360" w:lineRule="auto"/>
      <w:jc w:val="both"/>
    </w:pPr>
    <w:rPr>
      <w:rFonts w:ascii="Arial" w:eastAsia="Times New Roman" w:hAnsi="Arial" w:cs="Times New Roman"/>
      <w:sz w:val="20"/>
      <w:szCs w:val="24"/>
    </w:rPr>
  </w:style>
  <w:style w:type="paragraph" w:customStyle="1" w:styleId="NGTHeading4">
    <w:name w:val="*NGT Heading 4"/>
    <w:basedOn w:val="Normal"/>
    <w:rsid w:val="007C6867"/>
    <w:pPr>
      <w:numPr>
        <w:ilvl w:val="3"/>
        <w:numId w:val="1"/>
      </w:numPr>
      <w:spacing w:line="360" w:lineRule="auto"/>
      <w:jc w:val="both"/>
    </w:pPr>
    <w:rPr>
      <w:rFonts w:ascii="Arial" w:eastAsia="Times New Roman" w:hAnsi="Arial" w:cs="Times New Roman"/>
      <w:sz w:val="20"/>
      <w:szCs w:val="24"/>
    </w:rPr>
  </w:style>
  <w:style w:type="paragraph" w:customStyle="1" w:styleId="NGTHeading5">
    <w:name w:val="*NGT Heading 5"/>
    <w:basedOn w:val="Normal"/>
    <w:rsid w:val="007C6867"/>
    <w:pPr>
      <w:numPr>
        <w:ilvl w:val="4"/>
        <w:numId w:val="1"/>
      </w:numPr>
      <w:spacing w:line="360" w:lineRule="auto"/>
      <w:jc w:val="both"/>
    </w:pPr>
    <w:rPr>
      <w:rFonts w:ascii="Arial" w:eastAsia="Times New Roman" w:hAnsi="Arial" w:cs="Times New Roman"/>
      <w:sz w:val="20"/>
      <w:szCs w:val="24"/>
    </w:rPr>
  </w:style>
  <w:style w:type="paragraph" w:customStyle="1" w:styleId="NGTHeading6">
    <w:name w:val="*NGT Heading 6"/>
    <w:basedOn w:val="Normal"/>
    <w:rsid w:val="007C6867"/>
    <w:pPr>
      <w:numPr>
        <w:ilvl w:val="5"/>
        <w:numId w:val="1"/>
      </w:numPr>
      <w:spacing w:line="360" w:lineRule="auto"/>
      <w:jc w:val="both"/>
    </w:pPr>
    <w:rPr>
      <w:rFonts w:ascii="Arial" w:eastAsia="Times New Roman" w:hAnsi="Arial" w:cs="Times New Roman"/>
      <w:sz w:val="20"/>
      <w:szCs w:val="24"/>
    </w:rPr>
  </w:style>
  <w:style w:type="paragraph" w:customStyle="1" w:styleId="NGTHeading7">
    <w:name w:val="*NGT Heading 7"/>
    <w:basedOn w:val="Normal"/>
    <w:rsid w:val="007C6867"/>
    <w:pPr>
      <w:numPr>
        <w:ilvl w:val="6"/>
        <w:numId w:val="1"/>
      </w:numPr>
      <w:tabs>
        <w:tab w:val="left" w:pos="3402"/>
      </w:tabs>
      <w:spacing w:line="360" w:lineRule="auto"/>
      <w:jc w:val="both"/>
    </w:pPr>
    <w:rPr>
      <w:rFonts w:ascii="Arial" w:eastAsia="Times New Roman" w:hAnsi="Arial" w:cs="Times New Roman"/>
      <w:sz w:val="20"/>
      <w:szCs w:val="24"/>
    </w:rPr>
  </w:style>
  <w:style w:type="table" w:styleId="TableGrid">
    <w:name w:val="Table Grid"/>
    <w:basedOn w:val="TableNormal"/>
    <w:uiPriority w:val="59"/>
    <w:rsid w:val="007C6867"/>
    <w:pPr>
      <w:spacing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867"/>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29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2A"/>
  </w:style>
  <w:style w:type="paragraph" w:styleId="Footer">
    <w:name w:val="footer"/>
    <w:basedOn w:val="Normal"/>
    <w:link w:val="FooterChar"/>
    <w:uiPriority w:val="99"/>
    <w:unhideWhenUsed/>
    <w:rsid w:val="0029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Baker</dc:creator>
  <cp:lastModifiedBy>National Grid</cp:lastModifiedBy>
  <cp:revision>2</cp:revision>
  <dcterms:created xsi:type="dcterms:W3CDTF">2018-01-02T16:31:00Z</dcterms:created>
  <dcterms:modified xsi:type="dcterms:W3CDTF">2018-01-02T16:31:00Z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1787239871</vt:i4>
  </property>
  <property fmtid="{D5CDD505-2E9C-101B-9397-08002B2CF9AE}" pid="3" name="_NewReviewCycle">
    <vt:lpwstr/>
  </property>
  <property fmtid="{D5CDD505-2E9C-101B-9397-08002B2CF9AE}" pid="4" name="_EmailSubject">
    <vt:lpwstr>Item for January CoMC</vt:lpwstr>
  </property>
  <property fmtid="{D5CDD505-2E9C-101B-9397-08002B2CF9AE}" pid="5" name="_AuthorEmail">
    <vt:lpwstr>martin.baker@xoserve.com</vt:lpwstr>
  </property>
  <property fmtid="{D5CDD505-2E9C-101B-9397-08002B2CF9AE}" pid="6" name="_AuthorEmailDisplayName">
    <vt:lpwstr>Baker, Martin R</vt:lpwstr>
  </property>
  <property fmtid="{D5CDD505-2E9C-101B-9397-08002B2CF9AE}" pid="7" name="_PreviousAdHocReviewCycleID">
    <vt:i4>-1562409532</vt:i4>
  </property>
  <property fmtid="{D5CDD505-2E9C-101B-9397-08002B2CF9AE}" pid="8" name="_ReviewingToolsShownOnce">
    <vt:lpwstr/>
  </property>
</Properties>
</file>