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A44A20" w:rsidRDefault="00A44A20" w:rsidP="00AF7358">
      <w:pPr>
        <w:spacing w:before="60" w:after="60"/>
        <w:jc w:val="center"/>
        <w:rPr>
          <w:b/>
          <w:sz w:val="36"/>
          <w:szCs w:val="36"/>
        </w:rPr>
      </w:pPr>
      <w:r w:rsidRPr="00A44A20">
        <w:rPr>
          <w:b/>
          <w:sz w:val="36"/>
          <w:szCs w:val="36"/>
        </w:rPr>
        <w:t>Extension of ‘Must Read’ process to include Annual Read sites</w:t>
      </w:r>
    </w:p>
    <w:p w:rsidR="00A44A20" w:rsidRPr="008422A8" w:rsidRDefault="00A44A20"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281707">
        <w:rPr>
          <w:rFonts w:cs="Arial"/>
          <w:b/>
          <w:bCs/>
          <w:color w:val="000000" w:themeColor="text1"/>
          <w:sz w:val="36"/>
        </w:rPr>
        <w:t>4044</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CC53FB" w:rsidP="001A3D51">
            <w:r>
              <w:t>0.1</w:t>
            </w:r>
          </w:p>
        </w:tc>
        <w:tc>
          <w:tcPr>
            <w:tcW w:w="1307" w:type="dxa"/>
          </w:tcPr>
          <w:p w:rsidR="00A96501" w:rsidRDefault="009B6959" w:rsidP="001A3D51">
            <w:r>
              <w:t>17/11/2017</w:t>
            </w:r>
          </w:p>
        </w:tc>
        <w:tc>
          <w:tcPr>
            <w:tcW w:w="2140" w:type="dxa"/>
          </w:tcPr>
          <w:p w:rsidR="00A96501" w:rsidRDefault="00CC53FB" w:rsidP="001A3D51">
            <w:r>
              <w:t>Andy Clasper</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CC53FB"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854" w:type="dxa"/>
        <w:tblLayout w:type="fixed"/>
        <w:tblLook w:val="04A0" w:firstRow="1" w:lastRow="0" w:firstColumn="1" w:lastColumn="0" w:noHBand="0" w:noVBand="1"/>
      </w:tblPr>
      <w:tblGrid>
        <w:gridCol w:w="1951"/>
        <w:gridCol w:w="1603"/>
        <w:gridCol w:w="2225"/>
        <w:gridCol w:w="4075"/>
      </w:tblGrid>
      <w:tr w:rsidR="005864A3" w:rsidRPr="009A2985" w:rsidTr="00CC53FB">
        <w:tc>
          <w:tcPr>
            <w:tcW w:w="9854" w:type="dxa"/>
            <w:gridSpan w:val="4"/>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CC53FB">
        <w:tc>
          <w:tcPr>
            <w:tcW w:w="1951"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1603" w:type="dxa"/>
            <w:vMerge w:val="restart"/>
          </w:tcPr>
          <w:p w:rsidR="005864A3" w:rsidRPr="009E15F1" w:rsidRDefault="00CC53FB" w:rsidP="00CC53FB">
            <w:pPr>
              <w:rPr>
                <w:rFonts w:cs="Arial"/>
                <w:color w:val="0000FF"/>
              </w:rPr>
            </w:pPr>
            <w:r w:rsidRPr="009E15F1">
              <w:rPr>
                <w:rFonts w:cs="Arial"/>
                <w:color w:val="0000FF"/>
              </w:rPr>
              <w:t>Andy Clasper</w:t>
            </w:r>
          </w:p>
        </w:tc>
        <w:tc>
          <w:tcPr>
            <w:tcW w:w="2225" w:type="dxa"/>
            <w:shd w:val="clear" w:color="auto" w:fill="B8CCE4" w:themeFill="accent1" w:themeFillTint="66"/>
          </w:tcPr>
          <w:p w:rsidR="005864A3" w:rsidRPr="009A2985" w:rsidRDefault="005864A3" w:rsidP="005864A3">
            <w:pPr>
              <w:rPr>
                <w:b/>
              </w:rPr>
            </w:pPr>
            <w:r w:rsidRPr="009A2985">
              <w:rPr>
                <w:b/>
              </w:rPr>
              <w:t>Contact Number</w:t>
            </w:r>
          </w:p>
        </w:tc>
        <w:tc>
          <w:tcPr>
            <w:tcW w:w="4075" w:type="dxa"/>
          </w:tcPr>
          <w:p w:rsidR="005864A3" w:rsidRPr="009E15F1" w:rsidRDefault="00CC53FB" w:rsidP="005864A3">
            <w:pPr>
              <w:rPr>
                <w:rFonts w:cs="Arial"/>
              </w:rPr>
            </w:pPr>
            <w:r w:rsidRPr="009E15F1">
              <w:rPr>
                <w:rFonts w:cs="Arial"/>
                <w:color w:val="0000FF"/>
              </w:rPr>
              <w:t>07884 113385</w:t>
            </w:r>
          </w:p>
        </w:tc>
      </w:tr>
      <w:tr w:rsidR="005864A3" w:rsidTr="00CC53FB">
        <w:tc>
          <w:tcPr>
            <w:tcW w:w="1951" w:type="dxa"/>
            <w:vMerge/>
            <w:shd w:val="clear" w:color="auto" w:fill="B8CCE4" w:themeFill="accent1" w:themeFillTint="66"/>
          </w:tcPr>
          <w:p w:rsidR="005864A3" w:rsidRPr="009A2985" w:rsidRDefault="005864A3" w:rsidP="005864A3">
            <w:pPr>
              <w:rPr>
                <w:b/>
              </w:rPr>
            </w:pPr>
          </w:p>
        </w:tc>
        <w:tc>
          <w:tcPr>
            <w:tcW w:w="1603" w:type="dxa"/>
            <w:vMerge/>
          </w:tcPr>
          <w:p w:rsidR="005864A3" w:rsidRDefault="005864A3" w:rsidP="005864A3"/>
        </w:tc>
        <w:tc>
          <w:tcPr>
            <w:tcW w:w="2225" w:type="dxa"/>
            <w:shd w:val="clear" w:color="auto" w:fill="B8CCE4" w:themeFill="accent1" w:themeFillTint="66"/>
          </w:tcPr>
          <w:p w:rsidR="005864A3" w:rsidRPr="009A2985" w:rsidRDefault="005864A3" w:rsidP="005864A3">
            <w:pPr>
              <w:rPr>
                <w:b/>
              </w:rPr>
            </w:pPr>
            <w:r w:rsidRPr="009A2985">
              <w:rPr>
                <w:b/>
              </w:rPr>
              <w:t>Email Address</w:t>
            </w:r>
          </w:p>
        </w:tc>
        <w:tc>
          <w:tcPr>
            <w:tcW w:w="4075" w:type="dxa"/>
          </w:tcPr>
          <w:p w:rsidR="005864A3" w:rsidRPr="009E15F1" w:rsidRDefault="003309AE" w:rsidP="005864A3">
            <w:pPr>
              <w:rPr>
                <w:rFonts w:cs="Arial"/>
              </w:rPr>
            </w:pPr>
            <w:hyperlink r:id="rId13" w:history="1">
              <w:r w:rsidR="00CC53FB" w:rsidRPr="009E15F1">
                <w:rPr>
                  <w:rStyle w:val="Hyperlink"/>
                  <w:rFonts w:cs="Arial"/>
                </w:rPr>
                <w:t>Andy.clasper@nationalgrid.com</w:t>
              </w:r>
            </w:hyperlink>
          </w:p>
        </w:tc>
      </w:tr>
      <w:tr w:rsidR="005864A3" w:rsidTr="00CC53FB">
        <w:tc>
          <w:tcPr>
            <w:tcW w:w="1951"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1603" w:type="dxa"/>
            <w:vMerge w:val="restart"/>
          </w:tcPr>
          <w:p w:rsidR="00EB5B56" w:rsidRDefault="00CC53FB" w:rsidP="005864A3">
            <w:r w:rsidRPr="00CC53FB">
              <w:rPr>
                <w:rFonts w:cs="Arial"/>
                <w:color w:val="0000FF"/>
              </w:rPr>
              <w:t>Rachel Hinsley</w:t>
            </w:r>
          </w:p>
        </w:tc>
        <w:tc>
          <w:tcPr>
            <w:tcW w:w="2225" w:type="dxa"/>
            <w:shd w:val="clear" w:color="auto" w:fill="B8CCE4" w:themeFill="accent1" w:themeFillTint="66"/>
          </w:tcPr>
          <w:p w:rsidR="005864A3" w:rsidRPr="009A2985" w:rsidRDefault="005864A3" w:rsidP="005864A3">
            <w:pPr>
              <w:rPr>
                <w:b/>
              </w:rPr>
            </w:pPr>
            <w:r w:rsidRPr="009A2985">
              <w:rPr>
                <w:b/>
              </w:rPr>
              <w:t>Contact Number</w:t>
            </w:r>
          </w:p>
        </w:tc>
        <w:tc>
          <w:tcPr>
            <w:tcW w:w="4075" w:type="dxa"/>
          </w:tcPr>
          <w:p w:rsidR="005864A3" w:rsidRPr="00CC53FB" w:rsidRDefault="00CC53FB" w:rsidP="005864A3">
            <w:pPr>
              <w:rPr>
                <w:rFonts w:cs="Arial"/>
                <w:color w:val="0000FF"/>
              </w:rPr>
            </w:pPr>
            <w:r w:rsidRPr="00CC53FB">
              <w:rPr>
                <w:rFonts w:cs="Arial"/>
                <w:color w:val="0000FF"/>
              </w:rPr>
              <w:t>0121 623 2854</w:t>
            </w:r>
          </w:p>
        </w:tc>
      </w:tr>
      <w:tr w:rsidR="005864A3" w:rsidTr="00CC53FB">
        <w:tc>
          <w:tcPr>
            <w:tcW w:w="1951" w:type="dxa"/>
            <w:vMerge/>
            <w:shd w:val="clear" w:color="auto" w:fill="B8CCE4" w:themeFill="accent1" w:themeFillTint="66"/>
          </w:tcPr>
          <w:p w:rsidR="005864A3" w:rsidRPr="009A2985" w:rsidRDefault="005864A3" w:rsidP="005864A3">
            <w:pPr>
              <w:rPr>
                <w:b/>
              </w:rPr>
            </w:pPr>
          </w:p>
        </w:tc>
        <w:tc>
          <w:tcPr>
            <w:tcW w:w="1603" w:type="dxa"/>
            <w:vMerge/>
          </w:tcPr>
          <w:p w:rsidR="005864A3" w:rsidRDefault="005864A3" w:rsidP="005864A3"/>
        </w:tc>
        <w:tc>
          <w:tcPr>
            <w:tcW w:w="2225" w:type="dxa"/>
            <w:shd w:val="clear" w:color="auto" w:fill="B8CCE4" w:themeFill="accent1" w:themeFillTint="66"/>
          </w:tcPr>
          <w:p w:rsidR="005864A3" w:rsidRPr="009A2985" w:rsidRDefault="005864A3" w:rsidP="005864A3">
            <w:pPr>
              <w:rPr>
                <w:b/>
              </w:rPr>
            </w:pPr>
            <w:r w:rsidRPr="009A2985">
              <w:rPr>
                <w:b/>
              </w:rPr>
              <w:t>Email Address</w:t>
            </w:r>
          </w:p>
        </w:tc>
        <w:tc>
          <w:tcPr>
            <w:tcW w:w="4075" w:type="dxa"/>
          </w:tcPr>
          <w:p w:rsidR="00CC53FB" w:rsidRPr="00CC53FB" w:rsidRDefault="003309AE" w:rsidP="00CC53FB">
            <w:pPr>
              <w:rPr>
                <w:rFonts w:cs="Arial"/>
                <w:color w:val="0000FF"/>
              </w:rPr>
            </w:pPr>
            <w:hyperlink r:id="rId14" w:history="1">
              <w:r w:rsidR="00CC53FB" w:rsidRPr="005D6873">
                <w:rPr>
                  <w:rStyle w:val="Hyperlink"/>
                  <w:rFonts w:cs="Arial"/>
                </w:rPr>
                <w:t>Rachel.hinsley@xoserve.com</w:t>
              </w:r>
            </w:hyperlink>
          </w:p>
        </w:tc>
      </w:tr>
      <w:tr w:rsidR="005864A3" w:rsidTr="00CC53FB">
        <w:tc>
          <w:tcPr>
            <w:tcW w:w="1951"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1603" w:type="dxa"/>
            <w:vMerge w:val="restart"/>
          </w:tcPr>
          <w:p w:rsidR="005864A3" w:rsidRDefault="005864A3" w:rsidP="00CC53FB"/>
        </w:tc>
        <w:tc>
          <w:tcPr>
            <w:tcW w:w="2225" w:type="dxa"/>
            <w:shd w:val="clear" w:color="auto" w:fill="B8CCE4" w:themeFill="accent1" w:themeFillTint="66"/>
          </w:tcPr>
          <w:p w:rsidR="005864A3" w:rsidRPr="009A2985" w:rsidRDefault="005864A3" w:rsidP="005864A3">
            <w:pPr>
              <w:rPr>
                <w:b/>
              </w:rPr>
            </w:pPr>
            <w:r w:rsidRPr="009A2985">
              <w:rPr>
                <w:b/>
              </w:rPr>
              <w:t>Contact Number</w:t>
            </w:r>
          </w:p>
        </w:tc>
        <w:tc>
          <w:tcPr>
            <w:tcW w:w="4075" w:type="dxa"/>
          </w:tcPr>
          <w:p w:rsidR="005864A3" w:rsidRDefault="005864A3" w:rsidP="005864A3"/>
        </w:tc>
      </w:tr>
      <w:tr w:rsidR="005864A3" w:rsidTr="00CC53FB">
        <w:tc>
          <w:tcPr>
            <w:tcW w:w="1951" w:type="dxa"/>
            <w:vMerge/>
            <w:shd w:val="clear" w:color="auto" w:fill="B8CCE4" w:themeFill="accent1" w:themeFillTint="66"/>
          </w:tcPr>
          <w:p w:rsidR="005864A3" w:rsidRDefault="005864A3" w:rsidP="005864A3"/>
        </w:tc>
        <w:tc>
          <w:tcPr>
            <w:tcW w:w="1603" w:type="dxa"/>
            <w:vMerge/>
          </w:tcPr>
          <w:p w:rsidR="005864A3" w:rsidRDefault="005864A3" w:rsidP="005864A3"/>
        </w:tc>
        <w:tc>
          <w:tcPr>
            <w:tcW w:w="2225" w:type="dxa"/>
            <w:shd w:val="clear" w:color="auto" w:fill="B8CCE4" w:themeFill="accent1" w:themeFillTint="66"/>
          </w:tcPr>
          <w:p w:rsidR="005864A3" w:rsidRPr="009A2985" w:rsidRDefault="005864A3" w:rsidP="005864A3">
            <w:pPr>
              <w:rPr>
                <w:b/>
              </w:rPr>
            </w:pPr>
            <w:r w:rsidRPr="009A2985">
              <w:rPr>
                <w:b/>
              </w:rPr>
              <w:t>Email Address</w:t>
            </w:r>
          </w:p>
        </w:tc>
        <w:tc>
          <w:tcPr>
            <w:tcW w:w="4075" w:type="dxa"/>
          </w:tcPr>
          <w:p w:rsidR="005864A3" w:rsidRDefault="005864A3" w:rsidP="005864A3"/>
        </w:tc>
      </w:tr>
      <w:tr w:rsidR="005864A3" w:rsidTr="00CC53FB">
        <w:tc>
          <w:tcPr>
            <w:tcW w:w="1951" w:type="dxa"/>
            <w:shd w:val="clear" w:color="auto" w:fill="B8CCE4" w:themeFill="accent1" w:themeFillTint="66"/>
          </w:tcPr>
          <w:p w:rsidR="005864A3" w:rsidRPr="009A2985" w:rsidRDefault="005864A3" w:rsidP="005864A3">
            <w:pPr>
              <w:rPr>
                <w:b/>
              </w:rPr>
            </w:pPr>
            <w:r w:rsidRPr="009A2985">
              <w:rPr>
                <w:b/>
              </w:rPr>
              <w:t>Customer Class</w:t>
            </w:r>
          </w:p>
        </w:tc>
        <w:tc>
          <w:tcPr>
            <w:tcW w:w="7903" w:type="dxa"/>
            <w:gridSpan w:val="3"/>
          </w:tcPr>
          <w:p w:rsidR="005864A3" w:rsidRDefault="003309AE" w:rsidP="005864A3">
            <w:sdt>
              <w:sdtPr>
                <w:id w:val="-2140862440"/>
                <w14:checkbox>
                  <w14:checked w14:val="0"/>
                  <w14:checkedState w14:val="2612" w14:font="MS Gothic"/>
                  <w14:uncheckedState w14:val="2610" w14:font="MS Gothic"/>
                </w14:checkbox>
              </w:sdtPr>
              <w:sdtEndPr/>
              <w:sdtContent>
                <w:r w:rsidR="00EB5B56">
                  <w:rPr>
                    <w:rFonts w:ascii="MS Gothic" w:eastAsia="MS Gothic" w:hAnsi="MS Gothic" w:hint="eastAsia"/>
                  </w:rPr>
                  <w:t>☐</w:t>
                </w:r>
              </w:sdtContent>
            </w:sdt>
            <w:r w:rsidR="0081302A">
              <w:t xml:space="preserve"> Shipper</w:t>
            </w:r>
          </w:p>
          <w:p w:rsidR="005864A3" w:rsidRDefault="003309AE" w:rsidP="005864A3">
            <w:sdt>
              <w:sdtPr>
                <w:id w:val="-2017535920"/>
                <w14:checkbox>
                  <w14:checked w14:val="0"/>
                  <w14:checkedState w14:val="2612" w14:font="MS Gothic"/>
                  <w14:uncheckedState w14:val="2610" w14:font="MS Gothic"/>
                </w14:checkbox>
              </w:sdtPr>
              <w:sdtEndPr/>
              <w:sdtContent>
                <w:r w:rsidR="008719BF">
                  <w:rPr>
                    <w:rFonts w:ascii="MS Gothic" w:eastAsia="MS Gothic" w:hAnsi="MS Gothic" w:hint="eastAsia"/>
                  </w:rPr>
                  <w:t>☐</w:t>
                </w:r>
              </w:sdtContent>
            </w:sdt>
            <w:r w:rsidR="005864A3">
              <w:t xml:space="preserve"> National Grid Transmission</w:t>
            </w:r>
          </w:p>
          <w:p w:rsidR="005864A3" w:rsidRDefault="003309AE" w:rsidP="005864A3">
            <w:sdt>
              <w:sdtPr>
                <w:id w:val="-262224899"/>
                <w14:checkbox>
                  <w14:checked w14:val="1"/>
                  <w14:checkedState w14:val="2612" w14:font="MS Gothic"/>
                  <w14:uncheckedState w14:val="2610" w14:font="MS Gothic"/>
                </w14:checkbox>
              </w:sdtPr>
              <w:sdtEndPr/>
              <w:sdtContent>
                <w:r w:rsidR="008719BF">
                  <w:rPr>
                    <w:rFonts w:ascii="MS Gothic" w:eastAsia="MS Gothic" w:hAnsi="MS Gothic" w:hint="eastAsia"/>
                  </w:rPr>
                  <w:t>☒</w:t>
                </w:r>
              </w:sdtContent>
            </w:sdt>
            <w:r w:rsidR="005864A3">
              <w:t xml:space="preserve"> Distribution Network Operator</w:t>
            </w:r>
          </w:p>
          <w:p w:rsidR="005864A3" w:rsidRDefault="003309AE"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CC53FB">
        <w:tc>
          <w:tcPr>
            <w:tcW w:w="9854" w:type="dxa"/>
            <w:gridSpan w:val="4"/>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CC53FB">
        <w:tc>
          <w:tcPr>
            <w:tcW w:w="1951" w:type="dxa"/>
            <w:shd w:val="clear" w:color="auto" w:fill="B8CCE4" w:themeFill="accent1" w:themeFillTint="66"/>
          </w:tcPr>
          <w:p w:rsidR="005864A3" w:rsidRPr="009A2985" w:rsidRDefault="00C43CFC">
            <w:pPr>
              <w:rPr>
                <w:b/>
              </w:rPr>
            </w:pPr>
            <w:r>
              <w:rPr>
                <w:b/>
              </w:rPr>
              <w:t>Change Details</w:t>
            </w:r>
          </w:p>
        </w:tc>
        <w:tc>
          <w:tcPr>
            <w:tcW w:w="7903" w:type="dxa"/>
            <w:gridSpan w:val="3"/>
          </w:tcPr>
          <w:p w:rsidR="009E15F1" w:rsidRPr="008719BF" w:rsidRDefault="009E15F1" w:rsidP="009E15F1">
            <w:pPr>
              <w:pStyle w:val="Header"/>
              <w:tabs>
                <w:tab w:val="clear" w:pos="4153"/>
                <w:tab w:val="clear" w:pos="8306"/>
              </w:tabs>
              <w:spacing w:before="0" w:after="0"/>
              <w:rPr>
                <w:rFonts w:cs="Arial"/>
                <w:color w:val="0000FF"/>
              </w:rPr>
            </w:pPr>
          </w:p>
          <w:p w:rsidR="009E15F1" w:rsidRPr="008719BF" w:rsidRDefault="009E15F1" w:rsidP="009E15F1">
            <w:pPr>
              <w:pStyle w:val="Header"/>
              <w:tabs>
                <w:tab w:val="clear" w:pos="4153"/>
                <w:tab w:val="clear" w:pos="8306"/>
              </w:tabs>
              <w:spacing w:before="0" w:after="0"/>
              <w:rPr>
                <w:rFonts w:cs="Arial"/>
                <w:color w:val="0000FF"/>
              </w:rPr>
            </w:pPr>
            <w:r w:rsidRPr="008719BF">
              <w:rPr>
                <w:rFonts w:cs="Arial"/>
                <w:color w:val="0000FF"/>
              </w:rPr>
              <w:t>We have indicated to Shippers (at Distribution Workgroup) that we intend to begin carrying out must reads at Annual Read sites</w:t>
            </w:r>
            <w:r w:rsidR="00934E19">
              <w:rPr>
                <w:rFonts w:cs="Arial"/>
                <w:color w:val="0000FF"/>
              </w:rPr>
              <w:t xml:space="preserve"> with an aspiration to begin</w:t>
            </w:r>
            <w:r w:rsidRPr="008719BF">
              <w:rPr>
                <w:rFonts w:cs="Arial"/>
                <w:color w:val="0000FF"/>
              </w:rPr>
              <w:t xml:space="preserve"> the process </w:t>
            </w:r>
            <w:r w:rsidR="00934E19">
              <w:rPr>
                <w:rFonts w:cs="Arial"/>
                <w:color w:val="0000FF"/>
              </w:rPr>
              <w:t>during</w:t>
            </w:r>
            <w:r w:rsidRPr="008719BF">
              <w:rPr>
                <w:rFonts w:cs="Arial"/>
                <w:color w:val="0000FF"/>
              </w:rPr>
              <w:t xml:space="preserve"> Aug/Sep 2016.</w:t>
            </w:r>
          </w:p>
          <w:p w:rsidR="009E15F1" w:rsidRPr="008719BF" w:rsidRDefault="009E15F1" w:rsidP="009E15F1">
            <w:pPr>
              <w:pStyle w:val="Header"/>
              <w:tabs>
                <w:tab w:val="clear" w:pos="4153"/>
                <w:tab w:val="clear" w:pos="8306"/>
              </w:tabs>
              <w:spacing w:before="0" w:after="0"/>
              <w:rPr>
                <w:rFonts w:cs="Arial"/>
                <w:color w:val="0000FF"/>
              </w:rPr>
            </w:pPr>
          </w:p>
          <w:p w:rsidR="005864A3" w:rsidRPr="008719BF" w:rsidRDefault="009E15F1" w:rsidP="009E15F1">
            <w:pPr>
              <w:pStyle w:val="Header"/>
              <w:tabs>
                <w:tab w:val="clear" w:pos="4153"/>
                <w:tab w:val="clear" w:pos="8306"/>
              </w:tabs>
              <w:spacing w:before="0" w:after="0"/>
              <w:rPr>
                <w:rFonts w:cs="Arial"/>
                <w:color w:val="0000FF"/>
              </w:rPr>
            </w:pPr>
            <w:r w:rsidRPr="008719BF">
              <w:rPr>
                <w:rFonts w:cs="Arial"/>
                <w:color w:val="0000FF"/>
              </w:rPr>
              <w:t>The proposed change supports both Ofgem and The CMAs aspirations.</w:t>
            </w:r>
          </w:p>
          <w:p w:rsidR="00900AF6" w:rsidRPr="008719BF" w:rsidRDefault="00900AF6" w:rsidP="009E15F1">
            <w:pPr>
              <w:pStyle w:val="Header"/>
              <w:tabs>
                <w:tab w:val="clear" w:pos="4153"/>
                <w:tab w:val="clear" w:pos="8306"/>
              </w:tabs>
              <w:spacing w:before="0" w:after="0"/>
              <w:rPr>
                <w:rFonts w:cs="Arial"/>
                <w:color w:val="0000FF"/>
              </w:rPr>
            </w:pPr>
          </w:p>
          <w:p w:rsidR="004D50D1" w:rsidRPr="008719BF" w:rsidRDefault="004D50D1" w:rsidP="004D50D1">
            <w:pPr>
              <w:pStyle w:val="Header"/>
              <w:spacing w:before="0" w:after="0"/>
              <w:rPr>
                <w:rFonts w:cs="Arial"/>
                <w:b/>
                <w:color w:val="0000FF"/>
              </w:rPr>
            </w:pPr>
          </w:p>
          <w:p w:rsidR="004D50D1" w:rsidRPr="008719BF" w:rsidRDefault="004D50D1" w:rsidP="004D50D1">
            <w:pPr>
              <w:pStyle w:val="Header"/>
              <w:spacing w:before="0" w:after="0"/>
              <w:rPr>
                <w:rFonts w:cs="Arial"/>
                <w:color w:val="0000FF"/>
              </w:rPr>
            </w:pPr>
            <w:r w:rsidRPr="008719BF">
              <w:rPr>
                <w:rFonts w:cs="Arial"/>
                <w:color w:val="0000FF"/>
              </w:rPr>
              <w:t>Xoserve currently carry out a Must Read process covering all Monthly Read Sites. We are requesting extending the service to include Annual Read sites. The main difference between the two services will be regarding notification periods. National Grid presented the proposed process to Distribution Workgroup in January 2016. The attached presentation outlines the timeline (slide 4) which we would like to instigate.</w:t>
            </w:r>
          </w:p>
          <w:p w:rsidR="004D50D1" w:rsidRPr="008719BF" w:rsidRDefault="004D50D1" w:rsidP="004D50D1">
            <w:pPr>
              <w:pStyle w:val="Header"/>
              <w:spacing w:before="0" w:after="0"/>
              <w:rPr>
                <w:rFonts w:cs="Arial"/>
                <w:color w:val="0000FF"/>
              </w:rPr>
            </w:pPr>
          </w:p>
          <w:p w:rsidR="004D50D1" w:rsidRPr="008719BF" w:rsidRDefault="004D50D1" w:rsidP="004D50D1">
            <w:pPr>
              <w:pStyle w:val="Header"/>
              <w:spacing w:before="0" w:after="0"/>
              <w:rPr>
                <w:rFonts w:cs="Arial"/>
                <w:color w:val="0000FF"/>
              </w:rPr>
            </w:pPr>
            <w:r w:rsidRPr="008719BF">
              <w:rPr>
                <w:rFonts w:cs="Arial"/>
                <w:bCs/>
                <w:color w:val="0000FF"/>
              </w:rPr>
              <w:object w:dxaOrig="1551" w:dyaOrig="1004" w14:anchorId="7C8A9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50.25pt" o:ole="">
                  <v:imagedata r:id="rId15" o:title=""/>
                </v:shape>
                <o:OLEObject Type="Embed" ProgID="AcroExch.Document.11" ShapeID="_x0000_i1025" DrawAspect="Icon" ObjectID="_1576406943" r:id="rId16"/>
              </w:object>
            </w:r>
          </w:p>
          <w:p w:rsidR="004D50D1" w:rsidRPr="008719BF" w:rsidRDefault="004D50D1" w:rsidP="004D50D1">
            <w:pPr>
              <w:pStyle w:val="Header"/>
              <w:spacing w:before="0" w:after="0"/>
              <w:rPr>
                <w:rFonts w:cs="Arial"/>
                <w:color w:val="0000FF"/>
              </w:rPr>
            </w:pPr>
            <w:r w:rsidRPr="008719BF">
              <w:rPr>
                <w:rFonts w:cs="Arial"/>
                <w:color w:val="0000FF"/>
              </w:rPr>
              <w:t xml:space="preserve"> </w:t>
            </w:r>
          </w:p>
          <w:p w:rsidR="004D50D1" w:rsidRPr="008719BF" w:rsidRDefault="004D50D1" w:rsidP="004D50D1">
            <w:pPr>
              <w:pStyle w:val="Header"/>
              <w:tabs>
                <w:tab w:val="clear" w:pos="4153"/>
                <w:tab w:val="clear" w:pos="8306"/>
              </w:tabs>
              <w:spacing w:before="0" w:after="0"/>
              <w:rPr>
                <w:rFonts w:cs="Arial"/>
                <w:color w:val="0000FF"/>
              </w:rPr>
            </w:pPr>
            <w:r w:rsidRPr="008719BF">
              <w:rPr>
                <w:rFonts w:cs="Arial"/>
                <w:color w:val="0000FF"/>
              </w:rPr>
              <w:t>http://www.gasgovernance.co.uk/sites/default/files/Response%20to%20Action%201202.pdf</w:t>
            </w:r>
          </w:p>
        </w:tc>
      </w:tr>
      <w:tr w:rsidR="005864A3" w:rsidTr="00CC53FB">
        <w:tc>
          <w:tcPr>
            <w:tcW w:w="1951" w:type="dxa"/>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7903" w:type="dxa"/>
            <w:gridSpan w:val="3"/>
          </w:tcPr>
          <w:p w:rsidR="00900AF6" w:rsidRPr="008719BF" w:rsidRDefault="00900AF6" w:rsidP="00900AF6">
            <w:pPr>
              <w:rPr>
                <w:rFonts w:cs="Arial"/>
                <w:color w:val="0000FF"/>
              </w:rPr>
            </w:pPr>
            <w:r w:rsidRPr="008719BF">
              <w:rPr>
                <w:rFonts w:cs="Arial"/>
                <w:color w:val="0000FF"/>
              </w:rPr>
              <w:t>The change required is an extension to the current ‘Must Read’ process to include Annual Read Meters. The process will be exactly the same apart from differences in notification timelines. We understand that currently Xoserve notifies Shippers 24 months after the last read that another read is due. We would like to provide an additional notification to Shippers 32 months after the last meter read date which will give Shippers a 1 month window to complete. Transporters will carry out Meter Reading activity between 33 months and 36 months after the last Valid Meter Reading and provide the Valid Meter Reading to Xoserve as per the current ‘Must Read’ process.</w:t>
            </w:r>
            <w:r w:rsidR="009B6959" w:rsidRPr="008719BF">
              <w:rPr>
                <w:rFonts w:cs="Arial"/>
                <w:color w:val="0000FF"/>
              </w:rPr>
              <w:t xml:space="preserve"> </w:t>
            </w:r>
          </w:p>
          <w:p w:rsidR="005864A3" w:rsidRPr="008719BF" w:rsidRDefault="00900AF6" w:rsidP="00900AF6">
            <w:pPr>
              <w:rPr>
                <w:rFonts w:eastAsia="MS Gothic" w:cs="Arial"/>
              </w:rPr>
            </w:pPr>
            <w:r w:rsidRPr="008719BF">
              <w:rPr>
                <w:rFonts w:cs="Arial"/>
                <w:color w:val="0000FF"/>
              </w:rPr>
              <w:t>All Shipper billing activities should be consistent with the current process.</w:t>
            </w:r>
          </w:p>
        </w:tc>
      </w:tr>
      <w:tr w:rsidR="00B718F1" w:rsidTr="00CC53FB">
        <w:tc>
          <w:tcPr>
            <w:tcW w:w="1951" w:type="dxa"/>
            <w:shd w:val="clear" w:color="auto" w:fill="B8CCE4" w:themeFill="accent1" w:themeFillTint="66"/>
          </w:tcPr>
          <w:p w:rsidR="00B718F1" w:rsidRDefault="00B718F1" w:rsidP="005864A3">
            <w:pPr>
              <w:rPr>
                <w:b/>
              </w:rPr>
            </w:pPr>
            <w:r w:rsidRPr="00B008C3">
              <w:rPr>
                <w:b/>
              </w:rPr>
              <w:t>Status of related UNC Mod</w:t>
            </w:r>
          </w:p>
        </w:tc>
        <w:tc>
          <w:tcPr>
            <w:tcW w:w="7903" w:type="dxa"/>
            <w:gridSpan w:val="3"/>
          </w:tcPr>
          <w:p w:rsidR="00B718F1" w:rsidRPr="008719BF" w:rsidRDefault="009B6959" w:rsidP="005864A3">
            <w:pPr>
              <w:rPr>
                <w:rFonts w:cs="Arial"/>
              </w:rPr>
            </w:pPr>
            <w:r w:rsidRPr="008719BF">
              <w:rPr>
                <w:rFonts w:cs="Arial"/>
                <w:color w:val="0000FF"/>
              </w:rPr>
              <w:t>N/A</w:t>
            </w:r>
          </w:p>
        </w:tc>
      </w:tr>
      <w:tr w:rsidR="001F148A" w:rsidTr="00CC53FB">
        <w:tc>
          <w:tcPr>
            <w:tcW w:w="1951" w:type="dxa"/>
            <w:shd w:val="clear" w:color="auto" w:fill="B8CCE4" w:themeFill="accent1" w:themeFillTint="66"/>
          </w:tcPr>
          <w:p w:rsidR="001F148A" w:rsidRPr="00B008C3" w:rsidRDefault="001F148A" w:rsidP="005864A3">
            <w:pPr>
              <w:rPr>
                <w:b/>
              </w:rPr>
            </w:pPr>
            <w:r>
              <w:rPr>
                <w:b/>
              </w:rPr>
              <w:t>Full title of related UNC Mod</w:t>
            </w:r>
          </w:p>
        </w:tc>
        <w:tc>
          <w:tcPr>
            <w:tcW w:w="7903" w:type="dxa"/>
            <w:gridSpan w:val="3"/>
          </w:tcPr>
          <w:p w:rsidR="001F148A" w:rsidRPr="008719BF" w:rsidRDefault="009B6959" w:rsidP="005864A3">
            <w:pPr>
              <w:rPr>
                <w:rFonts w:cs="Arial"/>
              </w:rPr>
            </w:pPr>
            <w:r w:rsidRPr="008719BF">
              <w:rPr>
                <w:rFonts w:cs="Arial"/>
                <w:color w:val="0000FF"/>
              </w:rPr>
              <w:t>N/A</w:t>
            </w:r>
          </w:p>
        </w:tc>
      </w:tr>
      <w:tr w:rsidR="00B718F1" w:rsidTr="00CC53FB">
        <w:tc>
          <w:tcPr>
            <w:tcW w:w="1951" w:type="dxa"/>
            <w:shd w:val="clear" w:color="auto" w:fill="B8CCE4" w:themeFill="accent1" w:themeFillTint="66"/>
          </w:tcPr>
          <w:p w:rsidR="00B718F1" w:rsidRDefault="00B718F1" w:rsidP="005864A3">
            <w:pPr>
              <w:rPr>
                <w:b/>
              </w:rPr>
            </w:pPr>
            <w:r>
              <w:rPr>
                <w:b/>
              </w:rPr>
              <w:t>Benefits of change</w:t>
            </w:r>
          </w:p>
        </w:tc>
        <w:tc>
          <w:tcPr>
            <w:tcW w:w="7903" w:type="dxa"/>
            <w:gridSpan w:val="3"/>
          </w:tcPr>
          <w:p w:rsidR="00023BA0" w:rsidRPr="008719BF" w:rsidRDefault="00023BA0" w:rsidP="00BF486A">
            <w:pPr>
              <w:spacing w:before="60" w:after="60"/>
              <w:rPr>
                <w:rFonts w:eastAsia="MS Gothic" w:cs="Arial"/>
              </w:rPr>
            </w:pPr>
          </w:p>
        </w:tc>
      </w:tr>
      <w:tr w:rsidR="00B718F1" w:rsidTr="00CC53FB">
        <w:tc>
          <w:tcPr>
            <w:tcW w:w="1951" w:type="dxa"/>
            <w:shd w:val="clear" w:color="auto" w:fill="B8CCE4" w:themeFill="accent1" w:themeFillTint="66"/>
          </w:tcPr>
          <w:p w:rsidR="00B718F1" w:rsidRPr="009B6959" w:rsidRDefault="00B718F1" w:rsidP="005864A3">
            <w:pPr>
              <w:rPr>
                <w:b/>
                <w:highlight w:val="yellow"/>
              </w:rPr>
            </w:pPr>
            <w:r w:rsidRPr="00023BA0">
              <w:rPr>
                <w:b/>
              </w:rPr>
              <w:t>Required Change Implementation Date</w:t>
            </w:r>
          </w:p>
        </w:tc>
        <w:tc>
          <w:tcPr>
            <w:tcW w:w="7903" w:type="dxa"/>
            <w:gridSpan w:val="3"/>
          </w:tcPr>
          <w:p w:rsidR="00023BA0" w:rsidRPr="008719BF" w:rsidRDefault="00023BA0" w:rsidP="00023BA0">
            <w:pPr>
              <w:spacing w:before="60" w:after="60"/>
              <w:rPr>
                <w:rFonts w:cs="Arial"/>
                <w:bCs/>
                <w:color w:val="0000FF"/>
              </w:rPr>
            </w:pPr>
            <w:r w:rsidRPr="008719BF">
              <w:rPr>
                <w:rFonts w:cs="Arial"/>
                <w:bCs/>
                <w:color w:val="0000FF"/>
              </w:rPr>
              <w:t>To be decided at Change Managers Committee</w:t>
            </w:r>
          </w:p>
          <w:p w:rsidR="00B718F1" w:rsidRPr="008719BF" w:rsidRDefault="00B718F1" w:rsidP="005864A3">
            <w:pPr>
              <w:rPr>
                <w:rFonts w:eastAsia="MS Gothic" w:cs="Arial"/>
                <w:highlight w:val="yellow"/>
              </w:rPr>
            </w:pPr>
          </w:p>
        </w:tc>
      </w:tr>
      <w:tr w:rsidR="00B718F1" w:rsidTr="00CC53FB">
        <w:tc>
          <w:tcPr>
            <w:tcW w:w="1951" w:type="dxa"/>
            <w:shd w:val="clear" w:color="auto" w:fill="B8CCE4" w:themeFill="accent1" w:themeFillTint="66"/>
          </w:tcPr>
          <w:p w:rsidR="00B718F1" w:rsidRDefault="00B718F1" w:rsidP="005864A3">
            <w:pPr>
              <w:rPr>
                <w:b/>
              </w:rPr>
            </w:pPr>
            <w:r w:rsidRPr="007A3ADD">
              <w:rPr>
                <w:rFonts w:cs="Arial"/>
                <w:b/>
                <w:bCs/>
              </w:rPr>
              <w:br w:type="page"/>
            </w:r>
            <w:r w:rsidRPr="00023BA0">
              <w:rPr>
                <w:rFonts w:cs="Arial"/>
                <w:b/>
              </w:rPr>
              <w:t>Please provide an assessment of the priority of this change from the perspective of the industry.</w:t>
            </w:r>
          </w:p>
        </w:tc>
        <w:tc>
          <w:tcPr>
            <w:tcW w:w="7903" w:type="dxa"/>
            <w:gridSpan w:val="3"/>
          </w:tcPr>
          <w:p w:rsidR="00B718F1" w:rsidRDefault="003309AE"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3309AE"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3309AE" w:rsidP="004363D0">
            <w:sdt>
              <w:sdtPr>
                <w:id w:val="1202048263"/>
                <w14:checkbox>
                  <w14:checked w14:val="1"/>
                  <w14:checkedState w14:val="2612" w14:font="MS Gothic"/>
                  <w14:uncheckedState w14:val="2610" w14:font="MS Gothic"/>
                </w14:checkbox>
              </w:sdtPr>
              <w:sdtEndPr/>
              <w:sdtContent>
                <w:r w:rsidR="00A11836">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3309AE"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3309AE" w:rsidP="004363D0">
            <w:sdt>
              <w:sdtPr>
                <w:id w:val="1331867645"/>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3309AE"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3309AE" w:rsidP="004363D0">
            <w:pPr>
              <w:rPr>
                <w:color w:val="0070C0"/>
              </w:rPr>
            </w:pPr>
            <w:sdt>
              <w:sdtPr>
                <w:id w:val="-58095995"/>
                <w14:checkbox>
                  <w14:checked w14:val="0"/>
                  <w14:checkedState w14:val="2612" w14:font="MS Gothic"/>
                  <w14:uncheckedState w14:val="2610" w14:font="MS Gothic"/>
                </w14:checkbox>
              </w:sdtPr>
              <w:sdtEndPr/>
              <w:sdtContent>
                <w:r w:rsidR="009B6959">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3309AE"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3309AE" w:rsidP="004363D0">
            <w:pPr>
              <w:rPr>
                <w:b/>
              </w:rPr>
            </w:pPr>
            <w:sdt>
              <w:sdtPr>
                <w:id w:val="-1390867403"/>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3309AE"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3309AE"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3309AE"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3309AE" w:rsidP="00B174A5">
            <w:pPr>
              <w:rPr>
                <w:rFonts w:cs="Arial"/>
              </w:rPr>
            </w:pPr>
            <w:sdt>
              <w:sdtPr>
                <w:id w:val="-1112436449"/>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3309AE"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3309AE"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3309AE"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3309AE" w:rsidP="000B0E56">
            <w:pPr>
              <w:rPr>
                <w:rFonts w:cs="Arial"/>
                <w:bCs/>
                <w:szCs w:val="20"/>
              </w:rPr>
            </w:pPr>
            <w:sdt>
              <w:sdtPr>
                <w:id w:val="-1477137009"/>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D01653">
              <w:rPr>
                <w:rFonts w:cs="Arial"/>
                <w:bCs/>
                <w:szCs w:val="20"/>
              </w:rPr>
              <w:t>Distribution Network Operators</w:t>
            </w:r>
          </w:p>
          <w:p w:rsidR="00D01653" w:rsidRDefault="003309AE"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3309AE"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3309AE" w:rsidP="00B174A5">
            <w:pPr>
              <w:rPr>
                <w:rFonts w:cs="Arial"/>
              </w:rPr>
            </w:pPr>
            <w:sdt>
              <w:sdtPr>
                <w:id w:val="1923596732"/>
                <w14:checkbox>
                  <w14:checked w14:val="1"/>
                  <w14:checkedState w14:val="2612" w14:font="MS Gothic"/>
                  <w14:uncheckedState w14:val="2610" w14:font="MS Gothic"/>
                </w14:checkbox>
              </w:sdtPr>
              <w:sdtEndPr/>
              <w:sdtContent>
                <w:r w:rsidR="00BF486A">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7"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900AF6" w:rsidP="00C15A8F">
            <w:pPr>
              <w:spacing w:before="60" w:after="60"/>
              <w:rPr>
                <w:rFonts w:cs="Arial"/>
                <w:color w:val="0000FF"/>
              </w:rPr>
            </w:pPr>
            <w:r w:rsidRPr="00900AF6">
              <w:rPr>
                <w:rFonts w:cs="Arial"/>
                <w:color w:val="0000FF"/>
              </w:rPr>
              <w:t>This service is an extension to the current ‘Must Read’ process which Xoserve carries out for Monthly Read Meters. If that process impacts UK Link or File Formats then the extension to the service could have an additional impact.</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900AF6" w:rsidP="00B174A5">
            <w:pPr>
              <w:rPr>
                <w:rFonts w:cs="Arial"/>
                <w:color w:val="0000FF"/>
              </w:rPr>
            </w:pPr>
            <w:r w:rsidRPr="00900AF6">
              <w:rPr>
                <w:rFonts w:cs="Arial"/>
                <w:color w:val="0000FF"/>
              </w:rPr>
              <w:t>Not known</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15A8F" w:rsidP="004363D0">
            <w:pPr>
              <w:spacing w:before="0" w:after="0"/>
              <w:rPr>
                <w:b/>
              </w:rPr>
            </w:pP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3309AE"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3309AE"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3309AE"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3309AE"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3309AE"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3309AE"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3309AE"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3309AE"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3309AE"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3309AE"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3309AE"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3309AE"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3309AE"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3309AE"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3309AE"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3309AE"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6" w:name="_Toc478979680"/>
      <w:bookmarkStart w:id="17"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6"/>
      <w:bookmarkEnd w:id="17"/>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8" w:name="_Toc478979681"/>
      <w:bookmarkStart w:id="19"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8"/>
      <w:bookmarkEnd w:id="19"/>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3309AE"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3309AE"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0" w:name="_Toc478979682"/>
      <w:bookmarkStart w:id="21"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0"/>
      <w:bookmarkEnd w:id="21"/>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2" w:name="_Toc478979683"/>
      <w:bookmarkStart w:id="23"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2"/>
      <w:bookmarkEnd w:id="23"/>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4" w:name="_Appendix_One:_Service"/>
      <w:bookmarkStart w:id="25" w:name="_Toc478979684"/>
      <w:bookmarkStart w:id="26" w:name="_Toc479163261"/>
      <w:bookmarkEnd w:id="24"/>
      <w:r w:rsidRPr="00C2627B">
        <w:rPr>
          <w:bCs w:val="0"/>
          <w:i/>
          <w:sz w:val="40"/>
          <w:szCs w:val="40"/>
        </w:rPr>
        <w:t xml:space="preserve">Appendix One: </w:t>
      </w:r>
      <w:bookmarkEnd w:id="25"/>
      <w:bookmarkEnd w:id="26"/>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F65F50" w:rsidRDefault="00F65F50" w:rsidP="00C2627B">
      <w:pPr>
        <w:spacing w:before="0" w:after="0"/>
        <w:rPr>
          <w:b/>
        </w:rPr>
      </w:pPr>
    </w:p>
    <w:p w:rsidR="00F65F50" w:rsidRDefault="00F65F50">
      <w:pPr>
        <w:spacing w:before="0" w:after="0"/>
        <w:rPr>
          <w:b/>
        </w:rPr>
      </w:pPr>
      <w:r>
        <w:rPr>
          <w:b/>
        </w:rPr>
        <w:br w:type="page"/>
      </w:r>
    </w:p>
    <w:p w:rsidR="00F65F50" w:rsidRPr="00C2627B" w:rsidRDefault="00F65F50" w:rsidP="00F65F50">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r w:rsidRPr="00C2627B">
        <w:rPr>
          <w:bCs w:val="0"/>
          <w:i/>
          <w:sz w:val="40"/>
          <w:szCs w:val="40"/>
        </w:rPr>
        <w:t xml:space="preserve">Appendix </w:t>
      </w:r>
      <w:r>
        <w:rPr>
          <w:bCs w:val="0"/>
          <w:i/>
          <w:sz w:val="40"/>
          <w:szCs w:val="40"/>
        </w:rPr>
        <w:t>Two</w:t>
      </w:r>
      <w:r w:rsidRPr="00C2627B">
        <w:rPr>
          <w:bCs w:val="0"/>
          <w:i/>
          <w:sz w:val="40"/>
          <w:szCs w:val="40"/>
        </w:rPr>
        <w:t xml:space="preserve">: </w:t>
      </w:r>
      <w:r>
        <w:rPr>
          <w:bCs w:val="0"/>
          <w:i/>
          <w:sz w:val="40"/>
          <w:szCs w:val="40"/>
        </w:rPr>
        <w:t>Consultation Responses</w:t>
      </w:r>
    </w:p>
    <w:p w:rsidR="00F65F50" w:rsidRPr="00F959B9" w:rsidRDefault="00F65F50" w:rsidP="00F65F50">
      <w:pPr>
        <w:spacing w:before="0" w:after="0"/>
      </w:pPr>
      <w:r w:rsidRPr="00F959B9">
        <w:t>As p</w:t>
      </w:r>
      <w:r>
        <w:t>er the request at the Change Management</w:t>
      </w:r>
      <w:r w:rsidRPr="00F959B9">
        <w:t xml:space="preserve"> Committee meeting on the 13</w:t>
      </w:r>
      <w:r w:rsidRPr="00F959B9">
        <w:rPr>
          <w:vertAlign w:val="superscript"/>
        </w:rPr>
        <w:t>th</w:t>
      </w:r>
      <w:r w:rsidRPr="00F959B9">
        <w:t xml:space="preserve"> December 2017 this change was issued for consultation across the industry.</w:t>
      </w:r>
      <w:r>
        <w:t xml:space="preserve"> The consultation closed on the 28</w:t>
      </w:r>
      <w:r w:rsidRPr="00F959B9">
        <w:rPr>
          <w:vertAlign w:val="superscript"/>
        </w:rPr>
        <w:t>th</w:t>
      </w:r>
      <w:r>
        <w:t xml:space="preserve"> December 2017. The comments received will form the basis of discussion at the Change Management Committee on 10</w:t>
      </w:r>
      <w:r w:rsidRPr="00B15842">
        <w:rPr>
          <w:vertAlign w:val="superscript"/>
        </w:rPr>
        <w:t>th</w:t>
      </w:r>
      <w:r>
        <w:t xml:space="preserve"> January 2018 to approve or reject the change. </w:t>
      </w:r>
    </w:p>
    <w:p w:rsidR="00F65F50" w:rsidRDefault="00F65F50" w:rsidP="00F65F50">
      <w:pPr>
        <w:spacing w:before="0" w:after="0"/>
      </w:pPr>
    </w:p>
    <w:p w:rsidR="00F65F50" w:rsidRDefault="00F65F50" w:rsidP="00F65F50">
      <w:pPr>
        <w:spacing w:before="0" w:after="0"/>
      </w:pPr>
      <w:r>
        <w:t>T</w:t>
      </w:r>
      <w:r w:rsidRPr="00F959B9">
        <w:t>he following two comments were received:</w:t>
      </w:r>
    </w:p>
    <w:tbl>
      <w:tblPr>
        <w:tblW w:w="10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5"/>
        <w:gridCol w:w="1134"/>
        <w:gridCol w:w="6813"/>
      </w:tblGrid>
      <w:tr w:rsidR="00F65F50" w:rsidRPr="00E65488" w:rsidTr="00F65F50">
        <w:trPr>
          <w:trHeight w:val="577"/>
        </w:trPr>
        <w:tc>
          <w:tcPr>
            <w:tcW w:w="1277" w:type="dxa"/>
            <w:shd w:val="clear" w:color="auto" w:fill="D9D9D9" w:themeFill="background1" w:themeFillShade="D9"/>
            <w:vAlign w:val="center"/>
          </w:tcPr>
          <w:p w:rsidR="00F65F50" w:rsidRPr="00F65F50" w:rsidRDefault="00F65F50" w:rsidP="00F65F50">
            <w:pPr>
              <w:pStyle w:val="Heading3"/>
              <w:jc w:val="center"/>
              <w:rPr>
                <w:rFonts w:cs="Arial"/>
                <w:b/>
                <w:i w:val="0"/>
              </w:rPr>
            </w:pPr>
            <w:r w:rsidRPr="00F65F50">
              <w:rPr>
                <w:rFonts w:cs="Arial"/>
                <w:b/>
                <w:i w:val="0"/>
              </w:rPr>
              <w:t>User</w:t>
            </w:r>
          </w:p>
        </w:tc>
        <w:tc>
          <w:tcPr>
            <w:tcW w:w="1275" w:type="dxa"/>
            <w:shd w:val="clear" w:color="auto" w:fill="D9D9D9" w:themeFill="background1" w:themeFillShade="D9"/>
            <w:vAlign w:val="center"/>
          </w:tcPr>
          <w:p w:rsidR="00F65F50" w:rsidRPr="00F65F50" w:rsidRDefault="00F65F50" w:rsidP="008402E5">
            <w:pPr>
              <w:jc w:val="center"/>
              <w:rPr>
                <w:rFonts w:cs="Arial"/>
                <w:b/>
                <w:bCs/>
              </w:rPr>
            </w:pPr>
            <w:r w:rsidRPr="00F65F50">
              <w:rPr>
                <w:rFonts w:cs="Arial"/>
                <w:b/>
                <w:bCs/>
              </w:rPr>
              <w:t>Name</w:t>
            </w:r>
          </w:p>
        </w:tc>
        <w:tc>
          <w:tcPr>
            <w:tcW w:w="1134" w:type="dxa"/>
            <w:shd w:val="clear" w:color="auto" w:fill="D9D9D9" w:themeFill="background1" w:themeFillShade="D9"/>
            <w:vAlign w:val="center"/>
          </w:tcPr>
          <w:p w:rsidR="00F65F50" w:rsidRPr="00F65F50" w:rsidRDefault="00F65F50" w:rsidP="008402E5">
            <w:pPr>
              <w:jc w:val="center"/>
              <w:rPr>
                <w:rFonts w:cs="Arial"/>
                <w:b/>
                <w:bCs/>
              </w:rPr>
            </w:pPr>
            <w:r w:rsidRPr="00F65F50">
              <w:rPr>
                <w:rFonts w:cs="Arial"/>
                <w:b/>
                <w:bCs/>
              </w:rPr>
              <w:t>Date</w:t>
            </w:r>
          </w:p>
        </w:tc>
        <w:tc>
          <w:tcPr>
            <w:tcW w:w="6813" w:type="dxa"/>
            <w:shd w:val="clear" w:color="auto" w:fill="D9D9D9" w:themeFill="background1" w:themeFillShade="D9"/>
            <w:vAlign w:val="center"/>
          </w:tcPr>
          <w:p w:rsidR="00F65F50" w:rsidRPr="00F65F50" w:rsidRDefault="00F65F50" w:rsidP="008402E5">
            <w:pPr>
              <w:pStyle w:val="Heading1"/>
              <w:framePr w:wrap="around"/>
              <w:jc w:val="center"/>
            </w:pPr>
            <w:r w:rsidRPr="00F65F50">
              <w:t>User Comments</w:t>
            </w:r>
          </w:p>
        </w:tc>
      </w:tr>
      <w:tr w:rsidR="00F65F50" w:rsidRPr="00E65488" w:rsidTr="00F65F50">
        <w:trPr>
          <w:trHeight w:val="1948"/>
        </w:trPr>
        <w:tc>
          <w:tcPr>
            <w:tcW w:w="1277" w:type="dxa"/>
          </w:tcPr>
          <w:p w:rsidR="00F65F50" w:rsidRPr="00F65F50" w:rsidRDefault="00F65F50" w:rsidP="008402E5">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r w:rsidRPr="00F65F50">
              <w:rPr>
                <w:rFonts w:cs="Arial"/>
                <w:szCs w:val="18"/>
              </w:rPr>
              <w:t>Scottish Power</w:t>
            </w:r>
          </w:p>
        </w:tc>
        <w:tc>
          <w:tcPr>
            <w:tcW w:w="1275" w:type="dxa"/>
          </w:tcPr>
          <w:p w:rsidR="00F65F50" w:rsidRPr="00F65F50" w:rsidRDefault="00F65F50" w:rsidP="008402E5">
            <w:pPr>
              <w:jc w:val="center"/>
              <w:rPr>
                <w:rFonts w:cs="Arial"/>
                <w:szCs w:val="18"/>
              </w:rPr>
            </w:pPr>
            <w:r w:rsidRPr="00F65F50">
              <w:rPr>
                <w:rFonts w:cs="Arial"/>
                <w:szCs w:val="18"/>
              </w:rPr>
              <w:t>Shane Preston</w:t>
            </w:r>
          </w:p>
        </w:tc>
        <w:tc>
          <w:tcPr>
            <w:tcW w:w="1134" w:type="dxa"/>
          </w:tcPr>
          <w:p w:rsidR="00F65F50" w:rsidRPr="00F65F50" w:rsidRDefault="00F65F50" w:rsidP="008402E5">
            <w:pPr>
              <w:jc w:val="center"/>
              <w:rPr>
                <w:rFonts w:cs="Arial"/>
                <w:szCs w:val="18"/>
              </w:rPr>
            </w:pPr>
            <w:r w:rsidRPr="00F65F50">
              <w:rPr>
                <w:rFonts w:cs="Arial"/>
                <w:szCs w:val="18"/>
              </w:rPr>
              <w:t>27/12/17</w:t>
            </w:r>
          </w:p>
        </w:tc>
        <w:tc>
          <w:tcPr>
            <w:tcW w:w="6813" w:type="dxa"/>
          </w:tcPr>
          <w:p w:rsidR="00F65F50" w:rsidRPr="00F65F50" w:rsidRDefault="00F65F50" w:rsidP="00F65F50">
            <w:pPr>
              <w:pStyle w:val="ListParagraph"/>
              <w:ind w:left="0"/>
              <w:rPr>
                <w:rFonts w:cs="Arial"/>
                <w:szCs w:val="18"/>
              </w:rPr>
            </w:pPr>
            <w:r w:rsidRPr="00F65F50">
              <w:rPr>
                <w:rFonts w:cs="Arial"/>
                <w:szCs w:val="18"/>
              </w:rPr>
              <w:t xml:space="preserve">Although this is marked as a restricted class to DNO’s, it states that “All Shipper billing activities should be consistent with the current process.” This intimates that there could be impact on other classes; therefore this should be opened up to all potential affected classes. Also with the use of the word “should”, this is ambiguous and needs clarity for transparency to the billing process which could have a material impact. </w:t>
            </w:r>
          </w:p>
        </w:tc>
      </w:tr>
      <w:tr w:rsidR="00F65F50" w:rsidRPr="00E65488" w:rsidTr="00F65F50">
        <w:trPr>
          <w:trHeight w:val="2560"/>
        </w:trPr>
        <w:tc>
          <w:tcPr>
            <w:tcW w:w="1277" w:type="dxa"/>
          </w:tcPr>
          <w:p w:rsidR="00F65F50" w:rsidRPr="00F65F50" w:rsidRDefault="00F65F50" w:rsidP="008402E5">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proofErr w:type="spellStart"/>
            <w:r w:rsidRPr="00F65F50">
              <w:rPr>
                <w:rFonts w:cs="Arial"/>
                <w:szCs w:val="18"/>
              </w:rPr>
              <w:t>NPower</w:t>
            </w:r>
            <w:proofErr w:type="spellEnd"/>
          </w:p>
        </w:tc>
        <w:tc>
          <w:tcPr>
            <w:tcW w:w="1275" w:type="dxa"/>
          </w:tcPr>
          <w:p w:rsidR="00F65F50" w:rsidRPr="00F65F50" w:rsidRDefault="00F65F50" w:rsidP="008402E5">
            <w:pPr>
              <w:jc w:val="center"/>
              <w:rPr>
                <w:rFonts w:cs="Arial"/>
                <w:szCs w:val="18"/>
              </w:rPr>
            </w:pPr>
            <w:r w:rsidRPr="00F65F50">
              <w:rPr>
                <w:rFonts w:cs="Arial"/>
                <w:szCs w:val="18"/>
              </w:rPr>
              <w:t>Maitrayee Bhowmick-Jewkes</w:t>
            </w:r>
          </w:p>
        </w:tc>
        <w:tc>
          <w:tcPr>
            <w:tcW w:w="1134" w:type="dxa"/>
          </w:tcPr>
          <w:p w:rsidR="00F65F50" w:rsidRPr="00F65F50" w:rsidRDefault="00F65F50" w:rsidP="008402E5">
            <w:pPr>
              <w:jc w:val="center"/>
              <w:rPr>
                <w:rFonts w:cs="Arial"/>
                <w:szCs w:val="18"/>
              </w:rPr>
            </w:pPr>
            <w:r w:rsidRPr="00F65F50">
              <w:rPr>
                <w:rFonts w:cs="Arial"/>
                <w:szCs w:val="18"/>
              </w:rPr>
              <w:t>28/12/17</w:t>
            </w:r>
          </w:p>
        </w:tc>
        <w:tc>
          <w:tcPr>
            <w:tcW w:w="6813" w:type="dxa"/>
          </w:tcPr>
          <w:p w:rsidR="00F65F50" w:rsidRPr="00F65F50" w:rsidRDefault="00F65F50" w:rsidP="008402E5">
            <w:pPr>
              <w:pStyle w:val="ListParagraph"/>
              <w:ind w:left="0"/>
              <w:rPr>
                <w:rFonts w:cs="Arial"/>
                <w:szCs w:val="18"/>
              </w:rPr>
            </w:pPr>
            <w:r w:rsidRPr="00F65F50">
              <w:rPr>
                <w:rFonts w:cs="Arial"/>
                <w:szCs w:val="18"/>
              </w:rPr>
              <w:t xml:space="preserve">We recognise that code already dictates that transporters can obtain a must read on any NDM meter point if sufficient time elapses between successful valid read submission, but up until now they have only done so on MPRNs with a Monthly MRF.  We can see the benefits of this change (more valid reads entering settlement) and support it as such.  However, we would like some clarification as to why reads obtained by transporters are significantly more expensive than ‘regular’ cyclic reads (the costs shippers will pay will of course vary in correlation with individual contracts).  Is the inflated cost due intended as a penalty?  If so is this appropriate if rolling out to largely domestic meter points (as opposed to largely I&amp;C ones that are monthly read).  Also, what other information could be provided via the must read process which might prevent a future delay in read procurement (i.e. what did Cadent do that hadn’t been done already in the cyclic read process?).  If improvements could be made as part of this change coming into effect, we would fully support this.  Finally, does Cadent intend to start immediately attempting to gain must reads on any meter point that hasn’t been read for 33 months, or start from scratch when the change goes live? </w:t>
            </w:r>
          </w:p>
          <w:p w:rsidR="00F65F50" w:rsidRPr="00F65F50" w:rsidRDefault="00F65F50" w:rsidP="008402E5">
            <w:pPr>
              <w:pStyle w:val="ListParagraph"/>
              <w:rPr>
                <w:rFonts w:cs="Arial"/>
                <w:szCs w:val="18"/>
              </w:rPr>
            </w:pPr>
          </w:p>
          <w:p w:rsidR="00F65F50" w:rsidRPr="00F65F50" w:rsidRDefault="00F65F50" w:rsidP="008402E5">
            <w:pPr>
              <w:pStyle w:val="ListParagraph"/>
              <w:ind w:left="0"/>
              <w:rPr>
                <w:rFonts w:cs="Arial"/>
                <w:szCs w:val="18"/>
              </w:rPr>
            </w:pPr>
            <w:r w:rsidRPr="00F65F50">
              <w:rPr>
                <w:rFonts w:cs="Arial"/>
                <w:szCs w:val="18"/>
              </w:rPr>
              <w:t xml:space="preserve">It would also be helpful to know how we would get notified of these sites, as in the past this was done via email or spreadsheets. We are also interested in understanding the crossover, if any, with the MIN.M96 (Meter Inspection Notice). </w:t>
            </w:r>
          </w:p>
          <w:p w:rsidR="00F65F50" w:rsidRPr="00F65F50" w:rsidRDefault="00F65F50" w:rsidP="008402E5">
            <w:pPr>
              <w:pStyle w:val="ListParagraph"/>
              <w:rPr>
                <w:rFonts w:cs="Arial"/>
                <w:szCs w:val="18"/>
              </w:rPr>
            </w:pPr>
          </w:p>
          <w:p w:rsidR="00F65F50" w:rsidRPr="00F65F50" w:rsidRDefault="00F65F50" w:rsidP="008402E5">
            <w:pPr>
              <w:pStyle w:val="ListParagraph"/>
              <w:ind w:left="0"/>
              <w:rPr>
                <w:rFonts w:cs="Arial"/>
                <w:szCs w:val="18"/>
              </w:rPr>
            </w:pPr>
            <w:r w:rsidRPr="00F65F50">
              <w:rPr>
                <w:rFonts w:cs="Arial"/>
                <w:szCs w:val="18"/>
              </w:rPr>
              <w:t>In the case of no reads being received and Cadent carrying out meter reading activity to report to Xoserve, will the time frame run from the date of implementation, or will it be applied retrospectively, meaning that we could be set with a significant charge for all sites greater than 36 months from day 1?</w:t>
            </w:r>
          </w:p>
        </w:tc>
      </w:tr>
    </w:tbl>
    <w:p w:rsidR="00BE28E3" w:rsidRPr="00C2627B" w:rsidRDefault="00BE28E3" w:rsidP="00C2627B">
      <w:pPr>
        <w:spacing w:before="0" w:after="0"/>
        <w:rPr>
          <w:b/>
        </w:rPr>
      </w:pPr>
    </w:p>
    <w:sectPr w:rsidR="00BE28E3" w:rsidRPr="00C2627B" w:rsidSect="00C2627B">
      <w:headerReference w:type="default" r:id="rId18"/>
      <w:footerReference w:type="default" r:id="rId19"/>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AE" w:rsidRDefault="003309AE">
      <w:r>
        <w:separator/>
      </w:r>
    </w:p>
  </w:endnote>
  <w:endnote w:type="continuationSeparator" w:id="0">
    <w:p w:rsidR="003309AE" w:rsidRDefault="003309AE">
      <w:r>
        <w:continuationSeparator/>
      </w:r>
    </w:p>
  </w:endnote>
  <w:endnote w:type="continuationNotice" w:id="1">
    <w:p w:rsidR="003309AE" w:rsidRDefault="003309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7" w:rsidRDefault="00281707"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D8065D">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D8065D">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AE" w:rsidRDefault="003309AE">
      <w:r>
        <w:separator/>
      </w:r>
    </w:p>
  </w:footnote>
  <w:footnote w:type="continuationSeparator" w:id="0">
    <w:p w:rsidR="003309AE" w:rsidRDefault="003309AE">
      <w:r>
        <w:continuationSeparator/>
      </w:r>
    </w:p>
  </w:footnote>
  <w:footnote w:type="continuationNotice" w:id="1">
    <w:p w:rsidR="003309AE" w:rsidRDefault="003309A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07" w:rsidRPr="00C2627B" w:rsidRDefault="00281707">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23BA0"/>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246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1707"/>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309AE"/>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C53BC"/>
    <w:rsid w:val="004D50D1"/>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43DD"/>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1CCD"/>
    <w:rsid w:val="00793175"/>
    <w:rsid w:val="007A589C"/>
    <w:rsid w:val="007B546E"/>
    <w:rsid w:val="007B6066"/>
    <w:rsid w:val="007C0023"/>
    <w:rsid w:val="007C0113"/>
    <w:rsid w:val="007C26CF"/>
    <w:rsid w:val="007C6913"/>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19BF"/>
    <w:rsid w:val="00876F25"/>
    <w:rsid w:val="008905F8"/>
    <w:rsid w:val="008B567D"/>
    <w:rsid w:val="008C3248"/>
    <w:rsid w:val="008D2AE5"/>
    <w:rsid w:val="008E51D1"/>
    <w:rsid w:val="00900AF6"/>
    <w:rsid w:val="00901917"/>
    <w:rsid w:val="00922FDF"/>
    <w:rsid w:val="0092424D"/>
    <w:rsid w:val="0092674F"/>
    <w:rsid w:val="00934E19"/>
    <w:rsid w:val="009379E1"/>
    <w:rsid w:val="00942332"/>
    <w:rsid w:val="00950E7D"/>
    <w:rsid w:val="009843B9"/>
    <w:rsid w:val="00987175"/>
    <w:rsid w:val="009A63CE"/>
    <w:rsid w:val="009B4625"/>
    <w:rsid w:val="009B6959"/>
    <w:rsid w:val="009C1A5E"/>
    <w:rsid w:val="009D109D"/>
    <w:rsid w:val="009E15F1"/>
    <w:rsid w:val="009E55B7"/>
    <w:rsid w:val="009E710C"/>
    <w:rsid w:val="00A02E74"/>
    <w:rsid w:val="00A06D85"/>
    <w:rsid w:val="00A11836"/>
    <w:rsid w:val="00A1373D"/>
    <w:rsid w:val="00A1661C"/>
    <w:rsid w:val="00A20898"/>
    <w:rsid w:val="00A3164A"/>
    <w:rsid w:val="00A37203"/>
    <w:rsid w:val="00A40C2E"/>
    <w:rsid w:val="00A44A20"/>
    <w:rsid w:val="00A56D06"/>
    <w:rsid w:val="00A70317"/>
    <w:rsid w:val="00A729D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486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66DF2"/>
    <w:rsid w:val="00C803AD"/>
    <w:rsid w:val="00C869A2"/>
    <w:rsid w:val="00C964DC"/>
    <w:rsid w:val="00CA0EA1"/>
    <w:rsid w:val="00CA3368"/>
    <w:rsid w:val="00CA5B96"/>
    <w:rsid w:val="00CB0C1B"/>
    <w:rsid w:val="00CB48FB"/>
    <w:rsid w:val="00CB7120"/>
    <w:rsid w:val="00CC53FB"/>
    <w:rsid w:val="00CC59D1"/>
    <w:rsid w:val="00CD0F3C"/>
    <w:rsid w:val="00CD26C1"/>
    <w:rsid w:val="00CD3AAB"/>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065D"/>
    <w:rsid w:val="00D83FFA"/>
    <w:rsid w:val="00D930A1"/>
    <w:rsid w:val="00D95C1F"/>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54C06"/>
    <w:rsid w:val="00E60B04"/>
    <w:rsid w:val="00E6438A"/>
    <w:rsid w:val="00E9111D"/>
    <w:rsid w:val="00E92939"/>
    <w:rsid w:val="00EA2692"/>
    <w:rsid w:val="00EA7216"/>
    <w:rsid w:val="00EB40EF"/>
    <w:rsid w:val="00EB5B56"/>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4C27"/>
    <w:rsid w:val="00F55C31"/>
    <w:rsid w:val="00F65F50"/>
    <w:rsid w:val="00F941E1"/>
    <w:rsid w:val="00F95FA4"/>
    <w:rsid w:val="00F96A16"/>
    <w:rsid w:val="00FA37AB"/>
    <w:rsid w:val="00FB6965"/>
    <w:rsid w:val="00FC0EAD"/>
    <w:rsid w:val="00FC6595"/>
    <w:rsid w:val="00FC7184"/>
    <w:rsid w:val="00FD3B2D"/>
    <w:rsid w:val="00FD3F02"/>
    <w:rsid w:val="00FD5273"/>
    <w:rsid w:val="00FD54C6"/>
    <w:rsid w:val="00FD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y.clasper@nationalgri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xoserve.com/wp-content/uploads/BUDGET-AND-CHARGING-METHODOLOGY.pdf"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chel.hinsley@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2A74B7"/>
    <w:rsid w:val="00321D48"/>
    <w:rsid w:val="003438A5"/>
    <w:rsid w:val="003C6C7D"/>
    <w:rsid w:val="00475E12"/>
    <w:rsid w:val="00491138"/>
    <w:rsid w:val="004C5568"/>
    <w:rsid w:val="00516387"/>
    <w:rsid w:val="005E1276"/>
    <w:rsid w:val="00656F81"/>
    <w:rsid w:val="00812FD2"/>
    <w:rsid w:val="00832960"/>
    <w:rsid w:val="00897185"/>
    <w:rsid w:val="008A6EE4"/>
    <w:rsid w:val="0090566A"/>
    <w:rsid w:val="00945E6A"/>
    <w:rsid w:val="00A16CB0"/>
    <w:rsid w:val="00A8001E"/>
    <w:rsid w:val="00A84067"/>
    <w:rsid w:val="00B7664E"/>
    <w:rsid w:val="00C1788D"/>
    <w:rsid w:val="00CA31FA"/>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7F58293E-2481-4431-9191-B1DCAC1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1</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2018-01-02T14:02:00Z</dcterms:created>
  <dcterms:modified xsi:type="dcterms:W3CDTF">2018-01-02T14:02:00Z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569285182</vt:i4>
  </property>
  <property fmtid="{D5CDD505-2E9C-101B-9397-08002B2CF9AE}" pid="3" name="_NewReviewCycle">
    <vt:lpwstr/>
  </property>
  <property fmtid="{D5CDD505-2E9C-101B-9397-08002B2CF9AE}" pid="4" name="_EmailSubject">
    <vt:lpwstr>Change Proposals</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7" name="_PreviousAdHocReviewCycleID">
    <vt:i4>-615906412</vt:i4>
  </property>
  <property fmtid="{D5CDD505-2E9C-101B-9397-08002B2CF9AE}" pid="8" name="_ReviewingToolsShownOnce">
    <vt:lpwstr/>
  </property>
</Properties>
</file>