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 (CIO Office</w:t>
      </w:r>
      <w:r>
        <w:rPr>
          <w:rFonts w:cs="Arial"/>
          <w:b/>
          <w:color w:val="3E5AA8" w:themeColor="accent1"/>
          <w:sz w:val="22"/>
          <w:szCs w:val="22"/>
        </w:rPr>
        <w:t xml:space="preserve"> will add)</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E1CA69A" wp14:editId="7C301D49">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B828"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&#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F1F0925" wp14:editId="24AEB55F">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997BB"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&#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287"/>
        <w:gridCol w:w="6191"/>
      </w:tblGrid>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rsidR="006A724E" w:rsidRPr="00683A0C" w:rsidRDefault="00F73F7D" w:rsidP="00BB5A00">
            <w:pPr>
              <w:rPr>
                <w:rFonts w:ascii="Arial" w:hAnsi="Arial" w:cs="Arial"/>
                <w:sz w:val="20"/>
                <w:szCs w:val="16"/>
              </w:rPr>
            </w:pPr>
            <w:r>
              <w:rPr>
                <w:rFonts w:ascii="Arial" w:hAnsi="Arial" w:cs="Arial"/>
                <w:sz w:val="20"/>
                <w:szCs w:val="16"/>
              </w:rPr>
              <w:t>Creation of new End User Categories</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rsidR="006A724E" w:rsidRPr="00683A0C" w:rsidRDefault="00F73F7D" w:rsidP="00BB5A00">
            <w:pPr>
              <w:rPr>
                <w:rFonts w:ascii="Arial" w:hAnsi="Arial" w:cs="Arial"/>
                <w:sz w:val="20"/>
                <w:szCs w:val="16"/>
              </w:rPr>
            </w:pPr>
            <w:r>
              <w:rPr>
                <w:rFonts w:ascii="Arial" w:hAnsi="Arial" w:cs="Arial"/>
                <w:sz w:val="20"/>
                <w:szCs w:val="16"/>
              </w:rPr>
              <w:t>01/05/2018</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rsidR="006A724E" w:rsidRPr="00683A0C" w:rsidRDefault="00F73F7D" w:rsidP="00BB5A00">
            <w:pPr>
              <w:rPr>
                <w:rFonts w:ascii="Arial" w:hAnsi="Arial" w:cs="Arial"/>
                <w:sz w:val="20"/>
                <w:szCs w:val="16"/>
              </w:rPr>
            </w:pPr>
            <w:proofErr w:type="gramStart"/>
            <w:r>
              <w:rPr>
                <w:rFonts w:ascii="Arial" w:hAnsi="Arial" w:cs="Arial"/>
                <w:sz w:val="20"/>
                <w:szCs w:val="16"/>
              </w:rPr>
              <w:t>E.ON</w:t>
            </w:r>
            <w:proofErr w:type="gramEnd"/>
            <w:r w:rsidR="002B01E7">
              <w:rPr>
                <w:rFonts w:ascii="Arial" w:hAnsi="Arial" w:cs="Arial"/>
                <w:sz w:val="20"/>
                <w:szCs w:val="16"/>
              </w:rPr>
              <w:t xml:space="preserve"> (on behalf of DESC)</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rsidR="006A724E" w:rsidRPr="00683A0C" w:rsidRDefault="00F73F7D" w:rsidP="00BB5A00">
            <w:pPr>
              <w:rPr>
                <w:rFonts w:ascii="Arial" w:hAnsi="Arial" w:cs="Arial"/>
                <w:sz w:val="20"/>
                <w:szCs w:val="16"/>
              </w:rPr>
            </w:pPr>
            <w:r>
              <w:rPr>
                <w:rFonts w:ascii="Arial" w:hAnsi="Arial" w:cs="Arial"/>
                <w:sz w:val="20"/>
                <w:szCs w:val="16"/>
              </w:rPr>
              <w:t>Kirsty Dudley</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rsidR="006A724E" w:rsidRPr="00683A0C" w:rsidRDefault="00F73F7D" w:rsidP="00BB5A00">
            <w:pPr>
              <w:rPr>
                <w:rFonts w:ascii="Arial" w:hAnsi="Arial" w:cs="Arial"/>
                <w:sz w:val="20"/>
                <w:szCs w:val="16"/>
              </w:rPr>
            </w:pPr>
            <w:r>
              <w:rPr>
                <w:rFonts w:ascii="Arial" w:hAnsi="Arial" w:cs="Arial"/>
                <w:sz w:val="20"/>
                <w:szCs w:val="16"/>
              </w:rPr>
              <w:t>07816 172 645</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tcBorders>
              <w:bottom w:val="single" w:sz="4" w:space="0" w:color="auto"/>
            </w:tcBorders>
          </w:tcPr>
          <w:p w:rsidR="006A724E" w:rsidRPr="00683A0C" w:rsidRDefault="006A724E" w:rsidP="00BB5A00">
            <w:pPr>
              <w:rPr>
                <w:rFonts w:ascii="Arial" w:hAnsi="Arial" w:cs="Arial"/>
                <w:sz w:val="20"/>
                <w:szCs w:val="16"/>
              </w:rPr>
            </w:pP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Arial" w:hAnsi="Arial" w:cs="Arial"/>
                <w:sz w:val="20"/>
                <w:szCs w:val="16"/>
              </w:rPr>
              <w:t>Proposal / With DSG / Out for Consultation / Voting / Approved or Rejected</w:t>
            </w:r>
          </w:p>
        </w:tc>
      </w:tr>
      <w:tr w:rsidR="00AC1AA5" w:rsidRPr="00683A0C" w:rsidTr="00E45364">
        <w:tc>
          <w:tcPr>
            <w:tcW w:w="5000" w:type="pct"/>
            <w:gridSpan w:val="2"/>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Section 1: Impacted Parties</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tcBorders>
              <w:bottom w:val="single" w:sz="4" w:space="0" w:color="auto"/>
            </w:tcBorders>
          </w:tcPr>
          <w:p w:rsidR="00AC1AA5" w:rsidRPr="00683A0C" w:rsidRDefault="00F73F7D" w:rsidP="00AC1AA5">
            <w:pPr>
              <w:rPr>
                <w:rFonts w:ascii="Arial" w:hAnsi="Arial" w:cs="Arial"/>
                <w:sz w:val="20"/>
                <w:szCs w:val="16"/>
              </w:rPr>
            </w:pPr>
            <w:r>
              <w:rPr>
                <w:rFonts w:ascii="MS Gothic" w:eastAsia="MS Gothic" w:hAnsi="MS Gothic" w:cs="MS Gothic" w:hint="eastAsia"/>
                <w:sz w:val="20"/>
                <w:szCs w:val="16"/>
              </w:rPr>
              <w:t>☑</w:t>
            </w:r>
            <w:r w:rsidR="00AC1AA5" w:rsidRPr="00683A0C">
              <w:rPr>
                <w:rFonts w:ascii="Arial" w:hAnsi="Arial" w:cs="Arial"/>
                <w:sz w:val="20"/>
                <w:szCs w:val="16"/>
              </w:rPr>
              <w:t xml:space="preserve"> Shipper</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AC1AA5" w:rsidRPr="00683A0C" w:rsidRDefault="00F73F7D" w:rsidP="00AC1AA5">
            <w:pPr>
              <w:rPr>
                <w:rFonts w:ascii="Arial" w:hAnsi="Arial" w:cs="Arial"/>
                <w:sz w:val="20"/>
                <w:szCs w:val="16"/>
              </w:rPr>
            </w:pPr>
            <w:r>
              <w:rPr>
                <w:rFonts w:ascii="MS Gothic" w:eastAsia="MS Gothic" w:hAnsi="MS Gothic" w:cs="MS Gothic" w:hint="eastAsia"/>
                <w:sz w:val="20"/>
                <w:szCs w:val="16"/>
              </w:rPr>
              <w:t>☑</w:t>
            </w:r>
            <w:r w:rsidR="00AC1AA5" w:rsidRPr="00683A0C">
              <w:rPr>
                <w:rFonts w:ascii="Arial" w:hAnsi="Arial" w:cs="Arial"/>
                <w:sz w:val="20"/>
                <w:szCs w:val="16"/>
              </w:rPr>
              <w:t xml:space="preserve"> Distribution Network Operator</w:t>
            </w:r>
          </w:p>
          <w:p w:rsidR="00AC1AA5" w:rsidRPr="00683A0C" w:rsidRDefault="00F73F7D" w:rsidP="00AC1AA5">
            <w:pPr>
              <w:rPr>
                <w:rFonts w:ascii="Arial" w:hAnsi="Arial" w:cs="Arial"/>
                <w:sz w:val="20"/>
                <w:szCs w:val="16"/>
              </w:rPr>
            </w:pPr>
            <w:r>
              <w:rPr>
                <w:rFonts w:ascii="MS Gothic" w:eastAsia="MS Gothic" w:hAnsi="MS Gothic" w:cs="MS Gothic" w:hint="eastAsia"/>
                <w:sz w:val="20"/>
                <w:szCs w:val="16"/>
              </w:rPr>
              <w:t>☑</w:t>
            </w:r>
            <w:r w:rsidR="00AC1AA5" w:rsidRPr="00683A0C">
              <w:rPr>
                <w:rFonts w:ascii="Arial" w:hAnsi="Arial" w:cs="Arial"/>
                <w:sz w:val="20"/>
                <w:szCs w:val="16"/>
              </w:rPr>
              <w:t xml:space="preserve"> iGT</w:t>
            </w:r>
          </w:p>
        </w:tc>
      </w:tr>
      <w:bookmarkStart w:id="1" w:name="S2"/>
      <w:bookmarkStart w:id="2" w:name="S4"/>
      <w:tr w:rsidR="00AC1AA5" w:rsidRPr="00683A0C" w:rsidTr="00E45364">
        <w:tc>
          <w:tcPr>
            <w:tcW w:w="5000" w:type="pct"/>
            <w:gridSpan w:val="2"/>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tion 2: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rsidTr="00AC1AA5">
        <w:trPr>
          <w:trHeight w:val="826"/>
        </w:trPr>
        <w:tc>
          <w:tcPr>
            <w:tcW w:w="5000" w:type="pct"/>
            <w:gridSpan w:val="2"/>
            <w:tcBorders>
              <w:bottom w:val="single" w:sz="4" w:space="0" w:color="auto"/>
            </w:tcBorders>
          </w:tcPr>
          <w:p w:rsidR="00AC1AA5" w:rsidRDefault="00F73F7D" w:rsidP="002260EF">
            <w:pPr>
              <w:spacing w:beforeLines="40" w:before="96" w:afterLines="40" w:after="96"/>
              <w:rPr>
                <w:rFonts w:ascii="Arial" w:hAnsi="Arial" w:cs="Arial"/>
                <w:bCs/>
                <w:iCs/>
                <w:color w:val="000000" w:themeColor="text1"/>
                <w:sz w:val="20"/>
                <w:szCs w:val="20"/>
                <w:lang w:val="en-US"/>
              </w:rPr>
            </w:pPr>
            <w:r w:rsidRPr="00F73F7D">
              <w:rPr>
                <w:rFonts w:ascii="Arial" w:hAnsi="Arial" w:cs="Arial"/>
                <w:bCs/>
                <w:iCs/>
                <w:color w:val="000000" w:themeColor="text1"/>
                <w:sz w:val="20"/>
                <w:szCs w:val="20"/>
                <w:lang w:val="en-US"/>
              </w:rPr>
              <w:t xml:space="preserve">The Demand Estimation Sub-Committee (DESC) </w:t>
            </w:r>
            <w:r>
              <w:rPr>
                <w:rFonts w:ascii="Arial" w:hAnsi="Arial" w:cs="Arial"/>
                <w:bCs/>
                <w:iCs/>
                <w:color w:val="000000" w:themeColor="text1"/>
                <w:sz w:val="20"/>
                <w:szCs w:val="20"/>
                <w:lang w:val="en-US"/>
              </w:rPr>
              <w:t xml:space="preserve">have the ability to review and create new End User Categories (EUCs) through the annual review they complete, without the need for a modification. Although the new EUCs are referenced within 0644 </w:t>
            </w:r>
            <w:r w:rsidR="002B31D6">
              <w:rPr>
                <w:rFonts w:ascii="Arial" w:hAnsi="Arial" w:cs="Arial"/>
                <w:bCs/>
                <w:iCs/>
                <w:color w:val="000000" w:themeColor="text1"/>
                <w:sz w:val="20"/>
                <w:szCs w:val="20"/>
                <w:lang w:val="en-US"/>
              </w:rPr>
              <w:t>(</w:t>
            </w:r>
            <w:r>
              <w:rPr>
                <w:rFonts w:ascii="Arial" w:hAnsi="Arial" w:cs="Arial"/>
                <w:bCs/>
                <w:iCs/>
                <w:color w:val="000000" w:themeColor="text1"/>
                <w:sz w:val="20"/>
                <w:szCs w:val="20"/>
                <w:lang w:val="en-US"/>
              </w:rPr>
              <w:t>which is still in development</w:t>
            </w:r>
            <w:r w:rsidR="002B31D6">
              <w:rPr>
                <w:rFonts w:ascii="Arial" w:hAnsi="Arial" w:cs="Arial"/>
                <w:bCs/>
                <w:iCs/>
                <w:color w:val="000000" w:themeColor="text1"/>
                <w:sz w:val="20"/>
                <w:szCs w:val="20"/>
                <w:lang w:val="en-US"/>
              </w:rPr>
              <w:t>)</w:t>
            </w:r>
            <w:r>
              <w:rPr>
                <w:rFonts w:ascii="Arial" w:hAnsi="Arial" w:cs="Arial"/>
                <w:bCs/>
                <w:iCs/>
                <w:color w:val="000000" w:themeColor="text1"/>
                <w:sz w:val="20"/>
                <w:szCs w:val="20"/>
                <w:lang w:val="en-US"/>
              </w:rPr>
              <w:t xml:space="preserve"> the new EUCs have been approved by DESC (Nov 2018 meeting)</w:t>
            </w:r>
            <w:r w:rsidR="002B31D6">
              <w:rPr>
                <w:rFonts w:ascii="Arial" w:hAnsi="Arial" w:cs="Arial"/>
                <w:bCs/>
                <w:iCs/>
                <w:color w:val="000000" w:themeColor="text1"/>
                <w:sz w:val="20"/>
                <w:szCs w:val="20"/>
                <w:lang w:val="en-US"/>
              </w:rPr>
              <w:t xml:space="preserve"> but require this XRN to implement them</w:t>
            </w:r>
            <w:r>
              <w:rPr>
                <w:rFonts w:ascii="Arial" w:hAnsi="Arial" w:cs="Arial"/>
                <w:bCs/>
                <w:iCs/>
                <w:color w:val="000000" w:themeColor="text1"/>
                <w:sz w:val="20"/>
                <w:szCs w:val="20"/>
                <w:lang w:val="en-US"/>
              </w:rPr>
              <w:t xml:space="preserve">. </w:t>
            </w:r>
          </w:p>
          <w:p w:rsidR="004E61F6" w:rsidRDefault="004E61F6" w:rsidP="002260EF">
            <w:pPr>
              <w:spacing w:beforeLines="40" w:before="96" w:afterLines="40" w:after="96"/>
              <w:rPr>
                <w:rFonts w:ascii="Arial" w:hAnsi="Arial" w:cs="Arial"/>
                <w:bCs/>
                <w:iCs/>
                <w:color w:val="000000" w:themeColor="text1"/>
                <w:sz w:val="20"/>
                <w:szCs w:val="20"/>
                <w:lang w:val="en-US"/>
              </w:rPr>
            </w:pPr>
            <w:r w:rsidRPr="004669F6">
              <w:rPr>
                <w:rFonts w:ascii="Arial" w:hAnsi="Arial" w:cs="Arial"/>
                <w:bCs/>
                <w:iCs/>
                <w:color w:val="000000" w:themeColor="text1"/>
                <w:sz w:val="20"/>
                <w:szCs w:val="20"/>
                <w:lang w:val="en-US"/>
              </w:rPr>
              <w:t>This links to the ROM scoped for 0644 - XRN4616</w:t>
            </w:r>
            <w:r w:rsidR="002F1759">
              <w:rPr>
                <w:rFonts w:ascii="Arial" w:hAnsi="Arial" w:cs="Arial"/>
                <w:bCs/>
                <w:iCs/>
                <w:color w:val="000000" w:themeColor="text1"/>
                <w:sz w:val="20"/>
                <w:szCs w:val="20"/>
                <w:lang w:val="en-US"/>
              </w:rPr>
              <w:t xml:space="preserve"> (document from 0644 meeting 01/04/2018)</w:t>
            </w:r>
          </w:p>
          <w:p w:rsidR="002F1759" w:rsidRPr="004669F6" w:rsidRDefault="00D32570" w:rsidP="002260EF">
            <w:pPr>
              <w:spacing w:beforeLines="40" w:before="96" w:afterLines="40" w:after="96"/>
              <w:rPr>
                <w:rFonts w:ascii="Arial" w:hAnsi="Arial" w:cs="Arial"/>
                <w:bCs/>
                <w:iCs/>
                <w:color w:val="000000" w:themeColor="text1"/>
                <w:sz w:val="20"/>
                <w:szCs w:val="20"/>
              </w:rPr>
            </w:pPr>
            <w:r>
              <w:rPr>
                <w:rFonts w:ascii="Arial" w:eastAsiaTheme="minorHAnsi" w:hAnsi="Arial"/>
                <w:noProof/>
                <w:sz w:val="20"/>
                <w:szCs w:val="20"/>
                <w:lang w:eastAsia="en-US"/>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6pt;height:49.35pt;mso-width-percent:0;mso-height-percent:0;mso-width-percent:0;mso-height-percent:0" o:ole="">
                  <v:imagedata r:id="rId12" o:title=""/>
                </v:shape>
                <o:OLEObject Type="Embed" ProgID="Word.Document.12" ShapeID="_x0000_i1025" DrawAspect="Icon" ObjectID="_1586769934" r:id="rId13">
                  <o:FieldCodes>\s</o:FieldCodes>
                </o:OLEObject>
              </w:object>
            </w:r>
          </w:p>
          <w:p w:rsidR="00F73F7D" w:rsidRPr="004669F6" w:rsidRDefault="004E61F6" w:rsidP="002260EF">
            <w:pPr>
              <w:spacing w:beforeLines="40" w:before="96" w:afterLines="40" w:after="96"/>
              <w:rPr>
                <w:rFonts w:ascii="Arial" w:hAnsi="Arial" w:cs="Arial"/>
                <w:bCs/>
                <w:iCs/>
                <w:color w:val="000000" w:themeColor="text1"/>
                <w:sz w:val="20"/>
                <w:szCs w:val="20"/>
                <w:lang w:val="en-US"/>
              </w:rPr>
            </w:pPr>
            <w:r w:rsidRPr="004669F6">
              <w:rPr>
                <w:rFonts w:ascii="Arial" w:hAnsi="Arial" w:cs="Arial"/>
                <w:bCs/>
                <w:iCs/>
                <w:color w:val="000000" w:themeColor="text1"/>
                <w:sz w:val="20"/>
                <w:szCs w:val="20"/>
                <w:lang w:val="en-US"/>
              </w:rPr>
              <w:t xml:space="preserve">The creation of new EUC profiles bands within 01 and 02 bands rather than splitting 01 / 02 EUC bands.  </w:t>
            </w:r>
          </w:p>
          <w:p w:rsidR="004669F6" w:rsidRPr="004669F6" w:rsidRDefault="004669F6" w:rsidP="004669F6">
            <w:pPr>
              <w:spacing w:beforeLines="40" w:before="96" w:afterLines="40" w:after="96"/>
              <w:rPr>
                <w:rFonts w:ascii="Arial" w:hAnsi="Arial" w:cs="Arial"/>
                <w:bCs/>
                <w:iCs/>
                <w:color w:val="000000" w:themeColor="text1"/>
                <w:sz w:val="20"/>
                <w:szCs w:val="20"/>
              </w:rPr>
            </w:pPr>
            <w:r w:rsidRPr="004669F6">
              <w:rPr>
                <w:rFonts w:ascii="Arial" w:hAnsi="Arial" w:cs="Arial"/>
                <w:bCs/>
                <w:iCs/>
                <w:color w:val="000000" w:themeColor="text1"/>
                <w:sz w:val="20"/>
                <w:szCs w:val="20"/>
              </w:rPr>
              <w:t>Proposed new EUC Profiles for SMPs with a Rolling AQ in the AQ range for EUC Band EUC01:</w:t>
            </w:r>
          </w:p>
          <w:p w:rsidR="004669F6" w:rsidRPr="004669F6" w:rsidRDefault="004669F6" w:rsidP="004669F6">
            <w:pPr>
              <w:pStyle w:val="ListParagraph"/>
              <w:numPr>
                <w:ilvl w:val="0"/>
                <w:numId w:val="2"/>
              </w:numPr>
              <w:spacing w:beforeLines="40" w:before="96" w:afterLines="40" w:after="96"/>
              <w:rPr>
                <w:rFonts w:ascii="Arial" w:hAnsi="Arial" w:cs="Arial"/>
                <w:bCs/>
                <w:iCs/>
                <w:color w:val="000000" w:themeColor="text1"/>
                <w:sz w:val="20"/>
                <w:szCs w:val="20"/>
              </w:rPr>
            </w:pPr>
            <w:proofErr w:type="gramStart"/>
            <w:r w:rsidRPr="004669F6">
              <w:rPr>
                <w:rFonts w:ascii="Arial" w:hAnsi="Arial" w:cs="Arial"/>
                <w:bCs/>
                <w:iCs/>
                <w:color w:val="000000" w:themeColor="text1"/>
                <w:sz w:val="20"/>
                <w:szCs w:val="20"/>
              </w:rPr>
              <w:t>xx:Eyy</w:t>
            </w:r>
            <w:proofErr w:type="gramEnd"/>
            <w:r w:rsidRPr="004669F6">
              <w:rPr>
                <w:rFonts w:ascii="Arial" w:hAnsi="Arial" w:cs="Arial"/>
                <w:bCs/>
                <w:iCs/>
                <w:color w:val="000000" w:themeColor="text1"/>
                <w:sz w:val="20"/>
                <w:szCs w:val="20"/>
              </w:rPr>
              <w:t>01ND assigned to Non-Prepayment Domestic Supply Meter Points</w:t>
            </w:r>
          </w:p>
          <w:p w:rsidR="004669F6" w:rsidRPr="004669F6" w:rsidRDefault="004669F6" w:rsidP="004669F6">
            <w:pPr>
              <w:pStyle w:val="ListParagraph"/>
              <w:numPr>
                <w:ilvl w:val="0"/>
                <w:numId w:val="2"/>
              </w:numPr>
              <w:spacing w:beforeLines="40" w:before="96" w:afterLines="40" w:after="96"/>
              <w:rPr>
                <w:rFonts w:ascii="Arial" w:hAnsi="Arial" w:cs="Arial"/>
                <w:bCs/>
                <w:iCs/>
                <w:color w:val="000000" w:themeColor="text1"/>
                <w:sz w:val="20"/>
                <w:szCs w:val="20"/>
              </w:rPr>
            </w:pPr>
            <w:proofErr w:type="gramStart"/>
            <w:r w:rsidRPr="004669F6">
              <w:rPr>
                <w:rFonts w:ascii="Arial" w:hAnsi="Arial" w:cs="Arial"/>
                <w:bCs/>
                <w:iCs/>
                <w:color w:val="000000" w:themeColor="text1"/>
                <w:sz w:val="20"/>
                <w:szCs w:val="20"/>
              </w:rPr>
              <w:t>xx:Eyy</w:t>
            </w:r>
            <w:proofErr w:type="gramEnd"/>
            <w:r w:rsidRPr="004669F6">
              <w:rPr>
                <w:rFonts w:ascii="Arial" w:hAnsi="Arial" w:cs="Arial"/>
                <w:bCs/>
                <w:iCs/>
                <w:color w:val="000000" w:themeColor="text1"/>
                <w:sz w:val="20"/>
                <w:szCs w:val="20"/>
              </w:rPr>
              <w:t>01PD assigned to Prepayment Domestic Supply Meter Points</w:t>
            </w:r>
          </w:p>
          <w:p w:rsidR="004669F6" w:rsidRPr="004669F6" w:rsidRDefault="004669F6" w:rsidP="004669F6">
            <w:pPr>
              <w:pStyle w:val="ListParagraph"/>
              <w:numPr>
                <w:ilvl w:val="0"/>
                <w:numId w:val="2"/>
              </w:numPr>
              <w:spacing w:beforeLines="40" w:before="96" w:afterLines="40" w:after="96"/>
              <w:rPr>
                <w:rFonts w:ascii="Arial" w:hAnsi="Arial" w:cs="Arial"/>
                <w:bCs/>
                <w:iCs/>
                <w:color w:val="000000" w:themeColor="text1"/>
                <w:sz w:val="20"/>
                <w:szCs w:val="20"/>
              </w:rPr>
            </w:pPr>
            <w:proofErr w:type="gramStart"/>
            <w:r w:rsidRPr="004669F6">
              <w:rPr>
                <w:rFonts w:ascii="Arial" w:hAnsi="Arial" w:cs="Arial"/>
                <w:bCs/>
                <w:iCs/>
                <w:color w:val="000000" w:themeColor="text1"/>
                <w:sz w:val="20"/>
                <w:szCs w:val="20"/>
              </w:rPr>
              <w:t>xx:Eyy</w:t>
            </w:r>
            <w:proofErr w:type="gramEnd"/>
            <w:r w:rsidRPr="004669F6">
              <w:rPr>
                <w:rFonts w:ascii="Arial" w:hAnsi="Arial" w:cs="Arial"/>
                <w:bCs/>
                <w:iCs/>
                <w:color w:val="000000" w:themeColor="text1"/>
                <w:sz w:val="20"/>
                <w:szCs w:val="20"/>
              </w:rPr>
              <w:t>01NI  assigned to Non-Prepayment I&amp;C” Supply Meter Points</w:t>
            </w:r>
          </w:p>
          <w:p w:rsidR="004669F6" w:rsidRPr="004669F6" w:rsidRDefault="004669F6" w:rsidP="004669F6">
            <w:pPr>
              <w:pStyle w:val="ListParagraph"/>
              <w:numPr>
                <w:ilvl w:val="0"/>
                <w:numId w:val="2"/>
              </w:numPr>
              <w:spacing w:beforeLines="40" w:before="96" w:afterLines="40" w:after="96"/>
              <w:rPr>
                <w:rFonts w:ascii="Arial" w:hAnsi="Arial" w:cs="Arial"/>
                <w:bCs/>
                <w:iCs/>
                <w:color w:val="000000" w:themeColor="text1"/>
                <w:sz w:val="20"/>
                <w:szCs w:val="20"/>
              </w:rPr>
            </w:pPr>
            <w:proofErr w:type="gramStart"/>
            <w:r w:rsidRPr="004669F6">
              <w:rPr>
                <w:rFonts w:ascii="Arial" w:hAnsi="Arial" w:cs="Arial"/>
                <w:bCs/>
                <w:iCs/>
                <w:color w:val="000000" w:themeColor="text1"/>
                <w:sz w:val="20"/>
                <w:szCs w:val="20"/>
              </w:rPr>
              <w:t>xx:Eyy</w:t>
            </w:r>
            <w:proofErr w:type="gramEnd"/>
            <w:r w:rsidRPr="004669F6">
              <w:rPr>
                <w:rFonts w:ascii="Arial" w:hAnsi="Arial" w:cs="Arial"/>
                <w:bCs/>
                <w:iCs/>
                <w:color w:val="000000" w:themeColor="text1"/>
                <w:sz w:val="20"/>
                <w:szCs w:val="20"/>
              </w:rPr>
              <w:t>01PI  assigned to Prepayment I&amp;C” Supply Meter Points</w:t>
            </w:r>
          </w:p>
          <w:p w:rsidR="004669F6" w:rsidRPr="004669F6" w:rsidRDefault="004669F6" w:rsidP="004669F6">
            <w:pPr>
              <w:spacing w:beforeLines="40" w:before="96" w:afterLines="40" w:after="96"/>
              <w:rPr>
                <w:rFonts w:ascii="Arial" w:hAnsi="Arial" w:cs="Arial"/>
                <w:bCs/>
                <w:iCs/>
                <w:color w:val="000000" w:themeColor="text1"/>
                <w:sz w:val="20"/>
                <w:szCs w:val="20"/>
              </w:rPr>
            </w:pPr>
          </w:p>
          <w:p w:rsidR="004669F6" w:rsidRPr="004669F6" w:rsidRDefault="004669F6" w:rsidP="004669F6">
            <w:pPr>
              <w:spacing w:beforeLines="40" w:before="96" w:afterLines="40" w:after="96"/>
              <w:rPr>
                <w:rFonts w:ascii="Arial" w:hAnsi="Arial" w:cs="Arial"/>
                <w:bCs/>
                <w:iCs/>
                <w:color w:val="000000" w:themeColor="text1"/>
                <w:sz w:val="20"/>
                <w:szCs w:val="20"/>
              </w:rPr>
            </w:pPr>
            <w:r w:rsidRPr="004669F6">
              <w:rPr>
                <w:rFonts w:ascii="Arial" w:hAnsi="Arial" w:cs="Arial"/>
                <w:bCs/>
                <w:iCs/>
                <w:color w:val="000000" w:themeColor="text1"/>
                <w:sz w:val="20"/>
                <w:szCs w:val="20"/>
              </w:rPr>
              <w:t>Proposed new EUC Profiles for SMPs with a Rolling AQ in the AQ range for EUC Band EUC02:</w:t>
            </w:r>
          </w:p>
          <w:p w:rsidR="004669F6" w:rsidRPr="004669F6" w:rsidRDefault="004669F6" w:rsidP="004669F6">
            <w:pPr>
              <w:pStyle w:val="ListParagraph"/>
              <w:numPr>
                <w:ilvl w:val="0"/>
                <w:numId w:val="3"/>
              </w:numPr>
              <w:spacing w:beforeLines="40" w:before="96" w:afterLines="40" w:after="96"/>
              <w:rPr>
                <w:rFonts w:ascii="Arial" w:hAnsi="Arial" w:cs="Arial"/>
                <w:bCs/>
                <w:iCs/>
                <w:color w:val="000000" w:themeColor="text1"/>
                <w:sz w:val="20"/>
                <w:szCs w:val="20"/>
              </w:rPr>
            </w:pPr>
            <w:proofErr w:type="gramStart"/>
            <w:r w:rsidRPr="004669F6">
              <w:rPr>
                <w:rFonts w:ascii="Arial" w:hAnsi="Arial" w:cs="Arial"/>
                <w:bCs/>
                <w:iCs/>
                <w:color w:val="000000" w:themeColor="text1"/>
                <w:sz w:val="20"/>
                <w:szCs w:val="20"/>
              </w:rPr>
              <w:t>xx:Eyy</w:t>
            </w:r>
            <w:proofErr w:type="gramEnd"/>
            <w:r w:rsidRPr="004669F6">
              <w:rPr>
                <w:rFonts w:ascii="Arial" w:hAnsi="Arial" w:cs="Arial"/>
                <w:bCs/>
                <w:iCs/>
                <w:color w:val="000000" w:themeColor="text1"/>
                <w:sz w:val="20"/>
                <w:szCs w:val="20"/>
              </w:rPr>
              <w:t>02ND assigned to Non-Prepayment Domestic Supply Meter Points</w:t>
            </w:r>
          </w:p>
          <w:p w:rsidR="004669F6" w:rsidRPr="004669F6" w:rsidRDefault="004669F6" w:rsidP="004669F6">
            <w:pPr>
              <w:pStyle w:val="ListParagraph"/>
              <w:numPr>
                <w:ilvl w:val="0"/>
                <w:numId w:val="3"/>
              </w:numPr>
              <w:spacing w:beforeLines="40" w:before="96" w:afterLines="40" w:after="96"/>
              <w:rPr>
                <w:rFonts w:ascii="Arial" w:hAnsi="Arial" w:cs="Arial"/>
                <w:bCs/>
                <w:iCs/>
                <w:color w:val="000000" w:themeColor="text1"/>
                <w:sz w:val="20"/>
                <w:szCs w:val="20"/>
              </w:rPr>
            </w:pPr>
            <w:proofErr w:type="gramStart"/>
            <w:r w:rsidRPr="004669F6">
              <w:rPr>
                <w:rFonts w:ascii="Arial" w:hAnsi="Arial" w:cs="Arial"/>
                <w:bCs/>
                <w:iCs/>
                <w:color w:val="000000" w:themeColor="text1"/>
                <w:sz w:val="20"/>
                <w:szCs w:val="20"/>
              </w:rPr>
              <w:t>xx:Eyy</w:t>
            </w:r>
            <w:proofErr w:type="gramEnd"/>
            <w:r w:rsidRPr="004669F6">
              <w:rPr>
                <w:rFonts w:ascii="Arial" w:hAnsi="Arial" w:cs="Arial"/>
                <w:bCs/>
                <w:iCs/>
                <w:color w:val="000000" w:themeColor="text1"/>
                <w:sz w:val="20"/>
                <w:szCs w:val="20"/>
              </w:rPr>
              <w:t>02PD assigned to Prepayment Domestic Supply Meter Points</w:t>
            </w:r>
          </w:p>
          <w:p w:rsidR="004669F6" w:rsidRPr="004669F6" w:rsidRDefault="004669F6" w:rsidP="004669F6">
            <w:pPr>
              <w:pStyle w:val="ListParagraph"/>
              <w:numPr>
                <w:ilvl w:val="0"/>
                <w:numId w:val="3"/>
              </w:numPr>
              <w:spacing w:beforeLines="40" w:before="96" w:afterLines="40" w:after="96"/>
              <w:rPr>
                <w:rFonts w:ascii="Arial" w:hAnsi="Arial" w:cs="Arial"/>
                <w:bCs/>
                <w:iCs/>
                <w:color w:val="000000" w:themeColor="text1"/>
                <w:sz w:val="20"/>
                <w:szCs w:val="20"/>
              </w:rPr>
            </w:pPr>
            <w:proofErr w:type="gramStart"/>
            <w:r w:rsidRPr="004669F6">
              <w:rPr>
                <w:rFonts w:ascii="Arial" w:hAnsi="Arial" w:cs="Arial"/>
                <w:bCs/>
                <w:iCs/>
                <w:color w:val="000000" w:themeColor="text1"/>
                <w:sz w:val="20"/>
                <w:szCs w:val="20"/>
              </w:rPr>
              <w:t>xx:Eyy</w:t>
            </w:r>
            <w:proofErr w:type="gramEnd"/>
            <w:r w:rsidRPr="004669F6">
              <w:rPr>
                <w:rFonts w:ascii="Arial" w:hAnsi="Arial" w:cs="Arial"/>
                <w:bCs/>
                <w:iCs/>
                <w:color w:val="000000" w:themeColor="text1"/>
                <w:sz w:val="20"/>
                <w:szCs w:val="20"/>
              </w:rPr>
              <w:t>02NI  assigned to Non-Prepayment I&amp;C” Supply Meter Points</w:t>
            </w:r>
          </w:p>
          <w:p w:rsidR="004669F6" w:rsidRPr="004669F6" w:rsidRDefault="004669F6" w:rsidP="004669F6">
            <w:pPr>
              <w:pStyle w:val="ListParagraph"/>
              <w:numPr>
                <w:ilvl w:val="0"/>
                <w:numId w:val="3"/>
              </w:numPr>
              <w:spacing w:beforeLines="40" w:before="96" w:afterLines="40" w:after="96"/>
              <w:rPr>
                <w:rFonts w:ascii="Arial" w:hAnsi="Arial" w:cs="Arial"/>
                <w:bCs/>
                <w:iCs/>
                <w:color w:val="000000" w:themeColor="text1"/>
                <w:sz w:val="20"/>
                <w:szCs w:val="20"/>
              </w:rPr>
            </w:pPr>
            <w:proofErr w:type="gramStart"/>
            <w:r w:rsidRPr="004669F6">
              <w:rPr>
                <w:rFonts w:ascii="Arial" w:hAnsi="Arial" w:cs="Arial"/>
                <w:bCs/>
                <w:iCs/>
                <w:color w:val="000000" w:themeColor="text1"/>
                <w:sz w:val="20"/>
                <w:szCs w:val="20"/>
              </w:rPr>
              <w:t>xx:Eyy</w:t>
            </w:r>
            <w:proofErr w:type="gramEnd"/>
            <w:r w:rsidRPr="004669F6">
              <w:rPr>
                <w:rFonts w:ascii="Arial" w:hAnsi="Arial" w:cs="Arial"/>
                <w:bCs/>
                <w:iCs/>
                <w:color w:val="000000" w:themeColor="text1"/>
                <w:sz w:val="20"/>
                <w:szCs w:val="20"/>
              </w:rPr>
              <w:t>02PI  assigned to Prepayment I&amp;C” Supply Meter Points</w:t>
            </w:r>
          </w:p>
          <w:p w:rsidR="004669F6" w:rsidRDefault="004669F6" w:rsidP="002260EF">
            <w:pPr>
              <w:spacing w:beforeLines="40" w:before="96" w:afterLines="40" w:after="96"/>
              <w:rPr>
                <w:rFonts w:ascii="Arial" w:hAnsi="Arial" w:cs="Arial"/>
                <w:bCs/>
                <w:iCs/>
                <w:color w:val="000000" w:themeColor="text1"/>
                <w:sz w:val="20"/>
                <w:szCs w:val="20"/>
                <w:lang w:val="en-US"/>
              </w:rPr>
            </w:pPr>
          </w:p>
          <w:p w:rsidR="001D5104" w:rsidRDefault="001D5104" w:rsidP="002260EF">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The current UIG issues would benefit from the introduction of the new EUCs ASAP, however, the deliv</w:t>
            </w:r>
            <w:r w:rsidR="000460B1">
              <w:rPr>
                <w:rFonts w:ascii="Arial" w:hAnsi="Arial" w:cs="Arial"/>
                <w:bCs/>
                <w:iCs/>
                <w:color w:val="000000" w:themeColor="text1"/>
                <w:sz w:val="20"/>
                <w:szCs w:val="20"/>
                <w:lang w:val="en-US"/>
              </w:rPr>
              <w:t>ery solution and complexity may</w:t>
            </w:r>
            <w:r>
              <w:rPr>
                <w:rFonts w:ascii="Arial" w:hAnsi="Arial" w:cs="Arial"/>
                <w:bCs/>
                <w:iCs/>
                <w:color w:val="000000" w:themeColor="text1"/>
                <w:sz w:val="20"/>
                <w:szCs w:val="20"/>
                <w:lang w:val="en-US"/>
              </w:rPr>
              <w:t xml:space="preserve"> differ depending on the implementation date chosen – the two options </w:t>
            </w:r>
            <w:r w:rsidR="002F1759">
              <w:rPr>
                <w:rFonts w:ascii="Arial" w:hAnsi="Arial" w:cs="Arial"/>
                <w:bCs/>
                <w:iCs/>
                <w:color w:val="000000" w:themeColor="text1"/>
                <w:sz w:val="20"/>
                <w:szCs w:val="20"/>
                <w:lang w:val="en-US"/>
              </w:rPr>
              <w:t xml:space="preserve">we propose </w:t>
            </w:r>
            <w:r>
              <w:rPr>
                <w:rFonts w:ascii="Arial" w:hAnsi="Arial" w:cs="Arial"/>
                <w:bCs/>
                <w:iCs/>
                <w:color w:val="000000" w:themeColor="text1"/>
                <w:sz w:val="20"/>
                <w:szCs w:val="20"/>
                <w:lang w:val="en-US"/>
              </w:rPr>
              <w:t>are:</w:t>
            </w:r>
          </w:p>
          <w:p w:rsidR="001D5104" w:rsidRDefault="001D5104" w:rsidP="002260EF">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Option 1 – Deliver</w:t>
            </w:r>
            <w:r w:rsidR="002F1759">
              <w:rPr>
                <w:rFonts w:ascii="Arial" w:hAnsi="Arial" w:cs="Arial"/>
                <w:bCs/>
                <w:iCs/>
                <w:color w:val="000000" w:themeColor="text1"/>
                <w:sz w:val="20"/>
                <w:szCs w:val="20"/>
                <w:lang w:val="en-US"/>
              </w:rPr>
              <w:t>y</w:t>
            </w:r>
            <w:r>
              <w:rPr>
                <w:rFonts w:ascii="Arial" w:hAnsi="Arial" w:cs="Arial"/>
                <w:bCs/>
                <w:iCs/>
                <w:color w:val="000000" w:themeColor="text1"/>
                <w:sz w:val="20"/>
                <w:szCs w:val="20"/>
                <w:lang w:val="en-US"/>
              </w:rPr>
              <w:t xml:space="preserve"> ASAP</w:t>
            </w:r>
            <w:r w:rsidR="004669F6">
              <w:rPr>
                <w:rFonts w:ascii="Arial" w:hAnsi="Arial" w:cs="Arial"/>
                <w:bCs/>
                <w:iCs/>
                <w:color w:val="000000" w:themeColor="text1"/>
                <w:sz w:val="20"/>
                <w:szCs w:val="20"/>
                <w:lang w:val="en-US"/>
              </w:rPr>
              <w:t xml:space="preserve"> –</w:t>
            </w:r>
            <w:r w:rsidR="00914950">
              <w:rPr>
                <w:rFonts w:ascii="Arial" w:hAnsi="Arial" w:cs="Arial"/>
                <w:bCs/>
                <w:iCs/>
                <w:color w:val="000000" w:themeColor="text1"/>
                <w:sz w:val="20"/>
                <w:szCs w:val="20"/>
                <w:lang w:val="en-US"/>
              </w:rPr>
              <w:t xml:space="preserve"> </w:t>
            </w:r>
            <w:r w:rsidR="00FC428F">
              <w:rPr>
                <w:rFonts w:ascii="Arial" w:hAnsi="Arial" w:cs="Arial"/>
                <w:bCs/>
                <w:iCs/>
                <w:color w:val="000000" w:themeColor="text1"/>
                <w:sz w:val="20"/>
                <w:szCs w:val="20"/>
                <w:lang w:val="en-US"/>
              </w:rPr>
              <w:t>reduced implementation to meet 2018 gas year or a date which can be met</w:t>
            </w:r>
          </w:p>
          <w:p w:rsidR="002B31D6" w:rsidRDefault="001D5104" w:rsidP="00F73F7D">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lastRenderedPageBreak/>
              <w:t>Option 2 – Deliver</w:t>
            </w:r>
            <w:r w:rsidR="002F1759">
              <w:rPr>
                <w:rFonts w:ascii="Arial" w:hAnsi="Arial" w:cs="Arial"/>
                <w:bCs/>
                <w:iCs/>
                <w:color w:val="000000" w:themeColor="text1"/>
                <w:sz w:val="20"/>
                <w:szCs w:val="20"/>
                <w:lang w:val="en-US"/>
              </w:rPr>
              <w:t>y</w:t>
            </w:r>
            <w:r>
              <w:rPr>
                <w:rFonts w:ascii="Arial" w:hAnsi="Arial" w:cs="Arial"/>
                <w:bCs/>
                <w:iCs/>
                <w:color w:val="000000" w:themeColor="text1"/>
                <w:sz w:val="20"/>
                <w:szCs w:val="20"/>
                <w:lang w:val="en-US"/>
              </w:rPr>
              <w:t xml:space="preserve"> at the start of the gas year (2019)</w:t>
            </w:r>
          </w:p>
          <w:p w:rsidR="00FC428F" w:rsidRDefault="00FC428F" w:rsidP="00F73F7D">
            <w:pPr>
              <w:spacing w:beforeLines="40" w:before="96" w:afterLines="40" w:after="96"/>
              <w:rPr>
                <w:rFonts w:ascii="Arial" w:hAnsi="Arial" w:cs="Arial"/>
                <w:bCs/>
                <w:iCs/>
                <w:color w:val="000000" w:themeColor="text1"/>
                <w:sz w:val="20"/>
                <w:szCs w:val="20"/>
                <w:lang w:val="en-US"/>
              </w:rPr>
            </w:pPr>
          </w:p>
          <w:p w:rsidR="00FC428F" w:rsidRPr="002B31D6" w:rsidRDefault="00FC428F" w:rsidP="00F73F7D">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Our preferred option is Option 1 with the new EUCs implemented at the end of Sept 2018 to coincide with the gas year. With the current issues with UIG it would be beneficial for this to be implemented with an expediated timescale which accepts a shortened implementation window</w:t>
            </w:r>
            <w:r w:rsidR="002F1759">
              <w:rPr>
                <w:rFonts w:ascii="Arial" w:hAnsi="Arial" w:cs="Arial"/>
                <w:bCs/>
                <w:iCs/>
                <w:color w:val="000000" w:themeColor="text1"/>
                <w:sz w:val="20"/>
                <w:szCs w:val="20"/>
                <w:lang w:val="en-US"/>
              </w:rPr>
              <w:t xml:space="preserve"> (less than 6 months)</w:t>
            </w:r>
            <w:r>
              <w:rPr>
                <w:rFonts w:ascii="Arial" w:hAnsi="Arial" w:cs="Arial"/>
                <w:bCs/>
                <w:iCs/>
                <w:color w:val="000000" w:themeColor="text1"/>
                <w:sz w:val="20"/>
                <w:szCs w:val="20"/>
                <w:lang w:val="en-US"/>
              </w:rPr>
              <w:t xml:space="preserve">. </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p>
        </w:tc>
        <w:tc>
          <w:tcPr>
            <w:tcW w:w="3266" w:type="pct"/>
            <w:tcBorders>
              <w:bottom w:val="single" w:sz="4" w:space="0" w:color="auto"/>
            </w:tcBorders>
            <w:shd w:val="clear" w:color="auto" w:fill="auto"/>
          </w:tcPr>
          <w:p w:rsidR="00AC1AA5" w:rsidRDefault="001D1139" w:rsidP="00AC1AA5">
            <w:pPr>
              <w:rPr>
                <w:rFonts w:ascii="Arial" w:hAnsi="Arial" w:cs="Arial"/>
                <w:b/>
                <w:sz w:val="20"/>
                <w:szCs w:val="16"/>
              </w:rPr>
            </w:pPr>
            <w:r>
              <w:rPr>
                <w:rFonts w:ascii="Arial" w:hAnsi="Arial" w:cs="Arial"/>
                <w:b/>
                <w:sz w:val="20"/>
                <w:szCs w:val="16"/>
              </w:rPr>
              <w:t>Option 1 – ASAP</w:t>
            </w:r>
            <w:r w:rsidR="002F1759">
              <w:rPr>
                <w:rFonts w:ascii="Arial" w:hAnsi="Arial" w:cs="Arial"/>
                <w:b/>
                <w:sz w:val="20"/>
                <w:szCs w:val="16"/>
              </w:rPr>
              <w:t xml:space="preserve"> – </w:t>
            </w:r>
            <w:proofErr w:type="spellStart"/>
            <w:r w:rsidR="002F1759">
              <w:rPr>
                <w:rFonts w:ascii="Arial" w:hAnsi="Arial" w:cs="Arial"/>
                <w:b/>
                <w:sz w:val="20"/>
                <w:szCs w:val="16"/>
              </w:rPr>
              <w:t>adhoc</w:t>
            </w:r>
            <w:proofErr w:type="spellEnd"/>
            <w:r w:rsidR="002F1759">
              <w:rPr>
                <w:rFonts w:ascii="Arial" w:hAnsi="Arial" w:cs="Arial"/>
                <w:b/>
                <w:sz w:val="20"/>
                <w:szCs w:val="16"/>
              </w:rPr>
              <w:t xml:space="preserve"> date</w:t>
            </w:r>
          </w:p>
          <w:p w:rsidR="001D1139" w:rsidRPr="00683A0C" w:rsidRDefault="001D1139" w:rsidP="00AC1AA5">
            <w:pPr>
              <w:rPr>
                <w:rFonts w:ascii="Arial" w:hAnsi="Arial" w:cs="Arial"/>
                <w:b/>
                <w:sz w:val="20"/>
                <w:szCs w:val="16"/>
              </w:rPr>
            </w:pPr>
            <w:r>
              <w:rPr>
                <w:rFonts w:ascii="Arial" w:hAnsi="Arial" w:cs="Arial"/>
                <w:b/>
                <w:sz w:val="20"/>
                <w:szCs w:val="16"/>
              </w:rPr>
              <w:t xml:space="preserve">Option 2 – Start </w:t>
            </w:r>
            <w:r w:rsidR="001D5104">
              <w:rPr>
                <w:rFonts w:ascii="Arial" w:hAnsi="Arial" w:cs="Arial"/>
                <w:b/>
                <w:sz w:val="20"/>
                <w:szCs w:val="16"/>
              </w:rPr>
              <w:t>of the gas year 2019</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10WD </w:t>
            </w:r>
          </w:p>
        </w:tc>
      </w:tr>
      <w:bookmarkStart w:id="3" w:name="S3"/>
      <w:tr w:rsidR="00AC1AA5" w:rsidRPr="00683A0C" w:rsidTr="00E45364">
        <w:tc>
          <w:tcPr>
            <w:tcW w:w="5000" w:type="pct"/>
            <w:gridSpan w:val="2"/>
            <w:tcBorders>
              <w:bottom w:val="single" w:sz="4" w:space="0" w:color="auto"/>
            </w:tcBorders>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AC1AA5" w:rsidRPr="00683A0C" w:rsidTr="00AC1AA5">
        <w:tc>
          <w:tcPr>
            <w:tcW w:w="5000" w:type="pct"/>
            <w:gridSpan w:val="2"/>
            <w:shd w:val="clear" w:color="auto" w:fill="auto"/>
          </w:tcPr>
          <w:p w:rsidR="002B01E7" w:rsidRDefault="00F73F7D" w:rsidP="00F73F7D">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DESC has always had the ability to create new EUCs it has </w:t>
            </w:r>
            <w:r w:rsidR="002B01E7">
              <w:rPr>
                <w:rFonts w:ascii="Arial" w:hAnsi="Arial" w:cs="Arial"/>
                <w:bCs/>
                <w:iCs/>
                <w:color w:val="000000" w:themeColor="text1"/>
                <w:sz w:val="20"/>
                <w:szCs w:val="20"/>
                <w:lang w:val="en-US"/>
              </w:rPr>
              <w:t xml:space="preserve">not be </w:t>
            </w:r>
            <w:r w:rsidR="001D5104">
              <w:rPr>
                <w:rFonts w:ascii="Arial" w:hAnsi="Arial" w:cs="Arial"/>
                <w:bCs/>
                <w:iCs/>
                <w:color w:val="000000" w:themeColor="text1"/>
                <w:sz w:val="20"/>
                <w:szCs w:val="20"/>
                <w:lang w:val="en-US"/>
              </w:rPr>
              <w:t>an option progressed</w:t>
            </w:r>
            <w:r w:rsidR="002B01E7">
              <w:rPr>
                <w:rFonts w:ascii="Arial" w:hAnsi="Arial" w:cs="Arial"/>
                <w:bCs/>
                <w:iCs/>
                <w:color w:val="000000" w:themeColor="text1"/>
                <w:sz w:val="20"/>
                <w:szCs w:val="20"/>
                <w:lang w:val="en-US"/>
              </w:rPr>
              <w:t xml:space="preserve"> until now</w:t>
            </w:r>
            <w:r w:rsidR="001D5104">
              <w:rPr>
                <w:rFonts w:ascii="Arial" w:hAnsi="Arial" w:cs="Arial"/>
                <w:bCs/>
                <w:iCs/>
                <w:color w:val="000000" w:themeColor="text1"/>
                <w:sz w:val="20"/>
                <w:szCs w:val="20"/>
                <w:lang w:val="en-US"/>
              </w:rPr>
              <w:t xml:space="preserve">. The recent DESC discussions </w:t>
            </w:r>
            <w:r w:rsidR="002F1759">
              <w:rPr>
                <w:rFonts w:ascii="Arial" w:hAnsi="Arial" w:cs="Arial"/>
                <w:bCs/>
                <w:iCs/>
                <w:color w:val="000000" w:themeColor="text1"/>
                <w:sz w:val="20"/>
                <w:szCs w:val="20"/>
                <w:lang w:val="en-US"/>
              </w:rPr>
              <w:t>f</w:t>
            </w:r>
            <w:r w:rsidR="001D5104">
              <w:rPr>
                <w:rFonts w:ascii="Arial" w:hAnsi="Arial" w:cs="Arial"/>
                <w:bCs/>
                <w:iCs/>
                <w:color w:val="000000" w:themeColor="text1"/>
                <w:sz w:val="20"/>
                <w:szCs w:val="20"/>
                <w:lang w:val="en-US"/>
              </w:rPr>
              <w:t xml:space="preserve">or modification 0644 </w:t>
            </w:r>
            <w:r w:rsidR="002B01E7">
              <w:rPr>
                <w:rFonts w:ascii="Arial" w:hAnsi="Arial" w:cs="Arial"/>
                <w:bCs/>
                <w:iCs/>
                <w:color w:val="000000" w:themeColor="text1"/>
                <w:sz w:val="20"/>
                <w:szCs w:val="20"/>
                <w:lang w:val="en-US"/>
              </w:rPr>
              <w:t xml:space="preserve">has </w:t>
            </w:r>
            <w:r>
              <w:rPr>
                <w:rFonts w:ascii="Arial" w:hAnsi="Arial" w:cs="Arial"/>
                <w:bCs/>
                <w:iCs/>
                <w:color w:val="000000" w:themeColor="text1"/>
                <w:sz w:val="20"/>
                <w:szCs w:val="20"/>
                <w:lang w:val="en-US"/>
              </w:rPr>
              <w:t>id</w:t>
            </w:r>
            <w:r w:rsidR="001D5104">
              <w:rPr>
                <w:rFonts w:ascii="Arial" w:hAnsi="Arial" w:cs="Arial"/>
                <w:bCs/>
                <w:iCs/>
                <w:color w:val="000000" w:themeColor="text1"/>
                <w:sz w:val="20"/>
                <w:szCs w:val="20"/>
                <w:lang w:val="en-US"/>
              </w:rPr>
              <w:t xml:space="preserve">entified that the </w:t>
            </w:r>
            <w:r w:rsidR="002B01E7">
              <w:rPr>
                <w:rFonts w:ascii="Arial" w:hAnsi="Arial" w:cs="Arial"/>
                <w:bCs/>
                <w:iCs/>
                <w:color w:val="000000" w:themeColor="text1"/>
                <w:sz w:val="20"/>
                <w:szCs w:val="20"/>
                <w:lang w:val="en-US"/>
              </w:rPr>
              <w:t>EUCs</w:t>
            </w:r>
            <w:r w:rsidR="001D5104">
              <w:rPr>
                <w:rFonts w:ascii="Arial" w:hAnsi="Arial" w:cs="Arial"/>
                <w:bCs/>
                <w:iCs/>
                <w:color w:val="000000" w:themeColor="text1"/>
                <w:sz w:val="20"/>
                <w:szCs w:val="20"/>
                <w:lang w:val="en-US"/>
              </w:rPr>
              <w:t xml:space="preserve"> are hard coded so the flexibility allowed in code to create new EUCs is not within the system coding, this has stopping</w:t>
            </w:r>
            <w:r>
              <w:rPr>
                <w:rFonts w:ascii="Arial" w:hAnsi="Arial" w:cs="Arial"/>
                <w:bCs/>
                <w:iCs/>
                <w:color w:val="000000" w:themeColor="text1"/>
                <w:sz w:val="20"/>
                <w:szCs w:val="20"/>
                <w:lang w:val="en-US"/>
              </w:rPr>
              <w:t xml:space="preserve"> DESC from just implementing the new EUCs</w:t>
            </w:r>
            <w:r w:rsidR="002B01E7">
              <w:rPr>
                <w:rFonts w:ascii="Arial" w:hAnsi="Arial" w:cs="Arial"/>
                <w:bCs/>
                <w:iCs/>
                <w:color w:val="000000" w:themeColor="text1"/>
                <w:sz w:val="20"/>
                <w:szCs w:val="20"/>
                <w:lang w:val="en-US"/>
              </w:rPr>
              <w:t xml:space="preserve"> which code permits. </w:t>
            </w:r>
          </w:p>
          <w:p w:rsidR="004669F6" w:rsidRPr="004669F6" w:rsidRDefault="004669F6" w:rsidP="004669F6">
            <w:pPr>
              <w:spacing w:beforeLines="40" w:before="96" w:afterLines="40" w:after="96"/>
              <w:rPr>
                <w:rFonts w:ascii="Arial" w:hAnsi="Arial" w:cs="Arial"/>
                <w:bCs/>
                <w:iCs/>
                <w:color w:val="000000" w:themeColor="text1"/>
                <w:sz w:val="20"/>
                <w:szCs w:val="20"/>
                <w:lang w:val="en-US"/>
              </w:rPr>
            </w:pPr>
            <w:r w:rsidRPr="004669F6">
              <w:rPr>
                <w:rFonts w:ascii="Arial" w:hAnsi="Arial" w:cs="Arial"/>
                <w:bCs/>
                <w:iCs/>
                <w:color w:val="000000" w:themeColor="text1"/>
                <w:sz w:val="20"/>
                <w:szCs w:val="20"/>
                <w:lang w:val="en-US"/>
              </w:rPr>
              <w:t>The benefit of making this change would be the improvements to NDM Nominations and NDM Allocations because the profiled consumption would be closer to actual consumer consumption so UIG would be less volatile resulting in reduced UIG and less Reconciliation at a later date.</w:t>
            </w:r>
          </w:p>
          <w:p w:rsidR="004669F6" w:rsidRDefault="002F1759" w:rsidP="004669F6">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These</w:t>
            </w:r>
            <w:r w:rsidR="004669F6" w:rsidRPr="004669F6">
              <w:rPr>
                <w:rFonts w:ascii="Arial" w:hAnsi="Arial" w:cs="Arial"/>
                <w:bCs/>
                <w:iCs/>
                <w:color w:val="000000" w:themeColor="text1"/>
                <w:sz w:val="20"/>
                <w:szCs w:val="20"/>
                <w:lang w:val="en-US"/>
              </w:rPr>
              <w:t xml:space="preserve"> change</w:t>
            </w:r>
            <w:r>
              <w:rPr>
                <w:rFonts w:ascii="Arial" w:hAnsi="Arial" w:cs="Arial"/>
                <w:bCs/>
                <w:iCs/>
                <w:color w:val="000000" w:themeColor="text1"/>
                <w:sz w:val="20"/>
                <w:szCs w:val="20"/>
                <w:lang w:val="en-US"/>
              </w:rPr>
              <w:t>s</w:t>
            </w:r>
            <w:r w:rsidR="004669F6" w:rsidRPr="004669F6">
              <w:rPr>
                <w:rFonts w:ascii="Arial" w:hAnsi="Arial" w:cs="Arial"/>
                <w:bCs/>
                <w:iCs/>
                <w:color w:val="000000" w:themeColor="text1"/>
                <w:sz w:val="20"/>
                <w:szCs w:val="20"/>
                <w:lang w:val="en-US"/>
              </w:rPr>
              <w:t xml:space="preserve"> would be a </w:t>
            </w:r>
            <w:proofErr w:type="gramStart"/>
            <w:r w:rsidR="004669F6" w:rsidRPr="004669F6">
              <w:rPr>
                <w:rFonts w:ascii="Arial" w:hAnsi="Arial" w:cs="Arial"/>
                <w:bCs/>
                <w:iCs/>
                <w:color w:val="000000" w:themeColor="text1"/>
                <w:sz w:val="20"/>
                <w:szCs w:val="20"/>
                <w:lang w:val="en-US"/>
              </w:rPr>
              <w:t>cost effective</w:t>
            </w:r>
            <w:proofErr w:type="gramEnd"/>
            <w:r w:rsidR="004669F6" w:rsidRPr="004669F6">
              <w:rPr>
                <w:rFonts w:ascii="Arial" w:hAnsi="Arial" w:cs="Arial"/>
                <w:bCs/>
                <w:iCs/>
                <w:color w:val="000000" w:themeColor="text1"/>
                <w:sz w:val="20"/>
                <w:szCs w:val="20"/>
                <w:lang w:val="en-US"/>
              </w:rPr>
              <w:t xml:space="preserve"> approach, as it would impact both Nominations ahead of and on the day, making Energy purchasing less volatile for all Shippers</w:t>
            </w:r>
            <w:r w:rsidR="004669F6">
              <w:rPr>
                <w:rFonts w:ascii="Arial" w:hAnsi="Arial" w:cs="Arial"/>
                <w:bCs/>
                <w:iCs/>
                <w:color w:val="000000" w:themeColor="text1"/>
                <w:sz w:val="20"/>
                <w:szCs w:val="20"/>
                <w:lang w:val="en-US"/>
              </w:rPr>
              <w:t>.</w:t>
            </w:r>
          </w:p>
          <w:p w:rsidR="00AC1AA5" w:rsidRPr="002F1759" w:rsidRDefault="004E61F6" w:rsidP="002F1759">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Although the creation of the new EUCs would see benefits mainly for Ship</w:t>
            </w:r>
            <w:r w:rsidR="002F1759">
              <w:rPr>
                <w:rFonts w:ascii="Arial" w:hAnsi="Arial" w:cs="Arial"/>
                <w:bCs/>
                <w:iCs/>
                <w:color w:val="000000" w:themeColor="text1"/>
                <w:sz w:val="20"/>
                <w:szCs w:val="20"/>
                <w:lang w:val="en-US"/>
              </w:rPr>
              <w:t>pers, the creation of new EUCs c</w:t>
            </w:r>
            <w:r>
              <w:rPr>
                <w:rFonts w:ascii="Arial" w:hAnsi="Arial" w:cs="Arial"/>
                <w:bCs/>
                <w:iCs/>
                <w:color w:val="000000" w:themeColor="text1"/>
                <w:sz w:val="20"/>
                <w:szCs w:val="20"/>
                <w:lang w:val="en-US"/>
              </w:rPr>
              <w:t>ould also have an i</w:t>
            </w:r>
            <w:r w:rsidR="002F1759">
              <w:rPr>
                <w:rFonts w:ascii="Arial" w:hAnsi="Arial" w:cs="Arial"/>
                <w:bCs/>
                <w:iCs/>
                <w:color w:val="000000" w:themeColor="text1"/>
                <w:sz w:val="20"/>
                <w:szCs w:val="20"/>
                <w:lang w:val="en-US"/>
              </w:rPr>
              <w:t xml:space="preserve">mpact on Transporters and IGTs. </w:t>
            </w:r>
          </w:p>
        </w:tc>
      </w:tr>
      <w:tr w:rsidR="00AC1AA5" w:rsidRPr="00683A0C" w:rsidTr="008E3A3A">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AC1AA5" w:rsidRPr="00683A0C" w:rsidTr="00AC1AA5">
        <w:tc>
          <w:tcPr>
            <w:tcW w:w="5000" w:type="pct"/>
            <w:gridSpan w:val="2"/>
          </w:tcPr>
          <w:p w:rsidR="00AC1AA5" w:rsidRPr="00683A0C" w:rsidRDefault="00AC1AA5" w:rsidP="00AC1AA5">
            <w:pPr>
              <w:rPr>
                <w:rFonts w:ascii="Arial" w:hAnsi="Arial" w:cs="Arial"/>
                <w:b/>
                <w:sz w:val="20"/>
                <w:szCs w:val="16"/>
              </w:rPr>
            </w:pPr>
          </w:p>
          <w:p w:rsidR="00AC1AA5" w:rsidRDefault="00AC1AA5" w:rsidP="00AC1AA5">
            <w:pPr>
              <w:rPr>
                <w:rFonts w:ascii="Arial" w:hAnsi="Arial" w:cs="Arial"/>
                <w:b/>
                <w:sz w:val="20"/>
                <w:szCs w:val="16"/>
              </w:rPr>
            </w:pPr>
          </w:p>
          <w:p w:rsidR="001232E4" w:rsidRPr="00683A0C" w:rsidRDefault="001232E4"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Recommendation</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 xml:space="preserve">Approve / Reject / Defer </w:t>
            </w: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Arial" w:hAnsi="Arial" w:cs="Arial"/>
                <w:sz w:val="20"/>
                <w:szCs w:val="16"/>
              </w:rPr>
              <w:t xml:space="preserve">Release X: Feb / Jun / Nov XX or </w:t>
            </w:r>
            <w:proofErr w:type="spellStart"/>
            <w:r w:rsidRPr="00683A0C">
              <w:rPr>
                <w:rFonts w:ascii="Arial" w:hAnsi="Arial" w:cs="Arial"/>
                <w:sz w:val="20"/>
                <w:szCs w:val="16"/>
              </w:rPr>
              <w:t>Adhoc</w:t>
            </w:r>
            <w:proofErr w:type="spellEnd"/>
            <w:r w:rsidRPr="00683A0C">
              <w:rPr>
                <w:rFonts w:ascii="Arial" w:hAnsi="Arial" w:cs="Arial"/>
                <w:sz w:val="20"/>
                <w:szCs w:val="16"/>
              </w:rPr>
              <w:t xml:space="preserve"> DD/MM/YYYY</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Section 5: DSC Consultation  </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Issued</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Yes / No</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Date(s) Issued</w:t>
            </w:r>
          </w:p>
        </w:tc>
        <w:tc>
          <w:tcPr>
            <w:tcW w:w="3266" w:type="pct"/>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Comms Ref(s)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Number of Responses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tcBorders>
              <w:bottom w:val="single" w:sz="4" w:space="0" w:color="auto"/>
            </w:tcBorders>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6: Funding</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AC1AA5" w:rsidRPr="00683A0C" w:rsidRDefault="00AC1AA5" w:rsidP="00AC1AA5">
            <w:pPr>
              <w:rPr>
                <w:rFonts w:ascii="Arial" w:hAnsi="Arial" w:cs="Arial"/>
                <w:sz w:val="20"/>
                <w:szCs w:val="16"/>
              </w:rPr>
            </w:pPr>
            <w:r w:rsidRPr="00683A0C">
              <w:rPr>
                <w:rFonts w:ascii="Arial" w:hAnsi="Arial" w:cs="Arial"/>
                <w:sz w:val="20"/>
                <w:szCs w:val="16"/>
              </w:rPr>
              <w:t>TOTAL                                                                           = £XXXX.XX</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7: DSC Voting Outcome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AC1AA5" w:rsidRPr="00683A0C" w:rsidRDefault="00AC1AA5" w:rsidP="00AC1AA5">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XX/XX/XXXX</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Release Date</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 xml:space="preserve">Release X: Feb / Jun / Nov XX or </w:t>
            </w:r>
            <w:proofErr w:type="spellStart"/>
            <w:r w:rsidRPr="00683A0C">
              <w:rPr>
                <w:rFonts w:ascii="Arial" w:hAnsi="Arial" w:cs="Arial"/>
                <w:sz w:val="20"/>
                <w:szCs w:val="16"/>
              </w:rPr>
              <w:t>Adhoc</w:t>
            </w:r>
            <w:proofErr w:type="spellEnd"/>
            <w:r w:rsidRPr="00683A0C">
              <w:rPr>
                <w:rFonts w:ascii="Arial" w:hAnsi="Arial" w:cs="Arial"/>
                <w:sz w:val="20"/>
                <w:szCs w:val="16"/>
              </w:rPr>
              <w:t xml:space="preserve"> DD/MM/YYYY or NA</w:t>
            </w:r>
          </w:p>
        </w:tc>
      </w:tr>
      <w:tr w:rsidR="00AC1AA5" w:rsidRPr="00683A0C" w:rsidTr="00E45364">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C15E8B" w:rsidRDefault="007B4360" w:rsidP="00197561">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4" w:history="1">
        <w:r w:rsidRPr="005D3A53">
          <w:rPr>
            <w:rStyle w:val="Hyperlink"/>
            <w:rFonts w:cs="Arial"/>
            <w:b/>
            <w:color w:val="0070C0"/>
            <w:sz w:val="22"/>
            <w:szCs w:val="22"/>
          </w:rPr>
          <w:t>.box.xoserve.portfoliooffice@xoserve.com</w:t>
        </w:r>
      </w:hyperlink>
    </w:p>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2260EF" w:rsidRDefault="002260EF" w:rsidP="006A724E"/>
    <w:p w:rsidR="002260EF" w:rsidRDefault="002260EF" w:rsidP="006A724E"/>
    <w:p w:rsidR="002260EF" w:rsidRDefault="002260EF" w:rsidP="006A724E"/>
    <w:p w:rsidR="00C15E8B" w:rsidRDefault="00C15E8B" w:rsidP="006A724E"/>
    <w:p w:rsidR="00EA3B18" w:rsidRDefault="00EA3B18" w:rsidP="006A724E"/>
    <w:sectPr w:rsidR="00EA3B18" w:rsidSect="00883321">
      <w:headerReference w:type="even" r:id="rId15"/>
      <w:head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570" w:rsidRDefault="00D32570" w:rsidP="00913EF2">
      <w:pPr>
        <w:spacing w:after="0" w:line="240" w:lineRule="auto"/>
      </w:pPr>
      <w:r>
        <w:separator/>
      </w:r>
    </w:p>
  </w:endnote>
  <w:endnote w:type="continuationSeparator" w:id="0">
    <w:p w:rsidR="00D32570" w:rsidRDefault="00D32570"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570" w:rsidRDefault="00D32570" w:rsidP="00913EF2">
      <w:pPr>
        <w:spacing w:after="0" w:line="240" w:lineRule="auto"/>
      </w:pPr>
      <w:r>
        <w:separator/>
      </w:r>
    </w:p>
  </w:footnote>
  <w:footnote w:type="continuationSeparator" w:id="0">
    <w:p w:rsidR="00D32570" w:rsidRDefault="00D32570"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DC" w:rsidRDefault="00D32570">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DC" w:rsidRDefault="00D32570">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DC" w:rsidRDefault="00D32570">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987713"/>
    <w:multiLevelType w:val="hybridMultilevel"/>
    <w:tmpl w:val="ACB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9276E"/>
    <w:multiLevelType w:val="hybridMultilevel"/>
    <w:tmpl w:val="A56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F2"/>
    <w:rsid w:val="000460B1"/>
    <w:rsid w:val="000615F3"/>
    <w:rsid w:val="00066BCA"/>
    <w:rsid w:val="00093D9D"/>
    <w:rsid w:val="000A2BDC"/>
    <w:rsid w:val="000C79EE"/>
    <w:rsid w:val="000D66D3"/>
    <w:rsid w:val="000E3D49"/>
    <w:rsid w:val="001232E4"/>
    <w:rsid w:val="00146769"/>
    <w:rsid w:val="00160739"/>
    <w:rsid w:val="00186FB8"/>
    <w:rsid w:val="00192B0D"/>
    <w:rsid w:val="00197561"/>
    <w:rsid w:val="001D1139"/>
    <w:rsid w:val="001D5104"/>
    <w:rsid w:val="00214089"/>
    <w:rsid w:val="002260EF"/>
    <w:rsid w:val="002427E0"/>
    <w:rsid w:val="002B01E7"/>
    <w:rsid w:val="002B31D6"/>
    <w:rsid w:val="002B5CD2"/>
    <w:rsid w:val="002E2C40"/>
    <w:rsid w:val="002F1759"/>
    <w:rsid w:val="003612A8"/>
    <w:rsid w:val="003C3FD8"/>
    <w:rsid w:val="003C63DC"/>
    <w:rsid w:val="003D4B81"/>
    <w:rsid w:val="003F70E3"/>
    <w:rsid w:val="00403557"/>
    <w:rsid w:val="00456196"/>
    <w:rsid w:val="004669F6"/>
    <w:rsid w:val="004935D2"/>
    <w:rsid w:val="004B0695"/>
    <w:rsid w:val="004E61F6"/>
    <w:rsid w:val="004E7EC9"/>
    <w:rsid w:val="004F2636"/>
    <w:rsid w:val="004F5B68"/>
    <w:rsid w:val="00530351"/>
    <w:rsid w:val="005433F6"/>
    <w:rsid w:val="005448E9"/>
    <w:rsid w:val="00590A4B"/>
    <w:rsid w:val="005D3A53"/>
    <w:rsid w:val="005D6962"/>
    <w:rsid w:val="005F0DDF"/>
    <w:rsid w:val="005F2C1E"/>
    <w:rsid w:val="00611C25"/>
    <w:rsid w:val="006550CC"/>
    <w:rsid w:val="00671608"/>
    <w:rsid w:val="00682FA6"/>
    <w:rsid w:val="00694E1F"/>
    <w:rsid w:val="006A724E"/>
    <w:rsid w:val="006E4337"/>
    <w:rsid w:val="006F6DC7"/>
    <w:rsid w:val="00703D81"/>
    <w:rsid w:val="00703E45"/>
    <w:rsid w:val="00723C39"/>
    <w:rsid w:val="007B4360"/>
    <w:rsid w:val="007C5A34"/>
    <w:rsid w:val="007D7EAF"/>
    <w:rsid w:val="007F0246"/>
    <w:rsid w:val="00816C17"/>
    <w:rsid w:val="00817596"/>
    <w:rsid w:val="00842204"/>
    <w:rsid w:val="00883321"/>
    <w:rsid w:val="008D217D"/>
    <w:rsid w:val="008E3A3A"/>
    <w:rsid w:val="00913EF2"/>
    <w:rsid w:val="00914950"/>
    <w:rsid w:val="009405B0"/>
    <w:rsid w:val="009B0C30"/>
    <w:rsid w:val="009C272A"/>
    <w:rsid w:val="009D0DF1"/>
    <w:rsid w:val="00A1080B"/>
    <w:rsid w:val="00A20C75"/>
    <w:rsid w:val="00A74C4A"/>
    <w:rsid w:val="00AC1AA5"/>
    <w:rsid w:val="00AC2008"/>
    <w:rsid w:val="00AC5A48"/>
    <w:rsid w:val="00AC6F36"/>
    <w:rsid w:val="00AD6B73"/>
    <w:rsid w:val="00B10D89"/>
    <w:rsid w:val="00B22144"/>
    <w:rsid w:val="00B72A9D"/>
    <w:rsid w:val="00BA7FCA"/>
    <w:rsid w:val="00BB5A00"/>
    <w:rsid w:val="00BC0814"/>
    <w:rsid w:val="00BE7A20"/>
    <w:rsid w:val="00C07FCB"/>
    <w:rsid w:val="00C15E8B"/>
    <w:rsid w:val="00C263C7"/>
    <w:rsid w:val="00C34C4F"/>
    <w:rsid w:val="00C51D0F"/>
    <w:rsid w:val="00C90516"/>
    <w:rsid w:val="00D0145E"/>
    <w:rsid w:val="00D22D52"/>
    <w:rsid w:val="00D32570"/>
    <w:rsid w:val="00D50E9A"/>
    <w:rsid w:val="00D5333F"/>
    <w:rsid w:val="00D54CC9"/>
    <w:rsid w:val="00DD59C5"/>
    <w:rsid w:val="00DF6884"/>
    <w:rsid w:val="00E45364"/>
    <w:rsid w:val="00EA3B18"/>
    <w:rsid w:val="00ED63F4"/>
    <w:rsid w:val="00EF5FD7"/>
    <w:rsid w:val="00F105D9"/>
    <w:rsid w:val="00F13926"/>
    <w:rsid w:val="00F17027"/>
    <w:rsid w:val="00F52A52"/>
    <w:rsid w:val="00F73F7D"/>
    <w:rsid w:val="00FC3EB7"/>
    <w:rsid w:val="00FC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7691643-B0D9-1444-8543-BBCA1331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466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4A24BDD4-23CF-3E4C-984E-78D6BC3D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Cuin</cp:lastModifiedBy>
  <cp:revision>2</cp:revision>
  <cp:lastPrinted>2018-04-27T13:24:00Z</cp:lastPrinted>
  <dcterms:created xsi:type="dcterms:W3CDTF">2018-05-02T11:39:00Z</dcterms:created>
  <dcterms:modified xsi:type="dcterms:W3CDTF">2018-05-02T11:39:00Z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-695278581</vt:i4>
  </property>
  <property fmtid="{D5CDD505-2E9C-101B-9397-08002B2CF9AE}" pid="4" name="_NewReviewCycle">
    <vt:lpwstr/>
  </property>
  <property fmtid="{D5CDD505-2E9C-101B-9397-08002B2CF9AE}" pid="5" name="_EmailSubject">
    <vt:lpwstr>Change Forms - Next Steps</vt:lpwstr>
  </property>
  <property fmtid="{D5CDD505-2E9C-101B-9397-08002B2CF9AE}" pid="6" name="_AuthorEmail">
    <vt:lpwstr>rebecca.perkins@xoserve.com</vt:lpwstr>
  </property>
  <property fmtid="{D5CDD505-2E9C-101B-9397-08002B2CF9AE}" pid="7" name="_AuthorEmailDisplayName">
    <vt:lpwstr>Perkins, Rebecca</vt:lpwstr>
  </property>
  <property fmtid="{D5CDD505-2E9C-101B-9397-08002B2CF9AE}" pid="8" name="_PreviousAdHocReviewCycleID">
    <vt:i4>-1136516929</vt:i4>
  </property>
  <property fmtid="{D5CDD505-2E9C-101B-9397-08002B2CF9AE}" pid="9" name="_ReviewingToolsShownOnce">
    <vt:lpwstr/>
  </property>
</Properties>
</file>